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Should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 de requisitos: 13 · Must have: 7 · Porcentaje Must have: 53,8 % (debe ser ≤ 60 %) El requisito RF-04 —catálogo de las siete variables— se clasifica como Should porque el catálogo se entrega cargado en el servicio como dato inicial, de modo que el diccionario y la evaluación de rangos (RF-09) no dependen de un requisito diferido.</w:t>
      </w:r>
      <w:proofErr w:type="gramEnd"/>
      <w:r>
        <w:rPr>
          <w:b/>
          <w:bCs/>
        </w:rPr>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tc>
          <w:tcPr>
            <w:tcW w:type="dxa" w:w="1668"/>
          </w:tcPr>
          <w:p>
            <w:r>
              <w:t>registrado_por</w:t>
            </w:r>
          </w:p>
        </w:tc>
        <w:tc>
          <w:tcPr>
            <w:tcW w:type="dxa" w:w="1227"/>
          </w:tcPr>
          <w:p>
            <w:r>
              <w:t>Texto</w:t>
            </w:r>
          </w:p>
        </w:tc>
        <w:tc>
          <w:tcPr>
            <w:tcW w:type="dxa" w:w="1227"/>
          </w:tcPr>
          <w:p>
            <w:r>
              <w:t>40</w:t>
            </w:r>
          </w:p>
        </w:tc>
        <w:tc>
          <w:tcPr>
            <w:tcW w:type="dxa" w:w="1480"/>
          </w:tcPr>
          <w:p>
            <w:r>
              <w:t>No</w:t>
            </w:r>
          </w:p>
        </w:tc>
        <w:tc>
          <w:tcPr>
            <w:tcW w:type="dxa" w:w="1921"/>
          </w:tcPr>
          <w:p>
            <w:r>
              <w:t>Nulo en el envío automático</w:t>
            </w:r>
          </w:p>
        </w:tc>
        <w:tc>
          <w:tcPr>
            <w:tcW w:type="dxa" w:w="1975"/>
          </w:tcPr>
          <w:p>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pPr/>
      <w:r>
        <w:t>Las demás colecciones del modelo documental. La Tabla 11 detalla la colección `lecturas`, que es la de mayor volumen y la que concentra las reglas de validación. Las otras colecciones se describen a continuación con sus campos: `modulos_cultivo` —`nombre`, `tipo_cultivo`, `perfil_id`, `ubicacion`, `activo`— identifica cada zona de cultivo y el perfil del que toma los rangos con que se evalúan sus lecturas; `perfiles_cultivo` —`nombre`, `descripcion`, `predefinido`—; `rangos` —`perfil_id`, `variable`, `minimo`, `maximo`— fija los límites de cada variable por perfil, con el mínimo menor que el máximo; `alertas` —`lectura_id`, `modulo_id`, `variable`, `valor`, `unidad`, `rango_minimo`, `rango_maximo`, `desviacion`, `estado`, `atendida_en`— referencia la lectura que la originó y copia sus datos de identificación, con los límites vigentes en ese momento; y `usuarios` —`email`, `nombre`, `rol`, `activo`, `telefono`, `cargo`— guarda el perfil de la cuenta, cuyo identificador de documento es el `uid` que emite el proveedor de identidad.</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tc>
          <w:tcPr>
            <w:tcW w:type="dxa" w:w="1134"/>
          </w:tcPr>
          <w:p>
            <w:r>
              <w:t>POST · GET · PATCH · DELETE</w:t>
            </w:r>
          </w:p>
        </w:tc>
        <w:tc>
          <w:tcPr>
            <w:tcW w:type="dxa" w:w="3802"/>
          </w:tcPr>
          <w:p>
            <w:r>
              <w:t>/api/v1/perfiles · /api/v1/perfiles/{id}</w:t>
            </w:r>
          </w:p>
        </w:tc>
        <w:tc>
          <w:tcPr>
            <w:tcW w:type="dxa" w:w="1401"/>
          </w:tcPr>
          <w:p>
            <w:r>
              <w:t>Sí (token)</w:t>
            </w:r>
          </w:p>
        </w:tc>
        <w:tc>
          <w:tcPr>
            <w:tcW w:type="dxa" w:w="1681"/>
          </w:tcPr>
          <w:p>
            <w:r>
              <w:t>Administrador (escritura) · Operador (lectura)</w:t>
            </w:r>
          </w:p>
        </w:tc>
        <w:tc>
          <w:tcPr>
            <w:tcW w:type="dxa" w:w="1521"/>
          </w:tcPr>
          <w:p>
            <w:r>
              <w:t>nombre, descripcion, predefinido</w:t>
            </w:r>
          </w:p>
        </w:tc>
        <w:tc>
          <w:tcPr>
            <w:tcW w:type="dxa" w:w="1134"/>
          </w:tcPr>
          <w:p>
            <w:r>
              <w:t>200 · 201 · 204</w:t>
            </w:r>
          </w:p>
        </w:tc>
        <w:tc>
          <w:tcPr>
            <w:tcW w:type="dxa" w:w="1796"/>
          </w:tcPr>
          <w:p>
            <w:r>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0.141.1 · Python 3.13 · uvicorn 0.52.4 · firebase-admin 7.5.0</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(capa gratuita) y servicio en Render (capa gratuita)</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 (contexto complementario, fuera del alcance evaluado)</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