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21 PREGUNTAS PARA LA TUTORIA</w:t>
      </w:r>
    </w:p>
    <w:p>
      <w:r>
        <w:br w:type="page"/>
      </w:r>
    </w:p>
    <w:p>
      <w:pPr>
        <w:pStyle w:val="Title"/>
      </w:pPr>
      <w:r>
        <w:t>Preguntas para la tutoría</w:t>
      </w:r>
    </w:p>
    <w:p>
      <w:r>
        <w:rPr>
          <w:b w:val="0"/>
          <w:sz w:val="22"/>
        </w:rPr>
        <w:t>Fecha: martes 29 de septiembre de 2026</w:t>
      </w:r>
    </w:p>
    <w:p>
      <w:r>
        <w:rPr>
          <w:b w:val="0"/>
          <w:sz w:val="22"/>
        </w:rPr>
        <w:t>Cómo se usa: se lee la pregunta tal como está escrita, se anota la respuesta debajo, y se marca</w:t>
      </w:r>
    </w:p>
    <w:p>
      <w:r>
        <w:rPr>
          <w:b w:val="0"/>
          <w:sz w:val="22"/>
        </w:rPr>
        <w:t>el cuadradito cuando ya se hizo. Al final se leen los acuerdos en voz alta y se confirman.</w:t>
      </w:r>
    </w:p>
    <w:p>
      <w:r>
        <w:rPr>
          <w:b w:val="0"/>
          <w:sz w:val="22"/>
        </w:rPr>
        <w:t>&gt; Regla de la sesión: no se sale sin haber preguntado el primer bloque completo. Lo demás</w:t>
      </w:r>
    </w:p>
    <w:p>
      <w:r>
        <w:rPr>
          <w:b w:val="0"/>
          <w:sz w:val="22"/>
        </w:rPr>
        <w:t>&gt; es importante, pero eso es lo que bloquea el trabajo.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Y no se pregunta lo que ya está respondido: la fecha del E3 es el sábado 3 de octubre a las</w:t>
      </w:r>
    </w:p>
    <w:p>
      <w:r>
        <w:rPr>
          <w:b w:val="0"/>
          <w:sz w:val="22"/>
        </w:rPr>
        <w:t>&gt; 23:59, con hasta 72 horas de tolerancia y 10 puntos porcentuales por día de atraso, y el</w:t>
      </w:r>
    </w:p>
    <w:p>
      <w:r>
        <w:rPr>
          <w:b w:val="0"/>
          <w:sz w:val="22"/>
        </w:rPr>
        <w:t>&gt; cuestionario Q3 vence el mismo día sin tolerancia.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Tampoco el patrón del TDS: ya no hace falta preguntar por el patrón de 800 ppm. Se consiguió el</w:t>
      </w:r>
    </w:p>
    <w:p>
      <w:r>
        <w:rPr>
          <w:b w:val="0"/>
          <w:sz w:val="22"/>
        </w:rPr>
        <w:t>&gt; de Hanna HI7031L de 1413 µS/cm, que con el factor de conversión que usa el firmware</w:t>
      </w:r>
    </w:p>
    <w:p>
      <w:r>
        <w:rPr>
          <w:b w:val="0"/>
          <w:sz w:val="22"/>
        </w:rPr>
        <w:t>&gt; (TDS = EC × 500) equivale a 706,5 ppm, es decir los 707 ppm que cita la bibliografía. El</w:t>
      </w:r>
    </w:p>
    <w:p>
      <w:r>
        <w:rPr>
          <w:b w:val="0"/>
          <w:sz w:val="22"/>
        </w:rPr>
        <w:t>&gt; número del documento y el patrón quedan coincidiendo.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1 · Lo que bloquea el trabajo</w:t>
      </w:r>
    </w:p>
    <w:p>
      <w:pPr>
        <w:pStyle w:val="ListBullet"/>
      </w:pPr>
      <w:r>
        <w:rPr>
          <w:b w:val="0"/>
          <w:sz w:val="22"/>
        </w:rPr>
        <w:t>[ ] 1.1 «En la bitácora del 22 de septiembre figuran las observaciones A-11 y A-12 como</w:t>
      </w:r>
    </w:p>
    <w:p>
      <w:r>
        <w:rPr>
          <w:b w:val="0"/>
          <w:sz w:val="22"/>
        </w:rPr>
        <w:t>pendientes, pero no anoté qué pedían. ¿Me las puede precisar, por favor?»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1.2 «La A-4 pedía decidir cómo nombrar el ámbito del módulo piloto. Esta semana monto</w:t>
      </w:r>
    </w:p>
    <w:p>
      <w:r>
        <w:rPr>
          <w:b w:val="0"/>
          <w:sz w:val="22"/>
        </w:rPr>
        <w:t>la maqueta física: depósito, los sensores y el módulo publicando. ¿Le parece que con eso queda</w:t>
      </w:r>
    </w:p>
    <w:p>
      <w:r>
        <w:rPr>
          <w:b w:val="0"/>
          <w:sz w:val="22"/>
        </w:rPr>
        <w:t>cerrada, o preferiría otro nombre en el objetivo general y en el apartado 1.2?»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1.3 «Sobre los datos del ensayo previo: el número de detecciones tardías.</w:t>
      </w:r>
    </w:p>
    <w:p>
      <w:r>
        <w:rPr>
          <w:b w:val="0"/>
          <w:sz w:val="22"/>
        </w:rPr>
        <w:t>¿Confirmamos el dato que figura en el documento?»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1.4 «Los tres puntos de limpieza —usuario de prueba declarado como ficticio, sin hojas de</w:t>
      </w:r>
    </w:p>
    <w:p>
      <w:r>
        <w:rPr>
          <w:b w:val="0"/>
          <w:sz w:val="22"/>
        </w:rPr>
        <w:t>verificación en el documento, figuras ajustadas al ancho— los damos por resueltos.</w:t>
      </w:r>
    </w:p>
    <w:p>
      <w:r>
        <w:rPr>
          <w:b w:val="0"/>
          <w:sz w:val="22"/>
        </w:rPr>
        <w:t>¿Está de acuerdo?»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1.5 «Le traigo las once recomendaciones del T3 con lo que hicimos en cada una.</w:t>
      </w:r>
    </w:p>
    <w:p>
      <w:r>
        <w:rPr>
          <w:b w:val="0"/>
          <w:sz w:val="22"/>
        </w:rPr>
        <w:t>¿Queda alguna sin tratar, o alguna que haya entendido al revés?»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2 · El pH y la maqueta</w:t>
      </w:r>
    </w:p>
    <w:p>
      <w:pPr>
        <w:pStyle w:val="ListBullet"/>
      </w:pPr>
      <w:r>
        <w:rPr>
          <w:b w:val="0"/>
          <w:sz w:val="22"/>
        </w:rPr>
        <w:t>[ ] 2.1 «El módulo publica cinco variables en producción. La sexta, el pH, está</w:t>
      </w:r>
    </w:p>
    <w:p>
      <w:r>
        <w:rPr>
          <w:b w:val="0"/>
          <w:sz w:val="22"/>
        </w:rPr>
        <w:t>pendiente de forma declarada: el electrodo está en remojo y la decisión es el miércoles.</w:t>
      </w:r>
    </w:p>
    <w:p>
      <w:r>
        <w:rPr>
          <w:b w:val="0"/>
          <w:sz w:val="22"/>
        </w:rPr>
        <w:t>¿Le parece correcto presentarlo así?»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2.2 «Si el electrodo no revive y compramos la sonda nueva, ¿basta con documentar el</w:t>
      </w:r>
    </w:p>
    <w:p>
      <w:r>
        <w:rPr>
          <w:b w:val="0"/>
          <w:sz w:val="22"/>
        </w:rPr>
        <w:t>reemplazo y su calibración, o quiere que quede declarado de otra forma?»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2.3 «¿Qué alcance espera para la maqueta: basta con el montaje midiendo, o quiere que</w:t>
      </w:r>
    </w:p>
    <w:p>
      <w:r>
        <w:rPr>
          <w:b w:val="0"/>
          <w:sz w:val="22"/>
        </w:rPr>
        <w:t>en esta entrega incluya también el cultivo con plantines?»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3 · El alcance del E3</w:t>
      </w:r>
    </w:p>
    <w:p>
      <w:pPr>
        <w:pStyle w:val="ListBullet"/>
      </w:pPr>
      <w:r>
        <w:rPr>
          <w:b w:val="0"/>
          <w:sz w:val="22"/>
        </w:rPr>
        <w:t>[ ] 3.1 «Entendí que para el E3 van los roles con autorización en cada ruta, la batería</w:t>
      </w:r>
    </w:p>
    <w:p>
      <w:r>
        <w:rPr>
          <w:b w:val="0"/>
          <w:sz w:val="22"/>
        </w:rPr>
        <w:t>de pruebas con su evidencia en el apartado 2.8, y los capítulos 1 y 2. ¿Es correcto, o hay algo</w:t>
      </w:r>
    </w:p>
    <w:p>
      <w:r>
        <w:rPr>
          <w:b w:val="0"/>
          <w:sz w:val="22"/>
        </w:rPr>
        <w:t>más?»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3.2 «El ingreso lo resuelve Firebase Authentication: la contraseña nunca pasa por</w:t>
      </w:r>
    </w:p>
    <w:p>
      <w:r>
        <w:rPr>
          <w:b w:val="0"/>
          <w:sz w:val="22"/>
        </w:rPr>
        <w:t>nuestro servicio y se guarda con hash del lado del proveedor; nosotros validamos el token en</w:t>
      </w:r>
    </w:p>
    <w:p>
      <w:r>
        <w:rPr>
          <w:b w:val="0"/>
          <w:sz w:val="22"/>
        </w:rPr>
        <w:t>cada petición, y el token vence. ¿Le sirve así como cumplimiento del requisito, o quiere que</w:t>
      </w:r>
    </w:p>
    <w:p>
      <w:r>
        <w:rPr>
          <w:b w:val="0"/>
          <w:sz w:val="22"/>
        </w:rPr>
        <w:t>mostremos el hash en un almacenamiento propio?»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3.3 «En el servicio quedó el punto de acceso DELETE /api/v1/lecturas/{id}, que</w:t>
      </w:r>
    </w:p>
    <w:p>
      <w:r>
        <w:rPr>
          <w:b w:val="0"/>
          <w:sz w:val="22"/>
        </w:rPr>
        <w:t>permite borrar una lectura. Lo quitamos de la tabla de requisitos. ¿Prefiere que lo eliminemos</w:t>
      </w:r>
    </w:p>
    <w:p>
      <w:r>
        <w:rPr>
          <w:b w:val="0"/>
          <w:sz w:val="22"/>
        </w:rPr>
        <w:t>del servicio, o que lo convirtamos en una anulación con motivo, que conserva el registro y</w:t>
      </w:r>
    </w:p>
    <w:p>
      <w:r>
        <w:rPr>
          <w:b w:val="0"/>
          <w:sz w:val="22"/>
        </w:rPr>
        <w:t>guarda quién lo anuló y por qué?»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3.4 «Para el 2.8, ¿la tabla de casos con el resultado alcanza, o quiere el informe de</w:t>
      </w:r>
    </w:p>
    <w:p>
      <w:r>
        <w:rPr>
          <w:b w:val="0"/>
          <w:sz w:val="22"/>
        </w:rPr>
        <w:t>las pruebas automáticas como anexo dentro del documento? Hoy van 199 pruebas, 106 del</w:t>
      </w:r>
    </w:p>
    <w:p>
      <w:r>
        <w:rPr>
          <w:b w:val="0"/>
          <w:sz w:val="22"/>
        </w:rPr>
        <w:t>servicio y 93 de la aplicación, y el informe puede quedar versionado en el repositorio.»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3.5 «El 2.7 de seguridad: ¿espera el detalle de cada control —token que vence, roles</w:t>
      </w:r>
    </w:p>
    <w:p>
      <w:r>
        <w:rPr>
          <w:b w:val="0"/>
          <w:sz w:val="22"/>
        </w:rPr>
        <w:t>por operación, doble validación, CORS, sin secretos en el repositorio— o prefiere un resumen con</w:t>
      </w:r>
    </w:p>
    <w:p>
      <w:r>
        <w:rPr>
          <w:b w:val="0"/>
          <w:sz w:val="22"/>
        </w:rPr>
        <w:t>la referencia a la evidencia?»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3.6 «¿El Capítulo 1 tiene que estar completo para el E3, o alcanza con el borrador de</w:t>
      </w:r>
    </w:p>
    <w:p>
      <w:r>
        <w:rPr>
          <w:b w:val="0"/>
          <w:sz w:val="22"/>
        </w:rPr>
        <w:t>los apartados 2.1 a 2.8?»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3.7 «¿Alcanza con la aplicación web publicada, o quiere que el E3 incluya también el</w:t>
      </w:r>
    </w:p>
    <w:p>
      <w:r>
        <w:rPr>
          <w:b w:val="0"/>
          <w:sz w:val="22"/>
        </w:rPr>
        <w:t>APK de Android instalado y probado en el teléfono?»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3.8 «¿Qué espera del E4 y para cuándo?»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3.9 «Para la defensa del 13 de octubre: ¿qué quiere ver en el guion, y de cuánto</w:t>
      </w:r>
    </w:p>
    <w:p>
      <w:r>
        <w:rPr>
          <w:b w:val="0"/>
          <w:sz w:val="22"/>
        </w:rPr>
        <w:t>tiempo disponemos?»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Bloque 4 · Lo administrativo</w:t>
      </w:r>
    </w:p>
    <w:p>
      <w:pPr>
        <w:pStyle w:val="ListBullet"/>
      </w:pPr>
      <w:r>
        <w:rPr>
          <w:b w:val="0"/>
          <w:sz w:val="22"/>
        </w:rPr>
        <w:t>[ ] 4.1 «¿Mantenemos la tutoría en el mismo día y hora?»</w:t>
      </w:r>
    </w:p>
    <w:p>
      <w:r>
        <w:rPr>
          <w:b w:val="0"/>
          <w:sz w:val="22"/>
        </w:rPr>
        <w:t>Anoté:</w:t>
      </w:r>
    </w:p>
    <w:p>
      <w:pPr>
        <w:pStyle w:val="ListBullet"/>
      </w:pPr>
      <w:r>
        <w:rPr>
          <w:b w:val="0"/>
          <w:sz w:val="22"/>
        </w:rPr>
        <w:t>[ ] 4.2 «¿Hay algún apartado del documento que prefiera que reescriba antes del E3?»</w:t>
      </w:r>
    </w:p>
    <w:p>
      <w:r>
        <w:rPr>
          <w:b w:val="0"/>
          <w:sz w:val="22"/>
        </w:rPr>
        <w:t>Anoté: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Cierre · Los acuerdos de la sesión</w:t>
      </w:r>
    </w:p>
    <w:p>
      <w:r>
        <w:rPr>
          <w:b w:val="0"/>
          <w:sz w:val="22"/>
        </w:rPr>
        <w:t>Se leen en voz alta antes de salir y se confirman. Después se registran en la bitácora del día.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Qué quedó cerrado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Qué queda pendiente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Quién lo hace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Para cuándo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</w:tr>
    </w:tbl>
    <w:p/>
    <w:p>
      <w:r>
        <w:rPr>
          <w:b w:val="0"/>
          <w:sz w:val="22"/>
        </w:rPr>
        <w:t>Firma de conformidad del tutor sobre los acuerdos: ______________________________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Después de la sesión (martes 29, 21:30)</w:t>
      </w:r>
    </w:p>
    <w:p>
      <w:r>
        <w:rPr>
          <w:b w:val="0"/>
          <w:sz w:val="22"/>
        </w:rPr>
        <w:t>La tutoría fue corta: alcanzó para mostrar el sistema y para unas pocas consultas. El docente</w:t>
      </w:r>
    </w:p>
    <w:p>
      <w:r>
        <w:rPr>
          <w:b w:val="0"/>
          <w:sz w:val="22"/>
        </w:rPr>
        <w:t>dijo que el trabajo está bien y no planteó dudas nuevas. La única pregunta que hizo fue:</w:t>
      </w:r>
    </w:p>
    <w:p>
      <w:r>
        <w:rPr>
          <w:b w:val="0"/>
          <w:sz w:val="22"/>
        </w:rPr>
        <w:t>&gt; «¿Cómo está conectado el módulo ESP32 con Firestore?» → *A través del servicio: el módulo</w:t>
      </w:r>
    </w:p>
    <w:p>
      <w:r>
        <w:rPr>
          <w:b w:val="0"/>
          <w:sz w:val="22"/>
        </w:rPr>
        <w:t>&gt; publica por HTTPS con su clave de dispositivo, el servicio valida y escribe en la base, y nadie</w:t>
      </w:r>
    </w:p>
    <w:p>
      <w:r>
        <w:rPr>
          <w:b w:val="0"/>
          <w:sz w:val="22"/>
        </w:rPr>
        <w:t>&gt; toca Firestore directamente.*</w:t>
      </w:r>
    </w:p>
    <w:p>
      <w:r>
        <w:rPr>
          <w:b w:val="0"/>
          <w:sz w:val="22"/>
        </w:rPr>
        <w:t>Quedaron sin responder las cuatro del primer bloque: A-11, A-12, A-4 y el número de detecciones</w:t>
      </w:r>
    </w:p>
    <w:p>
      <w:r>
        <w:rPr>
          <w:b w:val="0"/>
          <w:sz w:val="22"/>
        </w:rPr>
        <w:t>tardías. Como la próxima tutoría puede volver a quedarse corta, se pasan por escrito, en un solo</w:t>
      </w:r>
    </w:p>
    <w:p>
      <w:r>
        <w:rPr>
          <w:b w:val="0"/>
          <w:sz w:val="22"/>
        </w:rPr>
        <w:t>mensaje, y se agrega la pregunta por el día y hora de la próxima sesión.</w:t>
      </w:r>
    </w:p>
    <w:p>
      <w:r>
        <w:rPr>
          <w:b w:val="0"/>
          <w:sz w:val="22"/>
        </w:rPr>
        <w:t>Antes de eso, conviene revisar el documento devuelto del T3: si A-11 y A-12 quedaron como</w:t>
      </w:r>
    </w:p>
    <w:p>
      <w:r>
        <w:rPr>
          <w:b w:val="0"/>
          <w:sz w:val="22"/>
        </w:rPr>
        <w:t>comentarios dentro del archivo, están ahí y no hay que esperar respuesta.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