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p>
      <w:r>
        <w:rPr>
          <w:b w:val="0"/>
          <w:color w:val="555555"/>
          <w:sz w:val="18"/>
        </w:rPr>
        <w:t>____________________________________________________________</w:t>
      </w:r>
    </w:p>
    <w:p>
      <w:pPr>
        <w:pStyle w:val="Title"/>
      </w:pPr>
      <w:r>
        <w:t>Tercera parte — miércoles 16: despliegue del servicio</w:t>
      </w:r>
    </w:p>
    <w:p>
      <w:pPr>
        <w:pStyle w:val="Heading1"/>
      </w:pPr>
      <w:r>
        <w:t>23. Publicación del servicio en la plataforma</w:t>
      </w:r>
    </w:p>
    <w:p>
      <w:r>
        <w:rPr>
          <w:b w:val="0"/>
          <w:sz w:val="22"/>
        </w:rPr>
        <w:t>El servicio quedó desplegado en Render, en su capa gratuita, con la definición declarada en el repositorio (render.yaml) y creado a partir del repositorio de GitHub.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Valor</w:t>
            </w:r>
          </w:p>
        </w:tc>
      </w:tr>
      <w:tr>
        <w:tc>
          <w:tcPr>
            <w:tcW w:type="dxa" w:w="4320"/>
          </w:tcPr>
          <w:p>
            <w:r>
              <w:rPr>
                <w:b w:val="0"/>
                <w:sz w:val="20"/>
              </w:rPr>
              <w:t>Nombre del servicio</w:t>
            </w:r>
          </w:p>
        </w:tc>
        <w:tc>
          <w:tcPr>
            <w:tcW w:type="dxa" w:w="4320"/>
          </w:tcPr>
          <w:p>
            <w:r>
              <w:rPr>
                <w:b w:val="0"/>
                <w:sz w:val="20"/>
              </w:rPr>
              <w:t>sigvach-api</w:t>
            </w:r>
          </w:p>
        </w:tc>
      </w:tr>
      <w:tr>
        <w:tc>
          <w:tcPr>
            <w:tcW w:type="dxa" w:w="4320"/>
          </w:tcPr>
          <w:p>
            <w:r>
              <w:rPr>
                <w:b w:val="0"/>
                <w:sz w:val="20"/>
              </w:rPr>
              <w:t>Repositorio y rama</w:t>
            </w:r>
          </w:p>
        </w:tc>
        <w:tc>
          <w:tcPr>
            <w:tcW w:type="dxa" w:w="4320"/>
          </w:tcPr>
          <w:p>
            <w:r>
              <w:rPr>
                <w:b w:val="0"/>
                <w:sz w:val="20"/>
              </w:rPr>
              <w:t>saintssud-sud/Proyecto---Diplomado · main</w:t>
            </w:r>
          </w:p>
        </w:tc>
      </w:tr>
      <w:tr>
        <w:tc>
          <w:tcPr>
            <w:tcW w:type="dxa" w:w="4320"/>
          </w:tcPr>
          <w:p>
            <w:r>
              <w:rPr>
                <w:b w:val="0"/>
                <w:sz w:val="20"/>
              </w:rPr>
              <w:t>Directorio raíz</w:t>
            </w:r>
          </w:p>
        </w:tc>
        <w:tc>
          <w:tcPr>
            <w:tcW w:type="dxa" w:w="4320"/>
          </w:tcPr>
          <w:p>
            <w:r>
              <w:rPr>
                <w:b w:val="0"/>
                <w:sz w:val="20"/>
              </w:rPr>
              <w:t>backend</w:t>
            </w:r>
          </w:p>
        </w:tc>
      </w:tr>
      <w:tr>
        <w:tc>
          <w:tcPr>
            <w:tcW w:type="dxa" w:w="4320"/>
          </w:tcPr>
          <w:p>
            <w:r>
              <w:rPr>
                <w:b w:val="0"/>
                <w:sz w:val="20"/>
              </w:rPr>
              <w:t>Construcción</w:t>
            </w:r>
          </w:p>
        </w:tc>
        <w:tc>
          <w:tcPr>
            <w:tcW w:type="dxa" w:w="4320"/>
          </w:tcPr>
          <w:p>
            <w:r>
              <w:rPr>
                <w:b w:val="0"/>
                <w:sz w:val="20"/>
              </w:rPr>
              <w:t>pip install -r requirements.txt</w:t>
            </w:r>
          </w:p>
        </w:tc>
      </w:tr>
      <w:tr>
        <w:tc>
          <w:tcPr>
            <w:tcW w:type="dxa" w:w="4320"/>
          </w:tcPr>
          <w:p>
            <w:r>
              <w:rPr>
                <w:b w:val="0"/>
                <w:sz w:val="20"/>
              </w:rPr>
              <w:t>Arranque</w:t>
            </w:r>
          </w:p>
        </w:tc>
        <w:tc>
          <w:tcPr>
            <w:tcW w:type="dxa" w:w="4320"/>
          </w:tcPr>
          <w:p>
            <w:r>
              <w:rPr>
                <w:b w:val="0"/>
                <w:sz w:val="20"/>
              </w:rPr>
              <w:t>uvicorn app.main:app --host 0.0.0.0 --port $PORT --proxy-headers --forwarded-allow-ips="*"</w:t>
            </w:r>
          </w:p>
        </w:tc>
      </w:tr>
      <w:tr>
        <w:tc>
          <w:tcPr>
            <w:tcW w:type="dxa" w:w="4320"/>
          </w:tcPr>
          <w:p>
            <w:r>
              <w:rPr>
                <w:b w:val="0"/>
                <w:sz w:val="20"/>
              </w:rPr>
              <w:t>Comprobación de salud</w:t>
            </w:r>
          </w:p>
        </w:tc>
        <w:tc>
          <w:tcPr>
            <w:tcW w:type="dxa" w:w="4320"/>
          </w:tcPr>
          <w:p>
            <w:r>
              <w:rPr>
                <w:b w:val="0"/>
                <w:sz w:val="20"/>
              </w:rPr>
              <w:t>/api/v1/salud</w:t>
            </w:r>
          </w:p>
        </w:tc>
      </w:tr>
      <w:tr>
        <w:tc>
          <w:tcPr>
            <w:tcW w:type="dxa" w:w="4320"/>
          </w:tcPr>
          <w:p>
            <w:r>
              <w:rPr>
                <w:b w:val="0"/>
                <w:sz w:val="20"/>
              </w:rPr>
              <w:t>Tipo de instancia</w:t>
            </w:r>
          </w:p>
        </w:tc>
        <w:tc>
          <w:tcPr>
            <w:tcW w:type="dxa" w:w="4320"/>
          </w:tcPr>
          <w:p>
            <w:r>
              <w:rPr>
                <w:b w:val="0"/>
                <w:sz w:val="20"/>
              </w:rPr>
              <w:t>Gratuita</w:t>
            </w:r>
          </w:p>
        </w:tc>
      </w:tr>
      <w:tr>
        <w:tc>
          <w:tcPr>
            <w:tcW w:type="dxa" w:w="4320"/>
          </w:tcPr>
          <w:p>
            <w:r>
              <w:rPr>
                <w:b w:val="0"/>
                <w:sz w:val="20"/>
              </w:rPr>
              <w:t>Variables de entorno</w:t>
            </w:r>
          </w:p>
        </w:tc>
        <w:tc>
          <w:tcPr>
            <w:tcW w:type="dxa" w:w="4320"/>
          </w:tcPr>
          <w:p>
            <w:r>
              <w:rPr>
                <w:b w:val="0"/>
                <w:sz w:val="20"/>
              </w:rPr>
              <w:t>ENTORNO, FIREBASE_PROJECT_ID, ALLOWED_ORIGINS, DEVICE_API_KEY y FIREBASE_SERVICE_ACCOUNT_JSON</w:t>
            </w:r>
          </w:p>
        </w:tc>
      </w:tr>
      <w:tr>
        <w:tc>
          <w:tcPr>
            <w:tcW w:type="dxa" w:w="4320"/>
          </w:tcPr>
          <w:p>
            <w:r>
              <w:rPr>
                <w:b w:val="0"/>
                <w:sz w:val="20"/>
              </w:rPr>
              <w:t>Despliegue automático</w:t>
            </w:r>
          </w:p>
        </w:tc>
        <w:tc>
          <w:tcPr>
            <w:tcW w:type="dxa" w:w="4320"/>
          </w:tcPr>
          <w:p>
            <w:r>
              <w:rPr>
                <w:b w:val="0"/>
                <w:sz w:val="20"/>
              </w:rPr>
              <w:t>Al confirmar cambios en el repositorio</w:t>
            </w:r>
          </w:p>
        </w:tc>
      </w:tr>
    </w:tbl>
    <w:p/>
    <w:p>
      <w:r>
        <w:rPr>
          <w:b w:val="0"/>
          <w:sz w:val="22"/>
        </w:rPr>
        <w:t>Decisiones tomadas durante la publicación.</w:t>
      </w:r>
    </w:p>
    <w:p>
      <w:pPr>
        <w:pStyle w:val="ListBullet"/>
      </w:pPr>
      <w:r>
        <w:rPr>
          <w:b w:val="0"/>
          <w:sz w:val="22"/>
        </w:rPr>
        <w:t>Se eligió el nombre sigvach-api para que la dirección pública sea legible y citable en la monografía.</w:t>
      </w:r>
    </w:p>
    <w:p>
      <w:pPr>
        <w:pStyle w:val="ListBullet"/>
      </w:pPr>
      <w:r>
        <w:rPr>
          <w:b w:val="0"/>
          <w:sz w:val="22"/>
        </w:rPr>
        <w:t>El directorio raíz se fijó en backend porque el servicio y sus dependencias viven en esa carpeta: sin esa indicación la construcción falla.</w:t>
      </w:r>
    </w:p>
    <w:p>
      <w:pPr>
        <w:pStyle w:val="ListBullet"/>
      </w:pPr>
      <w:r>
        <w:rPr>
          <w:b w:val="0"/>
          <w:sz w:val="22"/>
        </w:rPr>
        <w:t>El comando de arranque obliga a escuchar en 0.0.0.0 y en el puerto que asigna la plataforma ($PORT), y a confiar en las cabeceras del proxy (--proxy-headers), condición para funcionar detrás del terminador TLS de la plataforma.</w:t>
      </w:r>
    </w:p>
    <w:p>
      <w:pPr>
        <w:pStyle w:val="ListBullet"/>
      </w:pPr>
      <w:r>
        <w:rPr>
          <w:b w:val="0"/>
          <w:sz w:val="22"/>
        </w:rPr>
        <w:t>Los secretos se declararon como variables de entorno en el panel y no como archivos: la clave de la cuenta de servicio se cargó en una sola línea JSON (2330 caracteres) y la clave del módulo de adquisición con su valor vigente.</w:t>
      </w:r>
    </w:p>
    <w:p>
      <w:pPr>
        <w:pStyle w:val="ListBullet"/>
      </w:pPr>
      <w:r>
        <w:rPr>
          <w:b w:val="0"/>
          <w:sz w:val="22"/>
        </w:rPr>
        <w:t>Se concedió a la plataforma acceso solo al repositorio del proyecto, según el criterio de mínimo privilegio.</w:t>
      </w:r>
    </w:p>
    <w:p>
      <w:r>
        <w:rPr>
          <w:b w:val="0"/>
          <w:sz w:val="22"/>
        </w:rPr>
        <w:t>Hallazgo de seguridad. Al revisar la configuración se detectó que el archivo de entorno local conservaba el valor de ejemplo de la clave del módulo de adquisición (cambiar-por-una-cadena-aleatoria-larga), que está publicado en la plantilla del repositorio: cualquier persona que accediera al repositorio podía enviar lecturas al servicio. Se generó una clave aleatoria de 64 caracteres con secrets.token_urlsafe, se actualizó el archivo de entorno local y la configuración del despliegue, y se conservó un respaldo del archivo anterior. La comprobación inicial no lo detectó porque solo medía la longitud del valor, que coincidía con la de una clave real.</w:t>
      </w:r>
    </w:p>
    <w:p>
      <w:r>
        <w:rPr>
          <w:b w:val="0"/>
          <w:sz w:val="22"/>
        </w:rPr>
        <w:t>Hallazgo de disponibilidad. La plataforma advierte que, en su capa gratuita, la instancia se suspende por inactividad y que la primera petición posterior puede demorar cincuenta segundos o más. El requisito RNF-05 declaraba treinta segundos, de modo que se corrigió a sesenta segundos —en la monografía y en el entregable E1— y el tiempo máximo de espera del cliente se elevó de 45 a 60 segundos, para que esa primera petición no se interprete como un fallo de conexión.</w:t>
      </w:r>
    </w:p>
    <w:p>
      <w:r>
        <w:rPr>
          <w:b w:val="0"/>
          <w:sz w:val="22"/>
        </w:rPr>
        <w:t>Archivos de apoyo generados. Se prepararon dos utilidades reproducibles: una que convierte la clave de la cuenta de servicio en una sola línea y comprueba que sirve para autenticar, y otra que reúne las cinco variables de entorno en un archivo para cargarlas de una vez en la plataforma. Ese archivo contiene secretos, se guardó fuera del repositorio y se elimina una vez cargado.</w:t>
      </w:r>
    </w:p>
    <w:p>
      <w:r>
        <w:rPr>
          <w:b w:val="0"/>
          <w:sz w:val="22"/>
        </w:rPr>
        <w:t>Pendiente de esta fase. Publicar la aplicación web en Firebase Hosting con la dirección del servicio, cerrar los orígenes permitidos (CORS) con la dirección pública de la aplicación, publicar las reglas de seguridad de Firestore y generar el archivo instalable de Android. Se recomienda además rotar la clave de la cuenta de servicio, porque una captura de pantalla mostró su encabezado durante la configuración.</w:t>
      </w:r>
    </w:p>
    <w:p>
      <w:r>
        <w:rPr>
          <w:b w:val="0"/>
          <w:color w:val="555555"/>
          <w:sz w:val="18"/>
        </w:rPr>
        <w:t>____________________________________________________________</w:t>
      </w:r>
    </w:p>
    <w:p>
      <w:pPr>
        <w:pStyle w:val="Heading1"/>
      </w:pPr>
      <w:r>
        <w:t>24. Jueves 17: publicación de la aplicación web y cierre de la seguridad</w:t>
      </w:r>
    </w:p>
    <w:p>
      <w:r>
        <w:rPr>
          <w:b w:val="0"/>
          <w:sz w:val="22"/>
        </w:rPr>
        <w:t>Publicación de la aplicación web. Se compiló la aplicación apuntando al servicio publicado y se publicó en Firebase Hosting, con el agregado de una opción al panel de control que realiza los dos pasos —compilar y publicar— sin escribir comandos. La aplicación quedó accesible en https://sigvach26-bd.web.app y consume el servicio de la nube, de modo que el sistema completo funciona sin depender del equipo del autor. Los orígenes permitidos quedaron verificados sin intervención adicional: si la aplicación publicada lee datos del servicio, el navegador no está bloqueando las peticiones.</w:t>
      </w:r>
    </w:p>
    <w:p>
      <w:r>
        <w:rPr>
          <w:b w:val="0"/>
          <w:sz w:val="22"/>
        </w:rPr>
        <w:t>Hallazgo: el servicio buscaba la base de datos en otro proyecto. La comprobación de salud del servicio desplegado informaba degradado con la base como no disponible, mientras que el servicio local conectaba sin inconvenientes con las mismas credenciales. El registro del servicio permitió identificar la causa con precisión: la consulta se dirigía al proyecto production en lugar de sigvach26-bd, y Google respondía 403 Cloud Firestore API has not been used in project production. Corregida la variable de configuración del proyecto, la comprobación de salud pasó a informar ok con la base conectada.</w:t>
      </w:r>
    </w:p>
    <w:p>
      <w:r>
        <w:rPr>
          <w:b w:val="0"/>
          <w:sz w:val="22"/>
        </w:rPr>
        <w:t>&gt; Este caso dejó dos enseñanzas que se incorporaron al sistema. La primera es de diagnóstico: el repositorio de Firestore atrapaba cualquier fallo y devolvía «no disponible» sin dejar constancia de la causa, de modo que una credencial ausente, un proyecto equivocado y un problema de permisos producían el mismo síntoma. Ahora la excepción se registra con su tipo y su mensaje, y al arrancar se informa el proyecto y la cuenta de servicio con los que quedó vinculado el SDK. La segunda es de método: comparar el comportamiento local con el desplegado permitió descartar en un paso las credenciales —que funcionaban— y concentrar la búsqueda en la configuración del entorno.</w:t>
      </w:r>
    </w:p>
    <w:p>
      <w:r>
        <w:rPr>
          <w:b w:val="0"/>
          <w:sz w:val="22"/>
        </w:rPr>
        <w:t>Hallazgo de interfaz: el estado vacío no ofrecía salida. Al probar la aplicación publicada, el panel mostró el estado vacío del módulo recién creado —que todavía no tiene lecturas— y, en ese estado, no presentaba el selector de módulo ni la acción de registrar una medición: el usuario quedaba viendo un aviso sin forma de llegar al módulo que sí tiene datos. Se corrigió el componente de estados para que admita un contenido propio del estado vacío, y el panel ahora ofrece allí el encabezado con el selector de módulo y la acción de actualizar.</w:t>
      </w:r>
    </w:p>
    <w:p>
      <w:r>
        <w:rPr>
          <w:b w:val="0"/>
          <w:sz w:val="22"/>
        </w:rPr>
        <w:t>Hallazgo de interfaz: el módulo nuevo no aparecía en el panel. Al registrar un módulo desde la pantalla de módulos, la lista del panel de inicio no se actualizaba: cada controlador conserva la suya, de modo que el módulo recién creado solo aparecía en el selector del panel después de reiniciar la aplicación. Se incorporó un aviso al panel después de cada operación sobre módulos —registrar, modificar y eliminar—, conservando el módulo vigente cuando sigue existiendo.</w:t>
      </w:r>
    </w:p>
    <w:p>
      <w:r>
        <w:rPr>
          <w:b w:val="0"/>
          <w:sz w:val="22"/>
        </w:rPr>
        <w:t>Hallazgo de interfaz: un módulo nuevo no podía recibir su primera medición. El razonamiento del autor durante la prueba fue el que permitió encontrarlo: si un módulo recién creado no tiene lecturas, el panel muestra su estado vacío; y la acción de registrar una medición existía únicamente en el estado con datos. El resultado era que un módulo nuevo no podía poblarse nunca desde la aplicación: quedaba vacío de forma permanente y daba la impresión de que crear módulos no aportaba nada. El estado vacío ofrece ahora la acción de registrar la primera medición, además del selector de módulo y la recarga.</w:t>
      </w:r>
    </w:p>
    <w:p>
      <w:r>
        <w:rPr>
          <w:b w:val="0"/>
          <w:sz w:val="22"/>
        </w:rPr>
        <w:t>&gt; Los tres hallazgos anteriores provienen de usar la aplicación publicada, no de revisar el código: crear un módulo, verlo en el panel y registrar sus mediciones son las operaciones que un usuario real hace en los primeros minutos. Quedan como ejemplo de por qué la prueba en el entorno desplegado —y no solo en el equipo de desarrollo— forma parte del trabajo de construcción.</w:t>
      </w:r>
    </w:p>
    <w:p>
      <w:r>
        <w:rPr>
          <w:b w:val="0"/>
          <w:sz w:val="22"/>
        </w:rPr>
        <w:t>Reglas de seguridad publicadas y verificadas. Antes de publicarlas se verificó que ningún componente del cliente acceda a las colecciones del dominio: la aplicación solo lee y escribe la colección usuarios —el perfil propio y, para el administrador, el resto— y todo el dominio pasa por el servicio. Se comprobó además que el correo del administrador declarado en las reglas coincide con el que asigna la aplicación (admin@sigvach.com) y que las colecciones heredadas del proyecto del aula (registros y firestore_demo) corresponden a código sin uso, de modo que cerrarlas no afecta ninguna pantalla. Publicadas las reglas, se verificó su efecto contra la base de datos real: consultando la API REST sin credenciales, las cinco colecciones del dominio responden 403, y con la cuenta de servicio responden 200. La comprobación quedó implementada como programa (scripts/verificar_acceso_directo.py) para poder repetirla tras cualquier cambio, y documentada en docs/12_VERIFICACION_SEGURIDAD.md.</w:t>
      </w:r>
    </w:p>
    <w:p>
      <w:r>
        <w:rPr>
          <w:b w:val="0"/>
          <w:sz w:val="22"/>
        </w:rPr>
        <w:t>Estado del despliegue. Servicio en la nube (Live), documentación de la API publicada, aplicación web publicada, reglas de seguridad publicadas y comprobación de salud en ok con la base conectada. Queda pendiente generar el archivo instalable de Android y reunir las evidencias de los ocho requisitos mínimos.</w:t>
      </w:r>
    </w:p>
    <w:p>
      <w:r>
        <w:rPr>
          <w:b w:val="0"/>
          <w:color w:val="555555"/>
          <w:sz w:val="18"/>
        </w:rPr>
        <w:t>____________________________________________________________</w:t>
      </w:r>
    </w:p>
    <w:p>
      <w:r>
        <w:rPr>
          <w:b w:val="0"/>
          <w:sz w:val="22"/>
        </w:rPr>
        <w:t>Bitácora de trabajo del Módulo 4. Elaborada al cierre de las sesiones del lunes 14, del martes 15, del miércoles 16 y del jueves 17 de septiembre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