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ogo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9B54A"/>
          <w:sz w:val="60"/>
        </w:rPr>
        <w:t>SI.G.VA.C.H.</w:t>
      </w:r>
    </w:p>
    <w:p>
      <w:pPr>
        <w:jc w:val="center"/>
      </w:pPr>
      <w:r>
        <w:rPr>
          <w:b w:val="0"/>
          <w:color w:val="555555"/>
          <w:sz w:val="26"/>
        </w:rPr>
        <w:t>Sistema de Gestión de Variables para Cultivos Hidropónicos</w:t>
      </w:r>
    </w:p>
    <w:p/>
    <w:p/>
    <w:p>
      <w:pPr>
        <w:jc w:val="center"/>
      </w:pPr>
      <w:r>
        <w:rPr>
          <w:b/>
          <w:color w:val="2E7D32"/>
          <w:sz w:val="40"/>
        </w:rPr>
        <w:t>20 PLAN DE LA TUTORIA</w:t>
      </w:r>
    </w:p>
    <w:p>
      <w:r>
        <w:br w:type="page"/>
      </w:r>
    </w:p>
    <w:p>
      <w:pPr>
        <w:pStyle w:val="Title"/>
      </w:pPr>
      <w:r>
        <w:t>Plan de la tutoría — martes 29 de septiembre de 2026</w:t>
      </w:r>
    </w:p>
    <w:p>
      <w:r>
        <w:rPr>
          <w:b w:val="0"/>
          <w:sz w:val="22"/>
        </w:rPr>
        <w:t>Objetivo de la sesión: cerrar las observaciones que quedaron pendientes del tutor</w:t>
      </w:r>
    </w:p>
    <w:p>
      <w:r>
        <w:rPr>
          <w:b w:val="0"/>
          <w:sz w:val="22"/>
        </w:rPr>
        <w:t>(A-4, A-11 y A-12), mostrarle el sistema funcionando y llevarse las decisiones por escrito.</w:t>
      </w:r>
    </w:p>
    <w:p>
      <w:r>
        <w:rPr>
          <w:b w:val="0"/>
          <w:sz w:val="22"/>
        </w:rPr>
        <w:t>Idea de fondo: a una tutoría se va con respuestas y se sale con decisiones. No es una</w:t>
      </w:r>
    </w:p>
    <w:p>
      <w:r>
        <w:rPr>
          <w:b w:val="0"/>
          <w:sz w:val="22"/>
        </w:rPr>
        <w:t>sesión para explicar lo que ya está en el documento, sino para desbloquear lo que depende de él.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1. Lo que se reporta (cinco minutos)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decir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Entregable E2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Entregado el sábado 26 a las 00:52, 23 horas antes del cierre. El PDF con las figuras ajustadas al ancho y los datos de acceso en el campo de texto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Cuestionario Q2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Completado el mismo día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Sistema desplegado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La aplicación (sigvach26-bd.web.app) contra el servicio publicado, con login, panel, alertas e historial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Módulo de adquisición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El ESP32 real publicando cinco variables en producción: temp_ambiental, humedad, temp_solucion, tds y ec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Repositorio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Más de 130 confirmaciones repartidas en 14 días distintos, con README, tablero y documentación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Semana en curso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La maqueta se monta esta semana, y el electrodo de pH está en recuperación</w:t>
            </w:r>
          </w:p>
        </w:tc>
      </w:tr>
    </w:tbl>
    <w:p/>
    <w:p>
      <w:r>
        <w:rPr>
          <w:b w:val="0"/>
          <w:sz w:val="22"/>
        </w:rPr>
        <w:t>Un dato que conviene decir de entrada, porque evita la pregunta incómoda: el módulo publica</w:t>
      </w:r>
    </w:p>
    <w:p>
      <w:r>
        <w:rPr>
          <w:b w:val="0"/>
          <w:sz w:val="22"/>
        </w:rPr>
        <w:t>cinco variables; la sexta, el pH, está pendiente de forma declarada, con el electrodo en</w:t>
      </w:r>
    </w:p>
    <w:p>
      <w:r>
        <w:rPr>
          <w:b w:val="0"/>
          <w:sz w:val="22"/>
        </w:rPr>
        <w:t>remojo y una decisión prevista para el miércoles. No es un olvido: es un alcance declarado.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2. Lo que se muestra (cinco minutos)</w:t>
      </w:r>
    </w:p>
    <w:p>
      <w:pPr>
        <w:pStyle w:val="ListNumber"/>
      </w:pPr>
      <w:r>
        <w:rPr>
          <w:b w:val="0"/>
          <w:sz w:val="22"/>
        </w:rPr>
        <w:t>La aplicación en vivo, en el navegador, con el módulo de la maqueta seleccionado y los</w:t>
      </w:r>
    </w:p>
    <w:p>
      <w:r>
        <w:rPr>
          <w:b w:val="0"/>
          <w:sz w:val="22"/>
        </w:rPr>
        <w:t>valores actualizándose. Conviene abrirla dos minutos antes: la capa gratuita del servicio</w:t>
      </w:r>
    </w:p>
    <w:p>
      <w:r>
        <w:rPr>
          <w:b w:val="0"/>
          <w:sz w:val="22"/>
        </w:rPr>
        <w:t>se duerme por inactividad y la primera carga puede tardar.</w:t>
      </w:r>
    </w:p>
    <w:p>
      <w:pPr>
        <w:pStyle w:val="ListNumber"/>
      </w:pPr>
      <w:r>
        <w:rPr>
          <w:b w:val="0"/>
          <w:sz w:val="22"/>
        </w:rPr>
        <w:t>El Monitor Serie, si se lleva el módulo: las lecturas entrando solas y el -&gt; almacenada</w:t>
      </w:r>
    </w:p>
    <w:p>
      <w:r>
        <w:rPr>
          <w:b w:val="0"/>
          <w:sz w:val="22"/>
        </w:rPr>
        <w:t>de cada variable. Es la prueba de que el dato nace en el hardware.</w:t>
      </w:r>
    </w:p>
    <w:p>
      <w:pPr>
        <w:pStyle w:val="ListNumber"/>
      </w:pPr>
      <w:r>
        <w:rPr>
          <w:b w:val="0"/>
          <w:sz w:val="22"/>
        </w:rPr>
        <w:t>El tablero (docs/TABLERO.md) y el plan de la semana, para que vea que hay método.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3. Lo que se cierra con el tutor — el punto central de la agenda</w:t>
      </w:r>
    </w:p>
    <w:p>
      <w:pPr>
        <w:pStyle w:val="Heading2"/>
      </w:pPr>
      <w:r>
        <w:t>A-4 · Ámbito del módulo piloto</w:t>
      </w:r>
    </w:p>
    <w:p>
      <w:r>
        <w:rPr>
          <w:b w:val="0"/>
          <w:sz w:val="22"/>
        </w:rPr>
        <w:t>El entregable menciona «el módulo de cultivo piloto» y no existía un módulo físico construido. Hay</w:t>
      </w:r>
    </w:p>
    <w:p>
      <w:r>
        <w:rPr>
          <w:b w:val="0"/>
          <w:sz w:val="22"/>
        </w:rPr>
        <w:t>que decidir cómo se nombra ese ámbito en el objetivo general y en el apartado 1.2.</w:t>
      </w:r>
    </w:p>
    <w:p>
      <w:r>
        <w:rPr>
          <w:b w:val="0"/>
          <w:sz w:val="22"/>
        </w:rPr>
        <w:t>Qué decir: la maqueta física se monta esta semana —depósito, los cinco sensores, el módulo</w:t>
      </w:r>
    </w:p>
    <w:p>
      <w:r>
        <w:rPr>
          <w:b w:val="0"/>
          <w:sz w:val="22"/>
        </w:rPr>
        <w:t>publicando—, así que el «módulo piloto» deja de ser una mención en el documento y pasa a ser un</w:t>
      </w:r>
    </w:p>
    <w:p>
      <w:r>
        <w:rPr>
          <w:b w:val="0"/>
          <w:sz w:val="22"/>
        </w:rPr>
        <w:t>montaje real y verificable. Preguntar si con eso queda cerrada o si prefiere otro nombre.</w:t>
      </w:r>
    </w:p>
    <w:p>
      <w:pPr>
        <w:pStyle w:val="Heading2"/>
      </w:pPr>
      <w:r>
        <w:t>A-11 y A-12 · Quedaron sin registrar</w:t>
      </w:r>
    </w:p>
    <w:p>
      <w:r>
        <w:rPr>
          <w:b w:val="0"/>
          <w:sz w:val="22"/>
        </w:rPr>
        <w:t>En la bitácora del 22 de septiembre aparecen como pendientes, pero no quedó escrito qué pedían.</w:t>
      </w:r>
    </w:p>
    <w:p>
      <w:r>
        <w:rPr>
          <w:b w:val="0"/>
          <w:sz w:val="22"/>
        </w:rPr>
        <w:t>Pedirle que las precise y anotarlas en el momento, con sus palabras.</w:t>
      </w:r>
    </w:p>
    <w:p>
      <w:pPr>
        <w:pStyle w:val="Heading2"/>
      </w:pPr>
      <w:r>
        <w:t>C · El dato del ensayo previo</w:t>
      </w:r>
    </w:p>
    <w:p>
      <w:pPr>
        <w:pStyle w:val="ListBullet"/>
      </w:pPr>
      <w:r>
        <w:rPr>
          <w:b w:val="0"/>
          <w:sz w:val="22"/>
        </w:rPr>
        <w:t>Número de detecciones tardías: confirmar el dato con él.</w:t>
      </w:r>
    </w:p>
    <w:p>
      <w:pPr>
        <w:pStyle w:val="ListBullet"/>
      </w:pPr>
      <w:r>
        <w:rPr>
          <w:b w:val="0"/>
          <w:sz w:val="22"/>
        </w:rPr>
        <w:t>Ámbito del módulo piloto: es el mismo asunto que A-4, se cierra junto.</w:t>
      </w:r>
    </w:p>
    <w:p>
      <w:pPr>
        <w:pStyle w:val="Heading2"/>
      </w:pPr>
      <w:r>
        <w:t>D · Los tres puntos de limpieza</w:t>
      </w:r>
    </w:p>
    <w:p>
      <w:r>
        <w:rPr>
          <w:b w:val="0"/>
          <w:sz w:val="22"/>
        </w:rPr>
        <w:t>Se informan como resueltos: el usuario de prueba está declarado como ficticio, el documento no</w:t>
      </w:r>
    </w:p>
    <w:p>
      <w:r>
        <w:rPr>
          <w:b w:val="0"/>
          <w:sz w:val="22"/>
        </w:rPr>
        <w:t>tiene hojas de verificación ni restos de plantilla, y las figuras están ajustadas al ancho de la</w:t>
      </w:r>
    </w:p>
    <w:p>
      <w:r>
        <w:rPr>
          <w:b w:val="0"/>
          <w:sz w:val="22"/>
        </w:rPr>
        <w:t>página y sin deformación.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4. Lo que se pregunta (llevarlo escrito y leerlo)</w:t>
      </w:r>
    </w:p>
    <w:p>
      <w:pPr>
        <w:pStyle w:val="ListNumber"/>
      </w:pPr>
      <w:r>
        <w:rPr>
          <w:b w:val="0"/>
          <w:sz w:val="22"/>
        </w:rPr>
        <w:t>A-11 y A-12: ¿cuáles eran exactamente?</w:t>
      </w:r>
    </w:p>
    <w:p>
      <w:pPr>
        <w:pStyle w:val="ListNumber"/>
      </w:pPr>
      <w:r>
        <w:rPr>
          <w:b w:val="0"/>
          <w:sz w:val="22"/>
        </w:rPr>
        <w:t>A-4: ¿cerramos el ámbito del módulo piloto con la maqueta que se está montando esta semana?</w:t>
      </w:r>
    </w:p>
    <w:p>
      <w:pPr>
        <w:pStyle w:val="ListNumber"/>
      </w:pPr>
      <w:r>
        <w:rPr>
          <w:b w:val="0"/>
          <w:sz w:val="22"/>
        </w:rPr>
        <w:t>Detecciones tardías del ensayo previo: ¿confirmamos el número con este dato?</w:t>
      </w:r>
    </w:p>
    <w:p>
      <w:pPr>
        <w:pStyle w:val="ListNumber"/>
      </w:pPr>
      <w:r>
        <w:rPr>
          <w:b w:val="0"/>
          <w:sz w:val="22"/>
        </w:rPr>
        <w:t>E3: ¿qué espera exactamente para el E3 —roles con autorización en cada ruta, batería de</w:t>
      </w:r>
    </w:p>
    <w:p>
      <w:r>
        <w:rPr>
          <w:b w:val="0"/>
          <w:sz w:val="22"/>
        </w:rPr>
        <w:t>pruebas del apartado 2.8, Capítulos 1 y 2 completos— y para cuándo?</w:t>
      </w:r>
    </w:p>
    <w:p>
      <w:pPr>
        <w:pStyle w:val="ListNumber"/>
      </w:pPr>
      <w:r>
        <w:rPr>
          <w:b w:val="0"/>
          <w:sz w:val="22"/>
        </w:rPr>
        <w:t>Defensa del 13 de octubre: ¿qué quiere ver en el guion y con cuánto tiempo se presenta?</w:t>
      </w:r>
    </w:p>
    <w:p>
      <w:pPr>
        <w:pStyle w:val="ListNumber"/>
      </w:pPr>
      <w:r>
        <w:rPr>
          <w:b w:val="0"/>
          <w:sz w:val="22"/>
        </w:rPr>
        <w:t>El pH: si el electrodo no revive, ¿le parece correcto presentar la variable como</w:t>
      </w:r>
    </w:p>
    <w:p>
      <w:r>
        <w:rPr>
          <w:b w:val="0"/>
          <w:sz w:val="22"/>
        </w:rPr>
        <w:t>pendiente declarada con la compra prevista, en lugar de forzar un dato?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5. Qué llevar</w:t>
      </w:r>
    </w:p>
    <w:p>
      <w:pPr>
        <w:pStyle w:val="ListBullet"/>
      </w:pPr>
      <w:r>
        <w:rPr>
          <w:b w:val="0"/>
          <w:sz w:val="22"/>
        </w:rPr>
        <w:t>[ ] La dirección de la aplicación y el usuario de prueba (por si quiere entrar en el momento)</w:t>
      </w:r>
    </w:p>
    <w:p>
      <w:pPr>
        <w:pStyle w:val="ListBullet"/>
      </w:pPr>
      <w:r>
        <w:rPr>
          <w:b w:val="0"/>
          <w:sz w:val="22"/>
        </w:rPr>
        <w:t>[ ] El módulo ESP32 con los sensores, si se puede transportar</w:t>
      </w:r>
    </w:p>
    <w:p>
      <w:pPr>
        <w:pStyle w:val="ListBullet"/>
      </w:pPr>
      <w:r>
        <w:rPr>
          <w:b w:val="0"/>
          <w:sz w:val="22"/>
        </w:rPr>
        <w:t>[ ] Fotos del montaje y del electrodo en remojo, por si falla la conexión</w:t>
      </w:r>
    </w:p>
    <w:p>
      <w:pPr>
        <w:pStyle w:val="ListBullet"/>
      </w:pPr>
      <w:r>
        <w:rPr>
          <w:b w:val="0"/>
          <w:sz w:val="22"/>
        </w:rPr>
        <w:t>[ ] Este plan, el tablero y el registro del remojo, en el celular</w:t>
      </w:r>
    </w:p>
    <w:p>
      <w:pPr>
        <w:pStyle w:val="ListBullet"/>
      </w:pPr>
      <w:r>
        <w:rPr>
          <w:b w:val="0"/>
          <w:sz w:val="22"/>
        </w:rPr>
        <w:t>[ ] Papel y lapicero: los acuerdos se escriben en el momento</w:t>
      </w:r>
    </w:p>
    <w:p>
      <w:r>
        <w:rPr>
          <w:b w:val="0"/>
          <w:color w:val="555555"/>
          <w:sz w:val="18"/>
        </w:rPr>
        <w:t>____________________________________________________________</w:t>
      </w:r>
    </w:p>
    <w:p>
      <w:pPr>
        <w:pStyle w:val="Heading1"/>
      </w:pPr>
      <w:r>
        <w:t>6. Cómo cerrar la sesión</w:t>
      </w:r>
    </w:p>
    <w:p>
      <w:r>
        <w:rPr>
          <w:b w:val="0"/>
          <w:sz w:val="22"/>
        </w:rPr>
        <w:t>Antes de salir, leer en voz alta los acuerdos y confirmarlos: qué quedó cerrado, qué queda</w:t>
      </w:r>
    </w:p>
    <w:p>
      <w:r>
        <w:rPr>
          <w:b w:val="0"/>
          <w:sz w:val="22"/>
        </w:rPr>
        <w:t>pendiente y quién hace qué. Después, al llegar, registrarlos en la bitácora del día.</w:t>
      </w:r>
    </w:p>
    <w:p>
      <w:r>
        <w:rPr>
          <w:b w:val="0"/>
          <w:sz w:val="22"/>
        </w:rPr>
        <w:t>Ese resumen escrito es lo que evita que, en la próxima tutoría, vuelvan a aparecer observaciones</w:t>
      </w:r>
    </w:p>
    <w:p>
      <w:r>
        <w:rPr>
          <w:b w:val="0"/>
          <w:sz w:val="22"/>
        </w:rPr>
        <w:t>que ya se habían atendido.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