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26 de septiembre de 2026</w:t>
            </w:r>
            <w:r w:rsidRPr="00C028A7"/>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 https://bluelab.com · consulta: 13/09/2026</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 https://hannainst.com · consulta: 13/09/2026</w:t>
            </w:r>
          </w:p>
        </w:tc>
      </w:tr>
      <w:tr w:rsidR="000261F7" w:rsidRPr="00086D8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 Agricultural Technology (s. f.). https://www.trolmaster.com · consulta: 13/09/2026</w:t>
            </w:r>
            <w:proofErr w:type="spellEnd"/>
            <w:r w:rsidRPr="00C028A7">
              <w:rPr>
                <w:lang w:val="en-US"/>
              </w:rPr>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 https://github.com/kizniche/Mycodo · consulta: 13/09/2026</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no conservado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086D8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086D8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2.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Should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 de requisitos: 13 · Must have: 7 · Porcentaje Must have: 53,8 % (debe ser ≤ 60 %) El requisito RF-04 —catálogo de las siete variables— se clasifica como Should porque el catálogo se entrega cargado en el servicio como dato inicial, de modo que el diccionario y la evaluación de rangos (RF-09) no dependen de un requisito diferido.</w:t>
      </w:r>
      <w:proofErr w:type="gramEnd"/>
      <w:r>
        <w:rPr>
          <w:b/>
          <w:bCs/>
        </w:rPr>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Patrón arquitectónico adoptado: 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tc>
          <w:tcPr>
            <w:tcW w:type="dxa" w:w="1668"/>
          </w:tcPr>
          <w:p>
            <w:r>
              <w:t>registrado_por</w:t>
            </w:r>
          </w:p>
        </w:tc>
        <w:tc>
          <w:tcPr>
            <w:tcW w:type="dxa" w:w="1227"/>
          </w:tcPr>
          <w:p>
            <w:r>
              <w:t>Texto</w:t>
            </w:r>
          </w:p>
        </w:tc>
        <w:tc>
          <w:tcPr>
            <w:tcW w:type="dxa" w:w="1227"/>
          </w:tcPr>
          <w:p>
            <w:r>
              <w:t>40</w:t>
            </w:r>
          </w:p>
        </w:tc>
        <w:tc>
          <w:tcPr>
            <w:tcW w:type="dxa" w:w="1480"/>
          </w:tcPr>
          <w:p>
            <w:r>
              <w:t>No</w:t>
            </w:r>
          </w:p>
        </w:tc>
        <w:tc>
          <w:tcPr>
            <w:tcW w:type="dxa" w:w="1921"/>
          </w:tcPr>
          <w:p>
            <w:r>
              <w:t>Nulo en el envío automático</w:t>
            </w:r>
          </w:p>
        </w:tc>
        <w:tc>
          <w:tcPr>
            <w:tcW w:type="dxa" w:w="1975"/>
          </w:tcPr>
          <w:p>
            <w:r>
              <w:t>El campo `registrado_por` guarda el identificador del usuario que realizó la medición manual; lo resuelve el servidor a partir de la sesión y queda nulo cuando la lectura la envió el módulo de adquisición, porque entonces la lectura queda identificada por su módulo y su origen automático (RNF-08).</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pPr/>
      <w:r>
        <w:t>Las demás colecciones del modelo documental. La Tabla 11 detalla la colección `lecturas`, que es la de mayor volumen y la que concentra las reglas de validación. Las otras colecciones se describen a continuación con sus campos: `modulos_cultivo` —`nombre`, `tipo_cultivo`, `perfil_id`, `ubicacion`, `activo`— identifica cada zona de cultivo y el perfil del que toma los rangos con que se evalúan sus lecturas; `perfiles_cultivo` —`nombre`, `descripcion`, `predefinido`—; `rangos` —`perfil_id`, `variable`, `minimo`, `maximo`— fija los límites de cada variable por perfil, con el mínimo menor que el máximo; `alertas` —`lectura_id`, `modulo_id`, `variable`, `valor`, `unidad`, `rango_minimo`, `rango_maximo`, `desviacion`, `estado`, `atendida_en`— referencia la lectura que la originó y copia sus datos de identificación, con los límites vigentes en ese momento; y `usuarios` —`email`, `nombre`, `rol`, `activo`, `telefono`, `cargo`— guarda el perfil de la cuenta, cuyo identificador de documento es el `uid` que emite el proveedor de identidad.</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tc>
          <w:tcPr>
            <w:tcW w:type="dxa" w:w="1134"/>
          </w:tcPr>
          <w:p>
            <w:r>
              <w:t>POST · GET · PATCH · DELETE</w:t>
            </w:r>
          </w:p>
        </w:tc>
        <w:tc>
          <w:tcPr>
            <w:tcW w:type="dxa" w:w="3802"/>
          </w:tcPr>
          <w:p>
            <w:r>
              <w:t>/api/v1/perfiles · /api/v1/perfiles/{id}</w:t>
            </w:r>
          </w:p>
        </w:tc>
        <w:tc>
          <w:tcPr>
            <w:tcW w:type="dxa" w:w="1401"/>
          </w:tcPr>
          <w:p>
            <w:r>
              <w:t>Sí (token)</w:t>
            </w:r>
          </w:p>
        </w:tc>
        <w:tc>
          <w:tcPr>
            <w:tcW w:type="dxa" w:w="1681"/>
          </w:tcPr>
          <w:p>
            <w:r>
              <w:t>Administrador (escritura) · Operador (lectura)</w:t>
            </w:r>
          </w:p>
        </w:tc>
        <w:tc>
          <w:tcPr>
            <w:tcW w:type="dxa" w:w="1521"/>
          </w:tcPr>
          <w:p>
            <w:r>
              <w:t>nombre, descripcion, predefinido</w:t>
            </w:r>
          </w:p>
        </w:tc>
        <w:tc>
          <w:tcPr>
            <w:tcW w:type="dxa" w:w="1134"/>
          </w:tcPr>
          <w:p>
            <w:r>
              <w:t>200 · 201 · 204</w:t>
            </w:r>
          </w:p>
        </w:tc>
        <w:tc>
          <w:tcPr>
            <w:tcW w:type="dxa" w:w="1796"/>
          </w:tcPr>
          <w:p>
            <w:r>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tc>
          <w:tcPr>
            <w:tcW w:type="dxa" w:w="1134"/>
          </w:tcPr>
          <w:p>
            <w:r>
              <w:t>GET</w:t>
            </w:r>
          </w:p>
        </w:tc>
        <w:tc>
          <w:tcPr>
            <w:tcW w:type="dxa" w:w="3802"/>
          </w:tcPr>
          <w:p>
            <w:r>
              <w:t>/api/v1/usuarios</w:t>
            </w:r>
          </w:p>
        </w:tc>
        <w:tc>
          <w:tcPr>
            <w:tcW w:type="dxa" w:w="1401"/>
          </w:tcPr>
          <w:p>
            <w:r>
              <w:t>Sí (token)</w:t>
            </w:r>
          </w:p>
        </w:tc>
        <w:tc>
          <w:tcPr>
            <w:tcW w:type="dxa" w:w="1681"/>
          </w:tcPr>
          <w:p>
            <w:r>
              <w:t>Administrador</w:t>
            </w:r>
          </w:p>
        </w:tc>
        <w:tc>
          <w:tcPr>
            <w:tcW w:type="dxa" w:w="1521"/>
          </w:tcPr>
          <w:p>
            <w:r>
              <w:t>—</w:t>
            </w:r>
          </w:p>
        </w:tc>
        <w:tc>
          <w:tcPr>
            <w:tcW w:type="dxa" w:w="1134"/>
          </w:tcPr>
          <w:p>
            <w:r>
              <w:t>200 + lista</w:t>
            </w:r>
          </w:p>
        </w:tc>
        <w:tc>
          <w:tcPr>
            <w:tcW w:type="dxa" w:w="1796"/>
          </w:tcPr>
          <w:p>
            <w:r>
              <w:t>401, 403</w:t>
            </w:r>
          </w:p>
        </w:tc>
      </w:tr>
      <w:tr>
        <w:tc>
          <w:tcPr>
            <w:tcW w:type="dxa" w:w="1134"/>
          </w:tcPr>
          <w:p>
            <w:r>
              <w:t>GET · PATCH · DELETE</w:t>
            </w:r>
          </w:p>
        </w:tc>
        <w:tc>
          <w:tcPr>
            <w:tcW w:type="dxa" w:w="3802"/>
          </w:tcPr>
          <w:p>
            <w:r>
              <w:t>/api/v1/usuarios/{uid}</w:t>
            </w:r>
          </w:p>
        </w:tc>
        <w:tc>
          <w:tcPr>
            <w:tcW w:type="dxa" w:w="1401"/>
          </w:tcPr>
          <w:p>
            <w:r>
              <w:t>Sí (token)</w:t>
            </w:r>
          </w:p>
        </w:tc>
        <w:tc>
          <w:tcPr>
            <w:tcW w:type="dxa" w:w="1681"/>
          </w:tcPr>
          <w:p>
            <w:r>
              <w:t>Administrador</w:t>
            </w:r>
          </w:p>
        </w:tc>
        <w:tc>
          <w:tcPr>
            <w:tcW w:type="dxa" w:w="1521"/>
          </w:tcPr>
          <w:p>
            <w:r>
              <w:t>nombre, telefono, cargo, rol, activo</w:t>
            </w:r>
          </w:p>
        </w:tc>
        <w:tc>
          <w:tcPr>
            <w:tcW w:type="dxa" w:w="1134"/>
          </w:tcPr>
          <w:p>
            <w:r>
              <w:t>200 · 204</w:t>
            </w:r>
          </w:p>
        </w:tc>
        <w:tc>
          <w:tcPr>
            <w:tcW w:type="dxa" w:w="1796"/>
          </w:tcPr>
          <w:p>
            <w:r>
              <w:t>400, 401, 403, 404, 409, 422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12.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0.141.1 · Python 3.13 · uvicorn 0.52.4 · firebase-admin 7.5.0</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(capa gratuita) y servicio en Render (capa gratuita)</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 (contexto complementario, fuera del alcance evaluado)</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pPr>
        <w:pStyle w:val="Ttulo1"/>
      </w:pPr>
      <w:r>
        <w:rPr>
          <w:b w:val="0"/>
        </w:rPr>
        <w:t>2.6 Implementación</w:t>
      </w:r>
    </w:p>
    <w:p>
      <w:pPr/>
      <w:r>
        <w:rPr>
          <w:b w:val="0"/>
        </w:rP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pPr>
        <w:pStyle w:val="Ttulo2"/>
      </w:pPr>
      <w:r>
        <w:rPr>
          <w:b w:val="0"/>
        </w:rPr>
        <w:t>2.6.1 Componentes construidos</w:t>
      </w:r>
    </w:p>
    <w:p>
      <w:pPr/>
      <w:r>
        <w:rPr>
          <w:b/>
        </w:rPr>
        <w:t xml:space="preserve">Servicio de la API. </w:t>
      </w:r>
      <w:r>
        <w:rPr>
          <w:b w:val="0"/>
        </w:rPr>
        <w:t>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pPr/>
      <w:r>
        <w:rPr>
          <w:b/>
        </w:rPr>
        <w:t xml:space="preserve">Módulo de evaluación y alertas. </w:t>
      </w:r>
      <w:r>
        <w:rPr>
          <w:b w:val="0"/>
        </w:rP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pPr/>
      <w:r>
        <w:rPr>
          <w:b/>
        </w:rPr>
        <w:t xml:space="preserve">Capa de acceso al servicio en la aplicación. </w:t>
      </w:r>
      <w:r>
        <w:rPr>
          <w:b w:val="0"/>
        </w:rPr>
        <w:t>Comprende el cliente HTTP —que adjunta el token de identidad, traduce las respuestas de error del contrato y distingue el fallo de conexión del rechazo del servidor—, los modelos de los recursos del contrato y los repositorios de módulos, lecturas, rangos, alertas y perfiles.</w:t>
      </w:r>
    </w:p>
    <w:p>
      <w:pPr/>
      <w:r>
        <w:rPr>
          <w:b/>
        </w:rPr>
        <w:t xml:space="preserve">Interfaz de estados de las vistas. </w:t>
      </w:r>
      <w:r>
        <w:rPr>
          <w:b w:val="0"/>
        </w:rP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pPr/>
      <w:r>
        <w:rPr>
          <w:b/>
        </w:rPr>
        <w:t xml:space="preserve">Módulo de adquisición (ESP32). </w:t>
      </w:r>
      <w:r>
        <w:rPr>
          <w:b w:val="0"/>
        </w:rPr>
        <w:t>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la variable de pH queda a la espera de la recuperación del electrodo y el nivel de agua se registra de forma manual, conforme a lo declarado en el apartado 2.3.4.</w:t>
      </w:r>
    </w:p>
    <w:p>
      <w:pPr/>
      <w:r>
        <w:rPr>
          <w:b w:val="0"/>
        </w:rPr>
        <w:t>El firmware incorpora tres mecanismos que sostienen la integridad del registro:</w:t>
      </w:r>
    </w:p>
    <w:p>
      <w:pPr/>
      <w:r>
        <w:rPr>
          <w:b/>
        </w:rPr>
        <w:t xml:space="preserve">La calibración de fábrica del convertidor analógico. </w:t>
      </w:r>
      <w:r>
        <w:rPr>
          <w:b w:val="0"/>
        </w:rP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pPr/>
      <w:r>
        <w:rPr>
          <w:b/>
        </w:rPr>
        <w:t xml:space="preserve">Una cola de lecturas pendientes en memoria no volátil. </w:t>
      </w:r>
      <w:r>
        <w:rPr>
          <w:b w:val="0"/>
        </w:rP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pPr/>
      <w:r>
        <w:rPr>
          <w:b/>
        </w:rPr>
        <w:t xml:space="preserve">La validación del certificado del servidor. </w:t>
      </w:r>
      <w:r>
        <w:rPr>
          <w:b w:val="0"/>
        </w:rPr>
        <w:t>La comunicación se cifra y, además, el dispositivo comprueba la identidad del servidor contra el paquete de autoridades de certificación. Sin esa comprobación el tráfico quedaría cifrado pero sin garantía sobre el interlocutor, lo que expondría la clave del dispositivo a un intermediario.</w:t>
      </w:r>
    </w:p>
    <w:p>
      <w:pPr/>
      <w:r>
        <w:rPr>
          <w:b w:val="0"/>
        </w:rPr>
        <w:t>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pPr>
        <w:pStyle w:val="Ttulo2"/>
      </w:pPr>
      <w:r>
        <w:rPr>
          <w:b w:val="0"/>
        </w:rPr>
        <w:t>2.6.2 Decisiones técnicas relevantes</w:t>
      </w:r>
    </w:p>
    <w:p>
      <w:pPr/>
      <w:r>
        <w:rPr>
          <w:b/>
        </w:rPr>
        <w:t xml:space="preserve">La separación entre el nivel de servicio y el de datos. </w:t>
      </w:r>
      <w:r>
        <w:rPr>
          <w:b w:val="0"/>
        </w:rP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pPr/>
      <w:r>
        <w:rPr>
          <w:b/>
        </w:rPr>
        <w:t xml:space="preserve">La validación anclada al campo, y no al modelo. </w:t>
      </w:r>
      <w:r>
        <w:rPr>
          <w:b w:val="0"/>
        </w:rPr>
        <w:t>Los errores de validación señalaban el cuerpo completo de la petición en lugar del dato rechazado. Se trasladó la comprobación a validadores de campo para que la respuesta indique qué corregir (fragmento de la Figura 6).</w:t>
      </w:r>
    </w:p>
    <w:p>
      <w:pPr/>
      <w:r>
        <w:rPr>
          <w:b/>
        </w:rPr>
        <w:t xml:space="preserve">La unidad se hereda del catálogo y el origen lo fija el servidor. </w:t>
      </w:r>
      <w:r>
        <w:rPr>
          <w:b w:val="0"/>
        </w:rP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pPr/>
      <w:r>
        <w:rPr>
          <w:b/>
        </w:rPr>
        <w:t xml:space="preserve">Los nombres de los roles como configuración. </w:t>
      </w:r>
      <w:r>
        <w:rPr>
          <w:b w:val="0"/>
        </w:rPr>
        <w:t>Los roles que habilitan la administración y la operación se leen de las variables de entorno y no de constantes del código, de modo que una definición distinta del alcance de roles no obligue a modificar la lógica de autorización.</w:t>
      </w:r>
    </w:p>
    <w:p>
      <w:pPr/>
      <w:r>
        <w:rPr>
          <w:b/>
        </w:rPr>
        <w:t xml:space="preserve">La migración del firmware a un marco de trabajo nativo. </w:t>
      </w:r>
      <w:r>
        <w:rPr>
          <w:b w:val="0"/>
        </w:rP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pPr>
        <w:pStyle w:val="Ttulo2"/>
      </w:pPr>
      <w:r>
        <w:rPr>
          <w:b w:val="0"/>
        </w:rPr>
        <w:t>2.6.3 Dificultades encontradas y su resolución</w:t>
      </w:r>
    </w:p>
    <w:p>
      <w:pPr/>
      <w:r>
        <w:rPr>
          <w:b/>
        </w:rPr>
        <w:t xml:space="preserve">La validación señalaba el cuerpo en lugar del campo. </w:t>
      </w:r>
      <w:r>
        <w:rPr>
          <w:b w:val="0"/>
        </w:rP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pPr/>
      <w:r>
        <w:rPr>
          <w:b/>
        </w:rPr>
        <w:t xml:space="preserve">El módulo de adquisición no podía autenticarse como se había previsto. </w:t>
      </w:r>
      <w:r>
        <w:rPr>
          <w:b w:val="0"/>
        </w:rP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pPr/>
      <w:r>
        <w:rPr>
          <w:b/>
        </w:rPr>
        <w:t xml:space="preserve">El primer dato que el módulo publicaba después de encenderse era falso. </w:t>
      </w:r>
      <w:r>
        <w:rPr>
          <w:b w:val="0"/>
        </w:rP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pPr/>
      <w:r>
        <w:rPr>
          <w:b/>
        </w:rPr>
        <w:t xml:space="preserve">El servicio rechazaba las lecturas de temperatura sin explicar por qué. </w:t>
      </w:r>
      <w:r>
        <w:rPr>
          <w:b w:val="0"/>
        </w:rP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pPr/>
      <w:r>
        <w:rPr>
          <w:b/>
        </w:rPr>
        <w:t xml:space="preserve">El entorno de desarrollo impedía ejecutar el analizador y el gestor de paquetes. </w:t>
      </w:r>
      <w:r>
        <w:rPr>
          <w:b w:val="0"/>
        </w:rPr>
        <w:t>Restricciones de permisos en el equipo de trabajo impedían que el gestor de paquetes de Python desempaquetara sus dependencias y que el tool de Flutter accediera a su caché, por lo que ninguna de las dos herramientas llegaba a ejecutarse. Resolución: se identificó la causa —el acceso de escritura a directorios fuera del proyecto— y se documentó el procedimiento de ejecución con los permisos necesarios.</w:t>
      </w:r>
    </w:p>
    <w:p>
      <w:pPr>
        <w:pStyle w:val="Ttulo2"/>
      </w:pPr>
      <w:r>
        <w:rPr>
          <w:b w:val="0"/>
        </w:rPr>
        <w:t>2.6.4 Fragmentos de código ilustrativos</w:t>
      </w:r>
    </w:p>
    <w:p>
      <w:pPr/>
      <w:r>
        <w:rPr>
          <w:b w:val="0"/>
        </w:rPr>
        <w:t>Los fragmentos siguientes se incluyen por su valor ilustrativo de las decisiones descritas; el código completo reside en el repositorio.</w:t>
      </w:r>
    </w:p>
    <w:p>
      <w:pPr/>
      <w:r>
        <w:rPr>
          <w:b/>
        </w:rPr>
        <w:t xml:space="preserve">Figura 6. </w:t>
      </w:r>
      <w:r>
        <w:rPr>
          <w:b w:val="0"/>
        </w:rPr>
        <w:t>Evaluación de una lectura contra el rango de referencia de su variable. (Fuente: archivo backend/app/servicios/evaluacion.py.)</w:t>
      </w:r>
    </w:p>
    <w:p>
      <w:pPr/>
      <w:r>
        <w:rPr>
          <w:rFonts w:ascii="Consolas" w:hAnsi="Consolas"/>
          <w:b w:val="0"/>
          <w:sz w:val="20"/>
        </w:rPr>
        <w:t>def evaluar_lectura(valor: float, minimo: float | None, maximo: float | None) -&gt; str:</w:t>
        <w:br/>
        <w:t xml:space="preserve">    """Devuelve el estado de una lectura respecto de su rango de referencia.</w:t>
        <w:br/>
        <w:br/>
        <w:t xml:space="preserve">    Si no hay rango configurado para la variable, el estado es `sin_rango`:</w:t>
        <w:br/>
        <w:t xml:space="preserve">    la ausencia de referencia no es un valor fuera de rango.</w:t>
        <w:br/>
        <w:t xml:space="preserve">    """</w:t>
        <w:br/>
        <w:t xml:space="preserve">    if minimo is None or maximo is None:</w:t>
        <w:br/>
        <w:t xml:space="preserve">        return ESTADO_SIN_RANGO</w:t>
        <w:br/>
        <w:t xml:space="preserve">    if valor &lt; minimo:</w:t>
        <w:br/>
        <w:t xml:space="preserve">        return ESTADO_BAJO</w:t>
        <w:br/>
        <w:t xml:space="preserve">    if valor &gt; maximo:</w:t>
        <w:br/>
        <w:t xml:space="preserve">        return ESTADO_ALTO</w:t>
        <w:br/>
        <w:t xml:space="preserve">    return ESTADO_DENTRO</w:t>
      </w:r>
    </w:p>
    <w:p>
      <w:pPr/>
      <w:r>
        <w:rPr>
          <w:b/>
        </w:rPr>
        <w:t xml:space="preserve">Figura 7. </w:t>
      </w:r>
      <w:r>
        <w:rPr>
          <w:b w:val="0"/>
        </w:rPr>
        <w:t>Calibración de fábrica del convertidor analógico en el firmware del módulo de adquisición, que sustituye la estimación por regla de tres. (Fuente: archivo main/main.c.)</w:t>
      </w:r>
    </w:p>
    <w:p>
      <w:pPr/>
      <w:r>
        <w:rPr>
          <w:rFonts w:ascii="Consolas" w:hAnsi="Consolas"/>
          <w:b w:val="0"/>
          <w:sz w:val="20"/>
        </w:rPr>
        <w:t>/* El ESP32 clásico admite un solo esquema de calibración: el de AJUSTE DE</w:t>
        <w:br/>
        <w:t xml:space="preserve"> * RECTA, que se apoya en los valores grabados en el eFuse de fábrica. El de</w:t>
        <w:br/>
        <w:t xml:space="preserve"> * AJUSTE DE CURVA existe únicamente en los ESP32-S2, S3 y C3. */</w:t>
        <w:br/>
        <w:t>adc_cali_line_fitting_config_t configuracion = {</w:t>
        <w:br/>
        <w:t xml:space="preserve">    .unit_id      = ADC_UNIT_1,</w:t>
        <w:br/>
        <w:t xml:space="preserve">    .atten        = ADC_ATTEN_DB_12,</w:t>
        <w:br/>
        <w:t xml:space="preserve">    .bitwidth     = ADC_BITWIDTH_DEFAULT,</w:t>
        <w:br/>
        <w:t xml:space="preserve">    .default_vref = TENSION_REFERENCIA_MV,   /* campo exclusivo del ESP32 */</w:t>
        <w:br/>
        <w:t>};</w:t>
        <w:br/>
        <w:t>adc_cali_create_scheme_line_fitting(&amp;configuracion, &amp;manejador);</w:t>
        <w:br/>
        <w:br/>
        <w:t>/* La primera conversión de un canal recién inicializado no es confiable: el</w:t>
        <w:br/>
        <w:t xml:space="preserve"> * convertidor necesita asentarse. Sin descartarla, informa 142 mV con</w:t>
        <w:br/>
        <w:t xml:space="preserve"> * dispersión cero, que parece una señal buena y no lo es. */</w:t>
        <w:br/>
        <w:t>vTaskDelay(pdMS_TO_TICKS(ASENTAMIENTO_ADC_MS));</w:t>
      </w:r>
    </w:p>
    <w:p>
      <w:pPr>
        <w:pStyle w:val="Ttulo2"/>
      </w:pPr>
      <w:r>
        <w:rPr>
          <w:b w:val="0"/>
        </w:rPr>
        <w:t>2.6.5 Estado de la implementación</w:t>
      </w:r>
    </w:p>
    <w:p>
      <w:pPr/>
      <w:r>
        <w:rPr>
          <w:b w:val="0"/>
        </w:rP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pPr/>
      <w:r>
        <w:rPr>
          <w:b w:val="0"/>
        </w:rPr>
        <w:t>La verificación se sostiene en ciento ochenta y seis pruebas automatizadas —ciento seis del servicio y ochenta de la aplicación— que se ejecutan sin credenciales ni conexión, y en los ensayos de campo del módulo de adquisición consignados en el apartado 2.8, cuyos registros se conservan en el repositorio.</w:t>
      </w:r>
    </w:p>
    <w:p>
      <w:pPr/>
      <w:r>
        <w:rPr>
          <w:b w:val="0"/>
        </w:rP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pPr/>
      <w:r>
        <w:rPr>
          <w:b w:val="0"/>
        </w:rPr>
        <w:t>Queda pendiente la incorporación de la variable de pH —a la espera de la recuperación del electrodo y de su calibración con soluciones patrón— y el registro manual del nivel de agua, conforme a lo declarado en el apartado 2.3.4.</w:t>
      </w:r>
    </w:p>
    <w:p>
      <w:pPr>
        <w:pStyle w:val="Ttulo1"/>
      </w:pPr>
      <w:r>
        <w:rPr>
          <w:b w:val="0"/>
        </w:rPr>
        <w:t>Acceso para la evaluación</w:t>
      </w:r>
    </w:p>
    <w:p>
      <w:pPr/>
      <w:r>
        <w:rPr>
          <w:b w:val="0"/>
        </w:rPr>
        <w:t>Las cuentas que se declaran a continuación se habilitaron para la revisión del entregable. Permiten comprobar el inicio de sesión sobre el sistema desplegado y la distinción de permisos según el rol, descrita en el apartado 2.3.1. Las contraseñas no pueden recuperarse del sistema —el proveedor de identidad las almacena cifradas—, de modo que se consignan aquí para la evaluación.</w:t>
      </w:r>
    </w:p>
    <w:tbl>
      <w:tblPr>
        <w:tblW w:type="auto" w:w="0"/>
        <w:tblLook w:firstColumn="1" w:firstRow="1" w:lastColumn="0" w:lastRow="0" w:noHBand="0" w:noVBand="1" w:val="04A0"/>
      </w:tblPr>
      <w:tblGrid>
        <w:gridCol w:w="3109"/>
        <w:gridCol w:w="3109"/>
        <w:gridCol w:w="3109"/>
        <w:gridCol w:w="3109"/>
      </w:tblGrid>
      <w:tr>
        <w:tc>
          <w:tcPr>
            <w:tcW w:type="dxa" w:w="3109"/>
          </w:tcPr>
          <w:p>
            <w:r/>
            <w:r>
              <w:rPr>
                <w:b/>
              </w:rPr>
              <w:t>Rol</w:t>
            </w:r>
          </w:p>
        </w:tc>
        <w:tc>
          <w:tcPr>
            <w:tcW w:type="dxa" w:w="3109"/>
          </w:tcPr>
          <w:p>
            <w:r/>
            <w:r>
              <w:rPr>
                <w:b/>
              </w:rPr>
              <w:t>Correo electrónico</w:t>
            </w:r>
          </w:p>
        </w:tc>
        <w:tc>
          <w:tcPr>
            <w:tcW w:type="dxa" w:w="3109"/>
          </w:tcPr>
          <w:p>
            <w:r/>
            <w:r>
              <w:rPr>
                <w:b/>
              </w:rPr>
              <w:t>Contraseña</w:t>
            </w:r>
          </w:p>
        </w:tc>
        <w:tc>
          <w:tcPr>
            <w:tcW w:type="dxa" w:w="3109"/>
          </w:tcPr>
          <w:p>
            <w:r/>
            <w:r>
              <w:rPr>
                <w:b/>
              </w:rPr>
              <w:t>Qué permite comprobar</w:t>
            </w:r>
          </w:p>
        </w:tc>
      </w:tr>
      <w:tr>
        <w:tc>
          <w:tcPr>
            <w:tcW w:type="dxa" w:w="3109"/>
          </w:tcPr>
          <w:p>
            <w:r>
              <w:t>Administrador</w:t>
            </w:r>
          </w:p>
        </w:tc>
        <w:tc>
          <w:tcPr>
            <w:tcW w:type="dxa" w:w="3109"/>
          </w:tcPr>
          <w:p>
            <w:r>
              <w:t>mateosantos@yahoo.es</w:t>
            </w:r>
          </w:p>
        </w:tc>
        <w:tc>
          <w:tcPr>
            <w:tcW w:type="dxa" w:w="3109"/>
          </w:tcPr>
          <w:p>
            <w:r>
              <w:t>654321</w:t>
            </w:r>
          </w:p>
        </w:tc>
        <w:tc>
          <w:tcPr>
            <w:tcW w:type="dxa" w:w="3109"/>
          </w:tcPr>
          <w:p>
            <w:r>
              <w:t>Acceso completo al sistema, incluida la administración de cuentas y el cambio de rol y de estado de los usuarios.</w:t>
            </w:r>
          </w:p>
        </w:tc>
      </w:tr>
    </w:tbl>
    <w:p>
      <w:pPr/>
      <w:r>
        <w:rPr>
          <w:b w:val="0"/>
        </w:rPr>
        <w:t>Tabla 14. Cuentas habilitadas para la evaluación del entregable. Fuente: elaboración propia.</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80B35" w14:textId="77777777" w:rsidR="00E06C9C" w:rsidRDefault="00E06C9C">
      <w:pPr>
        <w:spacing w:after="0" w:line="240" w:lineRule="auto"/>
      </w:pPr>
      <w:r>
        <w:separator/>
      </w:r>
    </w:p>
  </w:endnote>
  <w:endnote w:type="continuationSeparator" w:id="0">
    <w:p w14:paraId="5B656B06" w14:textId="77777777" w:rsidR="00E06C9C" w:rsidRDefault="00E06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295A1" w14:textId="77777777" w:rsidR="00E06C9C" w:rsidRDefault="00E06C9C">
      <w:pPr>
        <w:spacing w:after="0" w:line="240" w:lineRule="auto"/>
      </w:pPr>
      <w:r>
        <w:separator/>
      </w:r>
    </w:p>
  </w:footnote>
  <w:footnote w:type="continuationSeparator" w:id="0">
    <w:p w14:paraId="1F5A49ED" w14:textId="77777777" w:rsidR="00E06C9C" w:rsidRDefault="00E06C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5501FD"/>
    <w:rsid w:val="005A6239"/>
    <w:rsid w:val="007058C2"/>
    <w:rsid w:val="00711BD3"/>
    <w:rsid w:val="007A3DDD"/>
    <w:rsid w:val="007B189D"/>
    <w:rsid w:val="00812CB7"/>
    <w:rsid w:val="008E6FB5"/>
    <w:rsid w:val="00926760"/>
    <w:rsid w:val="009C4DEA"/>
    <w:rsid w:val="00A735E5"/>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38</Pages>
  <Words>5663</Words>
  <Characters>31147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7</cp:revision>
  <dcterms:created xsi:type="dcterms:W3CDTF">2026-09-16T00:27:00Z</dcterms:created>
  <dcterms:modified xsi:type="dcterms:W3CDTF">2026-09-19T03:49:00Z</dcterms:modified>
</cp:coreProperties>
</file>