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/>
    <w:p/>
    <w:p/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1280160" cy="128016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_logo_real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280160" cy="1280160"/>
                    </a:xfrm>
                    <a:prstGeom prst="rect"/>
                  </pic:spPr>
                </pic:pic>
              </a:graphicData>
            </a:graphic>
          </wp:inline>
        </w:drawing>
      </w:r>
    </w:p>
    <w:p/>
    <w:p>
      <w:pPr>
        <w:jc w:val="center"/>
      </w:pPr>
      <w:r>
        <w:rPr>
          <w:b/>
          <w:color w:val="39B54A"/>
          <w:sz w:val="60"/>
        </w:rPr>
        <w:t>SI.G.VA.C.H.</w:t>
      </w:r>
    </w:p>
    <w:p>
      <w:pPr>
        <w:jc w:val="center"/>
      </w:pPr>
      <w:r>
        <w:rPr>
          <w:b w:val="0"/>
          <w:color w:val="555555"/>
          <w:sz w:val="26"/>
        </w:rPr>
        <w:t>Sistema de Gestión de Variables para Cultivos Hidropónicos</w:t>
      </w:r>
    </w:p>
    <w:p/>
    <w:p/>
    <w:p>
      <w:pPr>
        <w:jc w:val="center"/>
      </w:pPr>
      <w:r>
        <w:rPr>
          <w:b/>
          <w:color w:val="2E7D32"/>
          <w:sz w:val="40"/>
        </w:rPr>
        <w:t>22 RECOMENDACIONES T3 VERIFICADAS</w:t>
      </w:r>
    </w:p>
    <w:p>
      <w:r>
        <w:br w:type="page"/>
      </w:r>
    </w:p>
    <w:p>
      <w:pPr>
        <w:pStyle w:val="Title"/>
      </w:pPr>
      <w:r>
        <w:t>Recomendaciones de la tutoría T3 — verificación y plan</w:t>
      </w:r>
    </w:p>
    <w:p>
      <w:r>
        <w:rPr>
          <w:b w:val="0"/>
          <w:sz w:val="22"/>
        </w:rPr>
        <w:t>Fuente: Recomendaciones_E2_T3.txt · M.Sc. Ing. Isaac Lange Aguilar · 28 de septiembre de 2026</w:t>
      </w:r>
    </w:p>
    <w:p>
      <w:r>
        <w:rPr>
          <w:b w:val="0"/>
          <w:sz w:val="22"/>
        </w:rPr>
        <w:t>Documento revisado por el docente: Santos_Freddy_E2.pdf (48 páginas)</w:t>
      </w:r>
    </w:p>
    <w:p>
      <w:r>
        <w:rPr>
          <w:b w:val="0"/>
          <w:sz w:val="22"/>
        </w:rPr>
        <w:t>Plazo del E3: sábado 3 de octubre, 23:59</w:t>
      </w:r>
    </w:p>
    <w:p>
      <w:r>
        <w:rPr>
          <w:b w:val="0"/>
          <w:color w:val="555555"/>
          <w:sz w:val="18"/>
        </w:rPr>
        <w:t>____________________________________________________________</w:t>
      </w:r>
    </w:p>
    <w:p>
      <w:pPr>
        <w:pStyle w:val="Heading1"/>
      </w:pPr>
      <w:r>
        <w:t>1. La valoración</w:t>
      </w:r>
    </w:p>
    <w:p>
      <w:r>
        <w:rPr>
          <w:b w:val="0"/>
          <w:sz w:val="22"/>
        </w:rPr>
        <w:t>El docente considera esta entrega «la más sólida del grupo», y destaca tres cosas que van más</w:t>
      </w:r>
    </w:p>
    <w:p>
      <w:r>
        <w:rPr>
          <w:b w:val="0"/>
          <w:sz w:val="22"/>
        </w:rPr>
        <w:t>allá de lo pedido: el ESP32 publicando lecturas reales por HTTPS con clave propia, la evaluación</w:t>
      </w:r>
    </w:p>
    <w:p>
      <w:r>
        <w:rPr>
          <w:b w:val="0"/>
          <w:sz w:val="22"/>
        </w:rPr>
        <w:t>contra el rango vigente con generación de alertas, y las 199 pruebas automatizadas. También valora</w:t>
      </w:r>
    </w:p>
    <w:p>
      <w:r>
        <w:rPr>
          <w:b w:val="0"/>
          <w:sz w:val="22"/>
        </w:rPr>
        <w:t>que el apartado 2.6 cuente dificultades verdaderas con su resolución.</w:t>
      </w:r>
    </w:p>
    <w:p>
      <w:r>
        <w:rPr>
          <w:b w:val="0"/>
          <w:sz w:val="22"/>
        </w:rPr>
        <w:t>Sus observaciones son de ajuste, no de fondo. Eso es importante: no hay que rehacer nada, hay</w:t>
      </w:r>
    </w:p>
    <w:p>
      <w:r>
        <w:rPr>
          <w:b w:val="0"/>
          <w:sz w:val="22"/>
        </w:rPr>
        <w:t>que afinar.</w:t>
      </w:r>
    </w:p>
    <w:p>
      <w:r>
        <w:rPr>
          <w:b w:val="0"/>
          <w:color w:val="555555"/>
          <w:sz w:val="18"/>
        </w:rPr>
        <w:t>____________________________________________________________</w:t>
      </w:r>
    </w:p>
    <w:p>
      <w:pPr>
        <w:pStyle w:val="Heading1"/>
      </w:pPr>
      <w:r>
        <w:t>2. Cada recomendación, ya verificada contra el documento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  <w:sz w:val="20"/>
              </w:rPr>
              <w:t>#</w:t>
            </w:r>
          </w:p>
        </w:tc>
        <w:tc>
          <w:tcPr>
            <w:tcW w:type="dxa" w:w="2160"/>
          </w:tcPr>
          <w:p>
            <w:r>
              <w:rPr>
                <w:b/>
                <w:sz w:val="20"/>
              </w:rPr>
              <w:t>Recomendación del docente</w:t>
            </w:r>
          </w:p>
        </w:tc>
        <w:tc>
          <w:tcPr>
            <w:tcW w:type="dxa" w:w="2160"/>
          </w:tcPr>
          <w:p>
            <w:r>
              <w:rPr>
                <w:b/>
                <w:sz w:val="20"/>
              </w:rPr>
              <w:t>Estado comprobado</w:t>
            </w:r>
          </w:p>
        </w:tc>
        <w:tc>
          <w:tcPr>
            <w:tcW w:type="dxa" w:w="2160"/>
          </w:tcPr>
          <w:p>
            <w:r>
              <w:rPr>
                <w:b/>
                <w:sz w:val="20"/>
              </w:rPr>
              <w:t>Qué hacer</w:t>
            </w:r>
          </w:p>
        </w:tc>
      </w:tr>
      <w:tr>
        <w:tc>
          <w:tcPr>
            <w:tcW w:type="dxa" w:w="2160"/>
          </w:tcPr>
          <w:p>
            <w:r>
              <w:rPr>
                <w:b w:val="0"/>
                <w:sz w:val="20"/>
              </w:rPr>
              <w:t>1</w:t>
            </w:r>
          </w:p>
        </w:tc>
        <w:tc>
          <w:tcPr>
            <w:tcW w:type="dxa" w:w="2160"/>
          </w:tcPr>
          <w:p>
            <w:r>
              <w:rPr>
                <w:b w:val="0"/>
                <w:sz w:val="20"/>
              </w:rPr>
              <w:t>2.4.4: DELETE /api/v1/lecturas/{id} contradice A-01 y RNF-08</w:t>
            </w:r>
          </w:p>
        </w:tc>
        <w:tc>
          <w:tcPr>
            <w:tcW w:type="dxa" w:w="2160"/>
          </w:tcPr>
          <w:p>
            <w:r>
              <w:rPr>
                <w:b w:val="0"/>
                <w:sz w:val="20"/>
              </w:rPr>
              <w:t>Confirmado: está en la Tabla 17 («DELETE · Administrador»)</w:t>
            </w:r>
          </w:p>
        </w:tc>
        <w:tc>
          <w:tcPr>
            <w:tcW w:type="dxa" w:w="2160"/>
          </w:tcPr>
          <w:p>
            <w:r>
              <w:rPr>
                <w:b w:val="0"/>
                <w:sz w:val="20"/>
              </w:rPr>
              <w:t>Quitarlo, o cambiarlo por anulación con motivo (que es lo coherente con «no se altera una lectura»)</w:t>
            </w:r>
          </w:p>
        </w:tc>
      </w:tr>
      <w:tr>
        <w:tc>
          <w:tcPr>
            <w:tcW w:type="dxa" w:w="2160"/>
          </w:tcPr>
          <w:p>
            <w:r>
              <w:rPr>
                <w:b w:val="0"/>
                <w:sz w:val="20"/>
              </w:rPr>
              <w:t>2</w:t>
            </w:r>
          </w:p>
        </w:tc>
        <w:tc>
          <w:tcPr>
            <w:tcW w:type="dxa" w:w="2160"/>
          </w:tcPr>
          <w:p>
            <w:r>
              <w:rPr>
                <w:b w:val="0"/>
                <w:sz w:val="20"/>
              </w:rPr>
              <w:t>2.4.1: Open-Meteo sigue en la Tabla 10 y no responde a ningún RF</w:t>
            </w:r>
          </w:p>
        </w:tc>
        <w:tc>
          <w:tcPr>
            <w:tcW w:type="dxa" w:w="2160"/>
          </w:tcPr>
          <w:p>
            <w:r>
              <w:rPr>
                <w:b w:val="0"/>
                <w:sz w:val="20"/>
              </w:rPr>
              <w:t>Confirmado: en la Tabla 10 aparece como «Servicio externo de contexto»</w:t>
            </w:r>
          </w:p>
        </w:tc>
        <w:tc>
          <w:tcPr>
            <w:tcW w:type="dxa" w:w="2160"/>
          </w:tcPr>
          <w:p>
            <w:r>
              <w:rPr>
                <w:b w:val="0"/>
                <w:sz w:val="20"/>
              </w:rPr>
              <w:t>Quitarlo de la Tabla 10. En la Tabla 18 ya figura como fuera del alcance evaluado ✓, así que ahí no hay nada que tocar</w:t>
            </w:r>
          </w:p>
        </w:tc>
      </w:tr>
      <w:tr>
        <w:tc>
          <w:tcPr>
            <w:tcW w:type="dxa" w:w="2160"/>
          </w:tcPr>
          <w:p>
            <w:r>
              <w:rPr>
                <w:b w:val="0"/>
                <w:sz w:val="20"/>
              </w:rPr>
              <w:t>3</w:t>
            </w:r>
          </w:p>
        </w:tc>
        <w:tc>
          <w:tcPr>
            <w:tcW w:type="dxa" w:w="2160"/>
          </w:tcPr>
          <w:p>
            <w:r>
              <w:rPr>
                <w:b w:val="0"/>
                <w:sz w:val="20"/>
              </w:rPr>
              <w:t>2.6.3: la quinta dificultad (permisos del entorno) es del equipo, no del sistema</w:t>
            </w:r>
          </w:p>
        </w:tc>
        <w:tc>
          <w:tcPr>
            <w:tcW w:type="dxa" w:w="2160"/>
          </w:tcPr>
          <w:p>
            <w:r>
              <w:rPr>
                <w:b w:val="0"/>
                <w:sz w:val="20"/>
              </w:rPr>
              <w:t>Confirmado: es la quinta («El entorno de desarrollo impedía ejecutar el analizador…»)</w:t>
            </w:r>
          </w:p>
        </w:tc>
        <w:tc>
          <w:tcPr>
            <w:tcW w:type="dxa" w:w="2160"/>
          </w:tcPr>
          <w:p>
            <w:r>
              <w:rPr>
                <w:b w:val="0"/>
                <w:sz w:val="20"/>
              </w:rPr>
              <w:t>Quitarla. Las otras cuatro se quedan: son las mejores del apartado</w:t>
            </w:r>
          </w:p>
        </w:tc>
      </w:tr>
      <w:tr>
        <w:tc>
          <w:tcPr>
            <w:tcW w:type="dxa" w:w="2160"/>
          </w:tcPr>
          <w:p>
            <w:r>
              <w:rPr>
                <w:b w:val="0"/>
                <w:sz w:val="20"/>
              </w:rPr>
              <w:t>4</w:t>
            </w:r>
          </w:p>
        </w:tc>
        <w:tc>
          <w:tcPr>
            <w:tcW w:type="dxa" w:w="2160"/>
          </w:tcPr>
          <w:p>
            <w:r>
              <w:rPr>
                <w:b w:val="0"/>
                <w:sz w:val="20"/>
              </w:rPr>
              <w:t>2.6.4: la Figura 7 está al límite de 20 líneas</w:t>
            </w:r>
          </w:p>
        </w:tc>
        <w:tc>
          <w:tcPr>
            <w:tcW w:type="dxa" w:w="2160"/>
          </w:tcPr>
          <w:p>
            <w:r>
              <w:rPr>
                <w:b w:val="0"/>
                <w:sz w:val="20"/>
              </w:rPr>
              <w:t>La figura está dentro del límite ✓</w:t>
            </w:r>
          </w:p>
        </w:tc>
        <w:tc>
          <w:tcPr>
            <w:tcW w:type="dxa" w:w="2160"/>
          </w:tcPr>
          <w:p>
            <w:r>
              <w:rPr>
                <w:b w:val="0"/>
                <w:sz w:val="20"/>
              </w:rPr>
              <w:t>Nada por ahora; solo vigilar si el fragmento crece</w:t>
            </w:r>
          </w:p>
        </w:tc>
      </w:tr>
      <w:tr>
        <w:tc>
          <w:tcPr>
            <w:tcW w:type="dxa" w:w="2160"/>
          </w:tcPr>
          <w:p>
            <w:r>
              <w:rPr>
                <w:b w:val="0"/>
                <w:sz w:val="20"/>
              </w:rPr>
              <w:t>5</w:t>
            </w:r>
          </w:p>
        </w:tc>
        <w:tc>
          <w:tcPr>
            <w:tcW w:type="dxa" w:w="2160"/>
          </w:tcPr>
          <w:p>
            <w:r>
              <w:rPr>
                <w:b w:val="0"/>
                <w:sz w:val="20"/>
              </w:rPr>
              <w:t>Las cuentas de evaluación no deben ir en la monografía</w:t>
            </w:r>
          </w:p>
        </w:tc>
        <w:tc>
          <w:tcPr>
            <w:tcW w:type="dxa" w:w="2160"/>
          </w:tcPr>
          <w:p>
            <w:r>
              <w:rPr>
                <w:b w:val="0"/>
                <w:sz w:val="20"/>
              </w:rPr>
              <w:t>Confirmado: están en el apartado «Acceso para la evaluación» y en la Tabla 19</w:t>
            </w:r>
          </w:p>
        </w:tc>
        <w:tc>
          <w:tcPr>
            <w:tcW w:type="dxa" w:w="2160"/>
          </w:tcPr>
          <w:p>
            <w:r>
              <w:rPr>
                <w:b w:val="0"/>
                <w:sz w:val="20"/>
              </w:rPr>
              <w:t>Quitarlas del documento; se quedan en el campo de texto de Moodle y en el README</w:t>
            </w:r>
          </w:p>
        </w:tc>
      </w:tr>
      <w:tr>
        <w:tc>
          <w:tcPr>
            <w:tcW w:type="dxa" w:w="2160"/>
          </w:tcPr>
          <w:p>
            <w:r>
              <w:rPr>
                <w:b w:val="0"/>
                <w:sz w:val="20"/>
              </w:rPr>
              <w:t>6</w:t>
            </w:r>
          </w:p>
        </w:tc>
        <w:tc>
          <w:tcPr>
            <w:tcW w:type="dxa" w:w="2160"/>
          </w:tcPr>
          <w:p>
            <w:r>
              <w:rPr>
                <w:b w:val="0"/>
                <w:sz w:val="20"/>
              </w:rPr>
              <w:t>Estimar el consumo diario de Firestore y anotarlo en 2.6 o 2.9</w:t>
            </w:r>
          </w:p>
        </w:tc>
        <w:tc>
          <w:tcPr>
            <w:tcW w:type="dxa" w:w="2160"/>
          </w:tcPr>
          <w:p>
            <w:r>
              <w:rPr>
                <w:b w:val="0"/>
                <w:sz w:val="20"/>
              </w:rPr>
              <w:t>No está en el documento ✗</w:t>
            </w:r>
          </w:p>
        </w:tc>
        <w:tc>
          <w:tcPr>
            <w:tcW w:type="dxa" w:w="2160"/>
          </w:tcPr>
          <w:p>
            <w:r>
              <w:rPr>
                <w:b w:val="0"/>
                <w:sz w:val="20"/>
              </w:rPr>
              <w:t>Añadirlo (ver el cálculo abajo)</w:t>
            </w:r>
          </w:p>
        </w:tc>
      </w:tr>
      <w:tr>
        <w:tc>
          <w:tcPr>
            <w:tcW w:type="dxa" w:w="2160"/>
          </w:tcPr>
          <w:p>
            <w:r>
              <w:rPr>
                <w:b w:val="0"/>
                <w:sz w:val="20"/>
              </w:rPr>
              <w:t>7</w:t>
            </w:r>
          </w:p>
        </w:tc>
        <w:tc>
          <w:tcPr>
            <w:tcW w:type="dxa" w:w="2160"/>
          </w:tcPr>
          <w:p>
            <w:r>
              <w:rPr>
                <w:b w:val="0"/>
                <w:sz w:val="20"/>
              </w:rPr>
              <w:t>Ámbito: nombrar el módulo piloto y su ubicación en el objetivo general y la Tabla 1</w:t>
            </w:r>
          </w:p>
        </w:tc>
        <w:tc>
          <w:tcPr>
            <w:tcW w:type="dxa" w:w="2160"/>
          </w:tcPr>
          <w:p>
            <w:r>
              <w:rPr>
                <w:b w:val="0"/>
                <w:sz w:val="20"/>
              </w:rPr>
              <w:t>Pendiente — es la observación A-4</w:t>
            </w:r>
          </w:p>
        </w:tc>
        <w:tc>
          <w:tcPr>
            <w:tcW w:type="dxa" w:w="2160"/>
          </w:tcPr>
          <w:p>
            <w:r>
              <w:rPr>
                <w:b w:val="0"/>
                <w:sz w:val="20"/>
              </w:rPr>
              <w:t>Se cierra con la maqueta física que se monta esta semana</w:t>
            </w:r>
          </w:p>
        </w:tc>
      </w:tr>
      <w:tr>
        <w:tc>
          <w:tcPr>
            <w:tcW w:type="dxa" w:w="2160"/>
          </w:tcPr>
          <w:p>
            <w:r>
              <w:rPr>
                <w:b w:val="0"/>
                <w:sz w:val="20"/>
              </w:rPr>
              <w:t>8</w:t>
            </w:r>
          </w:p>
        </w:tc>
        <w:tc>
          <w:tcPr>
            <w:tcW w:type="dxa" w:w="2160"/>
          </w:tcPr>
          <w:p>
            <w:r>
              <w:rPr>
                <w:b w:val="0"/>
                <w:sz w:val="20"/>
              </w:rPr>
              <w:t>Tabla 3 con números del piloto</w:t>
            </w:r>
          </w:p>
        </w:tc>
        <w:tc>
          <w:tcPr>
            <w:tcW w:type="dxa" w:w="2160"/>
          </w:tcPr>
          <w:p>
            <w:r>
              <w:rPr>
                <w:b w:val="0"/>
                <w:sz w:val="20"/>
              </w:rPr>
              <w:t>Parcial: la primera fila ya dice «tres veces al día»</w:t>
            </w:r>
          </w:p>
        </w:tc>
        <w:tc>
          <w:tcPr>
            <w:tcW w:type="dxa" w:w="2160"/>
          </w:tcPr>
          <w:p>
            <w:r>
              <w:rPr>
                <w:b w:val="0"/>
                <w:sz w:val="20"/>
              </w:rPr>
              <w:t>Completar con mediciones por semana (21), días entre renovaciones (15) y detecciones tardías (dato a confirmar con el tutor)</w:t>
            </w:r>
          </w:p>
        </w:tc>
      </w:tr>
      <w:tr>
        <w:tc>
          <w:tcPr>
            <w:tcW w:type="dxa" w:w="2160"/>
          </w:tcPr>
          <w:p>
            <w:r>
              <w:rPr>
                <w:b w:val="0"/>
                <w:sz w:val="20"/>
              </w:rPr>
              <w:t>9</w:t>
            </w:r>
          </w:p>
        </w:tc>
        <w:tc>
          <w:tcPr>
            <w:tcW w:type="dxa" w:w="2160"/>
          </w:tcPr>
          <w:p>
            <w:r>
              <w:rPr>
                <w:b w:val="0"/>
                <w:sz w:val="20"/>
              </w:rPr>
              <w:t>Verificación en vivo en T3: salud, login de los dos roles, una lectura fuera de rango que dispare la alerta, y el operador sin permiso para editar rangos</w:t>
            </w:r>
          </w:p>
        </w:tc>
        <w:tc>
          <w:tcPr>
            <w:tcW w:type="dxa" w:w="2160"/>
          </w:tcPr>
          <w:p>
            <w:r>
              <w:rPr>
                <w:b w:val="0"/>
                <w:sz w:val="20"/>
              </w:rPr>
              <w:t>La salud, el login y la alerta están probados ✓. El operador sin permiso NO se ha probado ✗</w:t>
            </w:r>
          </w:p>
        </w:tc>
        <w:tc>
          <w:tcPr>
            <w:tcW w:type="dxa" w:w="2160"/>
          </w:tcPr>
          <w:p>
            <w:r>
              <w:rPr>
                <w:b w:val="0"/>
                <w:sz w:val="20"/>
              </w:rPr>
              <w:t>Necesitamos las credenciales de la cuenta Operador para verificarlo antes de la tutoría</w:t>
            </w:r>
          </w:p>
        </w:tc>
      </w:tr>
      <w:tr>
        <w:tc>
          <w:tcPr>
            <w:tcW w:type="dxa" w:w="2160"/>
          </w:tcPr>
          <w:p>
            <w:r>
              <w:rPr>
                <w:b w:val="0"/>
                <w:sz w:val="20"/>
              </w:rPr>
              <w:t>10</w:t>
            </w:r>
          </w:p>
        </w:tc>
        <w:tc>
          <w:tcPr>
            <w:tcW w:type="dxa" w:w="2160"/>
          </w:tcPr>
          <w:p>
            <w:r>
              <w:rPr>
                <w:b w:val="0"/>
                <w:sz w:val="20"/>
              </w:rPr>
              <w:t>Confirmar que el firmware reintenta y guarda las lecturas no enviadas durante el arranque</w:t>
            </w:r>
          </w:p>
        </w:tc>
        <w:tc>
          <w:tcPr>
            <w:tcW w:type="dxa" w:w="2160"/>
          </w:tcPr>
          <w:p>
            <w:r>
              <w:rPr>
                <w:b w:val="0"/>
                <w:sz w:val="20"/>
              </w:rPr>
              <w:t>La cola existe ✓ (el arranque informa «COLA: Memoria de pendientes lista»)</w:t>
            </w:r>
          </w:p>
        </w:tc>
        <w:tc>
          <w:tcPr>
            <w:tcW w:type="dxa" w:w="2160"/>
          </w:tcPr>
          <w:p>
            <w:r>
              <w:rPr>
                <w:b w:val="0"/>
                <w:sz w:val="20"/>
              </w:rPr>
              <w:t>Demostrarlo en vivo: apagar el WiFi, dejar que se acumulen lecturas y devolverlo</w:t>
            </w:r>
          </w:p>
        </w:tc>
      </w:tr>
      <w:tr>
        <w:tc>
          <w:tcPr>
            <w:tcW w:type="dxa" w:w="2160"/>
          </w:tcPr>
          <w:p>
            <w:r>
              <w:rPr>
                <w:b w:val="0"/>
                <w:sz w:val="20"/>
              </w:rPr>
              <w:t>11</w:t>
            </w:r>
          </w:p>
        </w:tc>
        <w:tc>
          <w:tcPr>
            <w:tcW w:type="dxa" w:w="2160"/>
          </w:tcPr>
          <w:p>
            <w:r>
              <w:rPr>
                <w:b w:val="0"/>
                <w:sz w:val="20"/>
              </w:rPr>
              <w:t>E3: llevar las pruebas al 2.8 con la tabla de casos (feliz y error por cada Must, 401 y 403) y los reportes de pytest y flutter test versionados</w:t>
            </w:r>
          </w:p>
        </w:tc>
        <w:tc>
          <w:tcPr>
            <w:tcW w:type="dxa" w:w="2160"/>
          </w:tcPr>
          <w:p>
            <w:r>
              <w:rPr>
                <w:b w:val="0"/>
                <w:sz w:val="20"/>
              </w:rPr>
              <w:t>Las 199 pruebas ya existen ✓; falta la evidencia ordenada en el documento</w:t>
            </w:r>
          </w:p>
        </w:tc>
        <w:tc>
          <w:tcPr>
            <w:tcW w:type="dxa" w:w="2160"/>
          </w:tcPr>
          <w:p>
            <w:r>
              <w:rPr>
                <w:b w:val="0"/>
                <w:sz w:val="20"/>
              </w:rPr>
              <w:t>Es la tarea principal del E3</w:t>
            </w:r>
          </w:p>
        </w:tc>
      </w:tr>
    </w:tbl>
    <w:p/>
    <w:p>
      <w:pPr>
        <w:pStyle w:val="Heading2"/>
      </w:pPr>
      <w:r>
        <w:t>El cálculo del consumo de Firestore (para el punto 6)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  <w:sz w:val="20"/>
              </w:rPr>
              <w:t>Concepto</w:t>
            </w:r>
          </w:p>
        </w:tc>
        <w:tc>
          <w:tcPr>
            <w:tcW w:type="dxa" w:w="4320"/>
          </w:tcPr>
          <w:p>
            <w:r>
              <w:rPr>
                <w:b/>
                <w:sz w:val="20"/>
              </w:rPr>
              <w:t>Valor</w:t>
            </w:r>
          </w:p>
        </w:tc>
      </w:tr>
      <w:tr>
        <w:tc>
          <w:tcPr>
            <w:tcW w:type="dxa" w:w="4320"/>
          </w:tcPr>
          <w:p>
            <w:r>
              <w:rPr>
                <w:b w:val="0"/>
                <w:sz w:val="20"/>
              </w:rPr>
              <w:t>Intervalo real de envío</w:t>
            </w:r>
          </w:p>
        </w:tc>
        <w:tc>
          <w:tcPr>
            <w:tcW w:type="dxa" w:w="4320"/>
          </w:tcPr>
          <w:p>
            <w:r>
              <w:rPr>
                <w:b w:val="0"/>
                <w:sz w:val="20"/>
              </w:rPr>
              <w:t>5 minutos</w:t>
            </w:r>
          </w:p>
        </w:tc>
      </w:tr>
      <w:tr>
        <w:tc>
          <w:tcPr>
            <w:tcW w:type="dxa" w:w="4320"/>
          </w:tcPr>
          <w:p>
            <w:r>
              <w:rPr>
                <w:b w:val="0"/>
                <w:sz w:val="20"/>
              </w:rPr>
              <w:t>Ciclos por día</w:t>
            </w:r>
          </w:p>
        </w:tc>
        <w:tc>
          <w:tcPr>
            <w:tcW w:type="dxa" w:w="4320"/>
          </w:tcPr>
          <w:p>
            <w:r>
              <w:rPr>
                <w:b w:val="0"/>
                <w:sz w:val="20"/>
              </w:rPr>
              <w:t>24 h × 12 = 288</w:t>
            </w:r>
          </w:p>
        </w:tc>
      </w:tr>
      <w:tr>
        <w:tc>
          <w:tcPr>
            <w:tcW w:type="dxa" w:w="4320"/>
          </w:tcPr>
          <w:p>
            <w:r>
              <w:rPr>
                <w:b w:val="0"/>
                <w:sz w:val="20"/>
              </w:rPr>
              <w:t>Variables por ciclo</w:t>
            </w:r>
          </w:p>
        </w:tc>
        <w:tc>
          <w:tcPr>
            <w:tcW w:type="dxa" w:w="4320"/>
          </w:tcPr>
          <w:p>
            <w:r>
              <w:rPr>
                <w:b w:val="0"/>
                <w:sz w:val="20"/>
              </w:rPr>
              <w:t>5</w:t>
            </w:r>
          </w:p>
        </w:tc>
      </w:tr>
      <w:tr>
        <w:tc>
          <w:tcPr>
            <w:tcW w:type="dxa" w:w="4320"/>
          </w:tcPr>
          <w:p>
            <w:r>
              <w:rPr>
                <w:b w:val="0"/>
                <w:sz w:val="20"/>
              </w:rPr>
              <w:t>Escrituras por día</w:t>
            </w:r>
          </w:p>
        </w:tc>
        <w:tc>
          <w:tcPr>
            <w:tcW w:type="dxa" w:w="4320"/>
          </w:tcPr>
          <w:p>
            <w:r>
              <w:rPr>
                <w:b w:val="0"/>
                <w:sz w:val="20"/>
              </w:rPr>
              <w:t>288 × 5 = 1 440</w:t>
            </w:r>
          </w:p>
        </w:tc>
      </w:tr>
      <w:tr>
        <w:tc>
          <w:tcPr>
            <w:tcW w:type="dxa" w:w="4320"/>
          </w:tcPr>
          <w:p>
            <w:r>
              <w:rPr>
                <w:b w:val="0"/>
                <w:sz w:val="20"/>
              </w:rPr>
              <w:t>Cuota gratuita de Firestore</w:t>
            </w:r>
          </w:p>
        </w:tc>
        <w:tc>
          <w:tcPr>
            <w:tcW w:type="dxa" w:w="4320"/>
          </w:tcPr>
          <w:p>
            <w:r>
              <w:rPr>
                <w:b w:val="0"/>
                <w:sz w:val="20"/>
              </w:rPr>
              <w:t>20 000 escrituras/día</w:t>
            </w:r>
          </w:p>
        </w:tc>
      </w:tr>
      <w:tr>
        <w:tc>
          <w:tcPr>
            <w:tcW w:type="dxa" w:w="4320"/>
          </w:tcPr>
          <w:p>
            <w:r>
              <w:rPr>
                <w:b w:val="0"/>
                <w:sz w:val="20"/>
              </w:rPr>
              <w:t>Consumo</w:t>
            </w:r>
          </w:p>
        </w:tc>
        <w:tc>
          <w:tcPr>
            <w:tcW w:type="dxa" w:w="4320"/>
          </w:tcPr>
          <w:p>
            <w:r>
              <w:rPr>
                <w:b w:val="0"/>
                <w:sz w:val="20"/>
              </w:rPr>
              <w:t>7,2 % de la cuota diaria</w:t>
            </w:r>
          </w:p>
        </w:tc>
      </w:tr>
    </w:tbl>
    <w:p/>
    <w:p>
      <w:r>
        <w:rPr>
          <w:b w:val="0"/>
          <w:sz w:val="22"/>
        </w:rPr>
        <w:t>Si se suman las alertas que genera una lectura fuera de rango y los reintentos de la cola, el</w:t>
      </w:r>
    </w:p>
    <w:p>
      <w:r>
        <w:rPr>
          <w:b w:val="0"/>
          <w:sz w:val="22"/>
        </w:rPr>
        <w:t>consumo se queda por debajo del 10 %, que es el margen que ya se venía declarando.</w:t>
      </w:r>
    </w:p>
    <w:p>
      <w:r>
        <w:rPr>
          <w:b w:val="0"/>
          <w:color w:val="555555"/>
          <w:sz w:val="18"/>
        </w:rPr>
        <w:t>____________________________________________________________</w:t>
      </w:r>
    </w:p>
    <w:p>
      <w:pPr>
        <w:pStyle w:val="Heading1"/>
      </w:pPr>
      <w:r>
        <w:t>3. Plan hacia el E3 (sábado 3 de octubre, 23:59)</w:t>
      </w:r>
    </w:p>
    <w:p>
      <w:pPr>
        <w:pStyle w:val="Heading2"/>
      </w:pPr>
      <w:r>
        <w:t>A. El documento (lo más pesado, y lo que más puntúa)</w:t>
      </w:r>
    </w:p>
    <w:p>
      <w:pPr>
        <w:pStyle w:val="ListNumber"/>
      </w:pPr>
      <w:r>
        <w:rPr>
          <w:b w:val="0"/>
          <w:sz w:val="22"/>
        </w:rPr>
        <w:t>Partir del E2 y crear la versión del E3 (mismo documento acumulativo, como pide la consigna).</w:t>
      </w:r>
    </w:p>
    <w:p>
      <w:pPr>
        <w:pStyle w:val="ListNumber"/>
      </w:pPr>
      <w:r>
        <w:rPr>
          <w:b w:val="0"/>
          <w:sz w:val="22"/>
        </w:rPr>
        <w:t>Aplicar los seis ajustes: quitar el DELETE de lecturas y su fila, quitar Open-Meteo de la</w:t>
      </w:r>
    </w:p>
    <w:p>
      <w:r>
        <w:rPr>
          <w:b w:val="0"/>
          <w:sz w:val="22"/>
        </w:rPr>
        <w:t>Tabla 10, quitar la quinta dificultad del 2.6.3, quitar las cuentas de evaluación, añadir el</w:t>
      </w:r>
    </w:p>
    <w:p>
      <w:r>
        <w:rPr>
          <w:b w:val="0"/>
          <w:sz w:val="22"/>
        </w:rPr>
        <w:t>cálculo del consumo, y completar la Tabla 3.</w:t>
      </w:r>
    </w:p>
    <w:p>
      <w:pPr>
        <w:pStyle w:val="ListNumber"/>
      </w:pPr>
      <w:r>
        <w:rPr>
          <w:b w:val="0"/>
          <w:sz w:val="22"/>
        </w:rPr>
        <w:t>Nombrar el módulo piloto en el objetivo general y en la Tabla 1 (cierra A-4).</w:t>
      </w:r>
    </w:p>
    <w:p>
      <w:pPr>
        <w:pStyle w:val="Heading2"/>
      </w:pPr>
      <w:r>
        <w:t>B. El apartado 2.8, que es nuevo para el E3</w:t>
      </w:r>
    </w:p>
    <w:p>
      <w:pPr>
        <w:pStyle w:val="ListBullet"/>
      </w:pPr>
      <w:r>
        <w:rPr>
          <w:b w:val="0"/>
          <w:sz w:val="22"/>
        </w:rPr>
        <w:t>Tabla de casos: por cada requisito Must, el caso feliz y el caso de error.</w:t>
      </w:r>
    </w:p>
    <w:p>
      <w:pPr>
        <w:pStyle w:val="ListBullet"/>
      </w:pPr>
      <w:r>
        <w:rPr>
          <w:b w:val="0"/>
          <w:sz w:val="22"/>
        </w:rPr>
        <w:t>Los 401 y 403 como casos propios (sin token, con token de rol insuficiente).</w:t>
      </w:r>
    </w:p>
    <w:p>
      <w:pPr>
        <w:pStyle w:val="ListBullet"/>
      </w:pPr>
      <w:r>
        <w:rPr>
          <w:b w:val="0"/>
          <w:sz w:val="22"/>
        </w:rPr>
        <w:t>Reporte de pytest y de flutter test ejecutados y versionados en el repositorio.</w:t>
      </w:r>
    </w:p>
    <w:p>
      <w:pPr>
        <w:pStyle w:val="ListBullet"/>
      </w:pPr>
      <w:r>
        <w:rPr>
          <w:b w:val="0"/>
          <w:sz w:val="22"/>
        </w:rPr>
        <w:t>Las tensiones de calibración medidas con los patrones (pH y TDS), cuando estén.</w:t>
      </w:r>
    </w:p>
    <w:p>
      <w:pPr>
        <w:pStyle w:val="Heading2"/>
      </w:pPr>
      <w:r>
        <w:t>C. El sistema, antes de la tutoría</w:t>
      </w:r>
    </w:p>
    <w:p>
      <w:pPr>
        <w:pStyle w:val="ListBullet"/>
      </w:pPr>
      <w:r>
        <w:rPr>
          <w:b w:val="0"/>
          <w:sz w:val="22"/>
        </w:rPr>
        <w:t>Probar el rol Operador: que pueda leer y no pueda editar rangos (recomendación 9).</w:t>
      </w:r>
    </w:p>
    <w:p>
      <w:pPr>
        <w:pStyle w:val="ListBullet"/>
      </w:pPr>
      <w:r>
        <w:rPr>
          <w:b w:val="0"/>
          <w:sz w:val="22"/>
        </w:rPr>
        <w:t>Demostrar la cola de pendientes: apagar el WiFi, acumular, reconectar.</w:t>
      </w:r>
    </w:p>
    <w:p>
      <w:pPr>
        <w:pStyle w:val="ListBullet"/>
      </w:pPr>
      <w:r>
        <w:rPr>
          <w:b w:val="0"/>
          <w:sz w:val="22"/>
        </w:rPr>
        <w:t>Calibrar el pH si el electrodo revive el miércoles, y el TDS con el patrón.</w:t>
      </w:r>
    </w:p>
    <w:p>
      <w:pPr>
        <w:pStyle w:val="Heading2"/>
      </w:pPr>
      <w:r>
        <w:t>D. Lo que hay que preguntarle al tutor</w:t>
      </w:r>
    </w:p>
    <w:p>
      <w:r>
        <w:rPr>
          <w:b w:val="0"/>
          <w:sz w:val="22"/>
        </w:rPr>
        <w:t>Está en 21_PREGUNTAS_PARA_LA_TUTORIA.md, y lo urgente es: A-11 y A-12 (que no quedaron</w:t>
      </w:r>
    </w:p>
    <w:p>
      <w:r>
        <w:rPr>
          <w:b w:val="0"/>
          <w:sz w:val="22"/>
        </w:rPr>
        <w:t>registradas), el ámbito del módulo piloto (A-4) y el número de detecciones tardías de la</w:t>
      </w:r>
    </w:p>
    <w:p>
      <w:r>
        <w:rPr>
          <w:b w:val="0"/>
          <w:sz w:val="22"/>
        </w:rPr>
        <w:t>Tabla 3.</w:t>
      </w:r>
    </w:p>
    <w:p>
      <w:r>
        <w:rPr>
          <w:b w:val="0"/>
          <w:color w:val="555555"/>
          <w:sz w:val="18"/>
        </w:rPr>
        <w:t>____________________________________________________________</w:t>
      </w:r>
    </w:p>
    <w:p>
      <w:pPr>
        <w:pStyle w:val="Heading1"/>
      </w:pPr>
      <w:r>
        <w:t>4. Lo que no hay que tocar</w:t>
      </w:r>
    </w:p>
    <w:p>
      <w:r>
        <w:rPr>
          <w:b w:val="0"/>
          <w:sz w:val="22"/>
        </w:rPr>
        <w:t>Para no perder tiempo ni estropear lo que ya está bien:</w:t>
      </w:r>
    </w:p>
    <w:p>
      <w:pPr>
        <w:pStyle w:val="ListBullet"/>
      </w:pPr>
      <w:r>
        <w:rPr>
          <w:b w:val="0"/>
          <w:sz w:val="22"/>
        </w:rPr>
        <w:t>El apartado 2.6 en general: el docente lo elogió explícitamente.</w:t>
      </w:r>
    </w:p>
    <w:p>
      <w:pPr>
        <w:pStyle w:val="ListBullet"/>
      </w:pPr>
      <w:r>
        <w:rPr>
          <w:b w:val="0"/>
          <w:sz w:val="22"/>
        </w:rPr>
        <w:t>Las cuatro dificultades que quedan tras quitar la quinta.</w:t>
      </w:r>
    </w:p>
    <w:p>
      <w:pPr>
        <w:pStyle w:val="ListBullet"/>
      </w:pPr>
      <w:r>
        <w:rPr>
          <w:b w:val="0"/>
          <w:sz w:val="22"/>
        </w:rPr>
        <w:t>La Tabla 18, donde Open-Meteo ya está declarado fuera de alcance.</w:t>
      </w:r>
    </w:p>
    <w:p>
      <w:pPr>
        <w:pStyle w:val="ListBullet"/>
      </w:pPr>
      <w:r>
        <w:rPr>
          <w:b w:val="0"/>
          <w:sz w:val="22"/>
        </w:rPr>
        <w:t>El sistema desplegado: funciona y está verificado; las correcciones son del documento.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Calibri" w:hAnsi="Calibri"/>
      <w:b/>
      <w:bCs/>
      <w:color w:val="2E7D32"/>
      <w:sz w:val="34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Calibri" w:hAnsi="Calibri"/>
      <w:b/>
      <w:bCs/>
      <w:color w:val="2E7D32"/>
      <w:sz w:val="28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Calibri" w:hAnsi="Calibri"/>
      <w:b/>
      <w:bCs/>
      <w:color w:val="2E7D32"/>
      <w:sz w:val="2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