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del mismo cultivo las variables se midieron con instrumentos portátiles pero no quedaron registradas en el informe (Santos Navarro, 2020; comunicación personal, 2026), de modo que el análisis se limitó al rendimiento final;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y esporádico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Las mediciones se anotan en una libreta o en el teléfono y se transcriben después; no existe un registro único ni un intervalo definido entre mediciones, de modo que el seguimiento depende de la disponibilidad de quien mide</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quién realizó la medición, con qué instrumento ni en qué condiciones, de modo que no es posible reconstruir la serie de una variable ante una duda</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En el ensayo previo del mismo cultivo las variables de la solución se midieron con instrumentos portátiles, pero no quedaron registradas en el informe (Santos Navarro, 2020; comunicación personal, 2026): la información medida se perdió y el análisis se limitó al rendimiento final. Sin un registro sistemático, una desviación se advierte solo cuando ya produjo efecto en la planta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Could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w:t>
      </w:r>
      <w:proofErr w:type="gramEnd"/>
      <w:r>
        <w:rPr>
          <w:b/>
          <w:bCs/>
        </w:rPr>
        <w:t xml:space="preserve"> de requisitos: 13 · Must have: 7 · Porcentaje Must have: 53,8 % (debe ser ≤ 60 %)</w:t>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Fuente: elaboración propia.</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sobre Python 3.13</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y servicio en la nube (previsto)</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