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i.-notice-of-motion-and-motion"/>
    <w:p>
      <w:pPr>
        <w:pStyle w:val="Heading1"/>
      </w:pPr>
      <w:r>
        <w:t xml:space="preserve">I. NOTICE OF MOTION AND MOTION</w:t>
      </w:r>
    </w:p>
    <w:p>
      <w:pPr>
        <w:pStyle w:val="FirstParagraph"/>
      </w:pPr>
      <w:r>
        <w:t xml:space="preserve">TO THE HONORABLE SUPERIOR COURT OF THE STATE OF CALIFORNIA, COUNTY OF ____________:</w:t>
      </w:r>
    </w:p>
    <w:p>
      <w:pPr>
        <w:pStyle w:val="Body Text"/>
      </w:pPr>
      <w:r>
        <w:t xml:space="preserve">Please take notice that on ____________, at ____________ a.m./p.m., in Department ____ of the above-entitled court, Respondent ____________ will, and hereby does, move this Court for an Order:</w:t>
      </w:r>
    </w:p>
    <w:p>
      <w:pPr>
        <w:numPr>
          <w:ilvl w:val="0"/>
          <w:numId w:val="1001"/>
        </w:numPr>
      </w:pPr>
      <w:r>
        <w:rPr>
          <w:b/>
          <w:bCs/>
        </w:rPr>
        <w:t xml:space="preserve">Finding</w:t>
      </w:r>
      <w:r>
        <w:t xml:space="preserve"> </w:t>
      </w:r>
      <w:r>
        <w:t xml:space="preserve">that the Protective Order issued on ____________ is void ab initio on the ground that it was issued by a court commissioner who lacked constitutional authority to act as a temporary judge, there being no stipulation of the parties litigant as required by Article VI, Section 21 of the California Constitution, and accordingly</w:t>
      </w:r>
      <w:r>
        <w:t xml:space="preserve"> </w:t>
      </w:r>
      <w:r>
        <w:rPr>
          <w:b/>
          <w:bCs/>
        </w:rPr>
        <w:t xml:space="preserve">vacating</w:t>
      </w:r>
      <w:r>
        <w:t xml:space="preserve"> </w:t>
      </w:r>
      <w:r>
        <w:t xml:space="preserve">the Protective Order in its entirety;</w:t>
      </w:r>
    </w:p>
    <w:p>
      <w:pPr>
        <w:numPr>
          <w:ilvl w:val="0"/>
          <w:numId w:val="1001"/>
        </w:numPr>
      </w:pPr>
      <w:r>
        <w:rPr>
          <w:b/>
          <w:bCs/>
        </w:rPr>
        <w:t xml:space="preserve">In the alternative</w:t>
      </w:r>
      <w:r>
        <w:t xml:space="preserve">, if the Court finds that the commissioner had stipulation or that stipulation was implied by Respondent’s participation,</w:t>
      </w:r>
      <w:r>
        <w:t xml:space="preserve"> </w:t>
      </w:r>
      <w:r>
        <w:rPr>
          <w:b/>
          <w:bCs/>
        </w:rPr>
        <w:t xml:space="preserve">vacating</w:t>
      </w:r>
      <w:r>
        <w:t xml:space="preserve"> </w:t>
      </w:r>
      <w:r>
        <w:t xml:space="preserve">the Protective Order on the ground that it was procured by extrinsic fraud upon the court;</w:t>
      </w:r>
    </w:p>
    <w:p>
      <w:pPr>
        <w:numPr>
          <w:ilvl w:val="0"/>
          <w:numId w:val="1001"/>
        </w:numPr>
      </w:pPr>
      <w:r>
        <w:rPr>
          <w:b/>
          <w:bCs/>
        </w:rPr>
        <w:t xml:space="preserve">Ordering the California Department of Justice</w:t>
      </w:r>
      <w:r>
        <w:t xml:space="preserve"> </w:t>
      </w:r>
      <w:r>
        <w:t xml:space="preserve">to purge, delete, and expunge all entries relating to the Protective Order from the California Restraining and Protective Order System (CARPOS) and the California Law Enforcement Telecommunications System (CLETS), and ordering the clerk of this Court to purge all entries relating to the Protective Order from the California Courts Protective Order Registry (CCPOR);</w:t>
      </w:r>
    </w:p>
    <w:p>
      <w:pPr>
        <w:numPr>
          <w:ilvl w:val="0"/>
          <w:numId w:val="1001"/>
        </w:numPr>
      </w:pPr>
      <w:r>
        <w:rPr>
          <w:b/>
          <w:bCs/>
        </w:rPr>
        <w:t xml:space="preserve">Sealing the court file</w:t>
      </w:r>
      <w:r>
        <w:t xml:space="preserve"> </w:t>
      </w:r>
      <w:r>
        <w:t xml:space="preserve">in this matter pursuant to California Rules of Court 2.550–2.551; and</w:t>
      </w:r>
    </w:p>
    <w:p>
      <w:pPr>
        <w:numPr>
          <w:ilvl w:val="0"/>
          <w:numId w:val="1001"/>
        </w:numPr>
      </w:pPr>
      <w:r>
        <w:rPr>
          <w:b/>
          <w:bCs/>
        </w:rPr>
        <w:t xml:space="preserve">Referring</w:t>
      </w:r>
      <w:r>
        <w:t xml:space="preserve"> </w:t>
      </w:r>
      <w:r>
        <w:t xml:space="preserve">the matter to the District Attorney for investigation of perjury under Penal Code § 118.</w:t>
      </w:r>
    </w:p>
    <w:p>
      <w:pPr>
        <w:pStyle w:val="FirstParagraph"/>
      </w:pPr>
      <w:r>
        <w:t xml:space="preserve">This Motion is made pursuant to the Court’s inherent equitable power to vacate void judgments and judgments procured by extrinsic fraud, as recognized in</w:t>
      </w:r>
      <w:r>
        <w:t xml:space="preserve"> </w:t>
      </w:r>
      <w:r>
        <w:rPr>
          <w:i/>
          <w:iCs/>
        </w:rPr>
        <w:t xml:space="preserve">Kulchar v. Kulchar</w:t>
      </w:r>
      <w:r>
        <w:t xml:space="preserve"> </w:t>
      </w:r>
      <w:r>
        <w:t xml:space="preserve">(1969) 1 Cal.3d 467 and</w:t>
      </w:r>
      <w:r>
        <w:t xml:space="preserve"> </w:t>
      </w:r>
      <w:r>
        <w:rPr>
          <w:i/>
          <w:iCs/>
        </w:rPr>
        <w:t xml:space="preserve">Rooney v. Vermont Investment Corp.</w:t>
      </w:r>
      <w:r>
        <w:t xml:space="preserve"> </w:t>
      </w:r>
      <w:r>
        <w:t xml:space="preserve">(1973) 10 Cal.3d 351, and is based on this Notice of Motion, the attached Memorandum of Points and Authorities, the attached Declaration of ____________, and all pleadings and papers on file herein.</w:t>
      </w:r>
    </w:p>
    <w:p>
      <w:pPr>
        <w:pStyle w:val="Body Text"/>
      </w:pPr>
      <w:r>
        <w:t xml:space="preserve">Dated: ____________</w:t>
      </w:r>
    </w:p>
    <w:p>
      <w:r>
        <w:pict>
          <v:rect style="width:0;height:1.5pt" o:hralign="center" o:hrstd="t" o:hr="t"/>
        </w:pict>
      </w:r>
    </w:p>
    <w:p>
      <w:pPr>
        <w:pStyle w:val="FirstParagraph"/>
      </w:pPr>
      <w:r>
        <w:t xml:space="preserve">[Attorney Name]</w:t>
      </w:r>
      <w:r>
        <w:t xml:space="preserve"> </w:t>
      </w:r>
      <w:r>
        <w:t xml:space="preserve">Attorney for Respondent ____________# II. INTRODUCTION</w:t>
      </w:r>
    </w:p>
    <w:p>
      <w:pPr>
        <w:pStyle w:val="Body Text"/>
      </w:pPr>
      <w:r>
        <w:t xml:space="preserve">This motion presents two independent grounds for vacating a protective order — either of which is sufficient — and then seeks the further remedy of purging the resulting registry entries from law enforcement databases.</w:t>
      </w:r>
    </w:p>
    <w:p>
      <w:pPr>
        <w:pStyle w:val="Body Text"/>
      </w:pPr>
      <w:r>
        <w:rPr>
          <w:b/>
          <w:bCs/>
        </w:rPr>
        <w:t xml:space="preserve">The first and strongest ground is jurisdictional.</w:t>
      </w:r>
      <w:r>
        <w:t xml:space="preserve"> </w:t>
      </w:r>
      <w:r>
        <w:t xml:space="preserve">The protective order was issued by a court commissioner. Under the California Constitution, a commissioner may act as a temporary judge with the authority to issue binding orders only on stipulation of the parties litigant. (Cal. Const., art. VI, § 21.) The California Supreme Court has held that without the requisite stipulation,</w:t>
      </w:r>
      <w:r>
        <w:t xml:space="preserve"> </w:t>
      </w:r>
      <w:r>
        <w:t xml:space="preserve">“</w:t>
      </w:r>
      <w:r>
        <w:t xml:space="preserve">any ruling by or judgment of the commissioner is void.</w:t>
      </w:r>
      <w:r>
        <w:t xml:space="preserve">”</w:t>
      </w:r>
      <w:r>
        <w:t xml:space="preserve"> </w:t>
      </w:r>
      <w:r>
        <w:t xml:space="preserve">(</w:t>
      </w:r>
      <w:r>
        <w:rPr>
          <w:i/>
          <w:iCs/>
        </w:rPr>
        <w:t xml:space="preserve">In re Marriage of Djulus</w:t>
      </w:r>
      <w:r>
        <w:t xml:space="preserve"> </w:t>
      </w:r>
      <w:r>
        <w:t xml:space="preserve">(2017) 10 Cal.App.5th 1042, 1049.) The Court of Appeal has applied this principle directly to a domestic violence restraining order:</w:t>
      </w:r>
      <w:r>
        <w:t xml:space="preserve"> </w:t>
      </w:r>
      <w:r>
        <w:t xml:space="preserve">“</w:t>
      </w:r>
      <w:r>
        <w:t xml:space="preserve">we hold that the restraining order is void.</w:t>
      </w:r>
      <w:r>
        <w:t xml:space="preserve">”</w:t>
      </w:r>
      <w:r>
        <w:t xml:space="preserve"> </w:t>
      </w:r>
      <w:r>
        <w:t xml:space="preserve">(</w:t>
      </w:r>
      <w:r>
        <w:rPr>
          <w:i/>
          <w:iCs/>
        </w:rPr>
        <w:t xml:space="preserve">Michaels v. Turk</w:t>
      </w:r>
      <w:r>
        <w:t xml:space="preserve"> </w:t>
      </w:r>
      <w:r>
        <w:t xml:space="preserve">(2015) 239 Cal.App.4th 1411, 1416.) If the commissioner who issued the Protective Order in this case lacked stipulation, the order is void ab initio — a legal nullity from the moment of issuance.</w:t>
      </w:r>
    </w:p>
    <w:p>
      <w:pPr>
        <w:pStyle w:val="Body Text"/>
      </w:pPr>
      <w:r>
        <w:rPr>
          <w:b/>
          <w:bCs/>
        </w:rPr>
        <w:t xml:space="preserve">The second ground, presented in the alternative, is extrinsic fraud.</w:t>
      </w:r>
      <w:r>
        <w:t xml:space="preserve"> </w:t>
      </w:r>
      <w:r>
        <w:t xml:space="preserve">Even if the commissioner had stipulation or stipulation was implied by Respondent’s participation, the order was procured by nineteen false statements made under oath across multiple declarations. California courts possess inherent equitable power, independent of Code of Civil Procedure § 473(b) and not limited by any time period, to vacate judgments procured by extrinsic fraud. (</w:t>
      </w:r>
      <w:r>
        <w:rPr>
          <w:i/>
          <w:iCs/>
        </w:rPr>
        <w:t xml:space="preserve">Kulchar v. Kulchar</w:t>
      </w:r>
      <w:r>
        <w:t xml:space="preserve"> </w:t>
      </w:r>
      <w:r>
        <w:t xml:space="preserve">(1969) 1 Cal.3d 467, 471.)</w:t>
      </w:r>
    </w:p>
    <w:p>
      <w:pPr>
        <w:pStyle w:val="Body Text"/>
      </w:pPr>
      <w:r>
        <w:rPr>
          <w:b/>
          <w:bCs/>
        </w:rPr>
        <w:t xml:space="preserve">The further question — whether the court’s power extends to ordering the purge of the resulting CLETS/CARPOS/CCPOR entries — is one no published California appellate decision has decided.</w:t>
      </w:r>
      <w:r>
        <w:t xml:space="preserve"> </w:t>
      </w:r>
      <w:r>
        <w:t xml:space="preserve">The California Supreme Court has recognized the inherent power to</w:t>
      </w:r>
      <w:r>
        <w:t xml:space="preserve"> </w:t>
      </w:r>
      <w:r>
        <w:t xml:space="preserve">“</w:t>
      </w:r>
      <w:r>
        <w:t xml:space="preserve">expunge a fraudulent record</w:t>
      </w:r>
      <w:r>
        <w:t xml:space="preserve">”</w:t>
      </w:r>
      <w:r>
        <w:t xml:space="preserve"> </w:t>
      </w:r>
      <w:r>
        <w:t xml:space="preserve">(</w:t>
      </w:r>
      <w:r>
        <w:rPr>
          <w:i/>
          <w:iCs/>
        </w:rPr>
        <w:t xml:space="preserve">Cross v. Tustin</w:t>
      </w:r>
      <w:r>
        <w:t xml:space="preserve"> </w:t>
      </w:r>
      <w:r>
        <w:t xml:space="preserve">(1951) 37 Cal.2d 821, 825) and to</w:t>
      </w:r>
      <w:r>
        <w:t xml:space="preserve"> </w:t>
      </w:r>
      <w:r>
        <w:t xml:space="preserve">“</w:t>
      </w:r>
      <w:r>
        <w:t xml:space="preserve">purge its own records</w:t>
      </w:r>
      <w:r>
        <w:t xml:space="preserve">”</w:t>
      </w:r>
      <w:r>
        <w:t xml:space="preserve"> </w:t>
      </w:r>
      <w:r>
        <w:t xml:space="preserve">when</w:t>
      </w:r>
      <w:r>
        <w:t xml:space="preserve"> </w:t>
      </w:r>
      <w:r>
        <w:t xml:space="preserve">“</w:t>
      </w:r>
      <w:r>
        <w:t xml:space="preserve">imposed upon by extrinsically fraudulent acts</w:t>
      </w:r>
      <w:r>
        <w:t xml:space="preserve">”</w:t>
      </w:r>
      <w:r>
        <w:t xml:space="preserve"> </w:t>
      </w:r>
      <w:r>
        <w:t xml:space="preserve">(</w:t>
      </w:r>
      <w:r>
        <w:rPr>
          <w:i/>
          <w:iCs/>
        </w:rPr>
        <w:t xml:space="preserve">Rivieccio v. Bothan</w:t>
      </w:r>
      <w:r>
        <w:t xml:space="preserve"> </w:t>
      </w:r>
      <w:r>
        <w:t xml:space="preserve">(1946) 27 Cal.2d 621, 625). But both cases involved courts acting on their own records, not ordering a separate executive-branch agency to alter a law-enforcement database. The extension to DOJ registry entries is a case of first impression.</w:t>
      </w:r>
    </w:p>
    <w:p>
      <w:pPr>
        <w:pStyle w:val="Body Text"/>
      </w:pPr>
      <w:r>
        <w:t xml:space="preserve">The</w:t>
      </w:r>
      <w:r>
        <w:t xml:space="preserve"> </w:t>
      </w:r>
      <w:r>
        <w:rPr>
          <w:i/>
          <w:iCs/>
        </w:rPr>
        <w:t xml:space="preserve">Loder/Younger</w:t>
      </w:r>
      <w:r>
        <w:t xml:space="preserve"> </w:t>
      </w:r>
      <w:r>
        <w:t xml:space="preserve">objection — that the power to order destruction of official records rests exclusively with the Legislature — is the strongest counterargument. Those cases are distinguishable because they involved records of valid proceedings, not artifacts of a void or fraudulent order. The distinction is stronger under the void theory than under the fraud theory.</w:t>
      </w:r>
    </w:p>
    <w:p>
      <w:pPr>
        <w:pStyle w:val="Body Text"/>
      </w:pPr>
      <w:r>
        <w:t xml:space="preserve">The practical stakes are real. A</w:t>
      </w:r>
      <w:r>
        <w:t xml:space="preserve"> </w:t>
      </w:r>
      <w:r>
        <w:t xml:space="preserve">“</w:t>
      </w:r>
      <w:r>
        <w:t xml:space="preserve">terminated</w:t>
      </w:r>
      <w:r>
        <w:t xml:space="preserve">”</w:t>
      </w:r>
      <w:r>
        <w:t xml:space="preserve"> </w:t>
      </w:r>
      <w:r>
        <w:t xml:space="preserve">entry in CLETS — without explanation of why the order was terminated — invites adverse inferences by law enforcement. The only complete remedy is purge: removal of the entry from the systems that track and enforce protective orders.</w:t>
      </w:r>
    </w:p>
    <w:p>
      <w:pPr>
        <w:pStyle w:val="Body Text"/>
      </w:pPr>
      <w:r>
        <w:t xml:space="preserve">Finally, if the order is found void ab initio, California’s rejection of the collateral bar rule (</w:t>
      </w:r>
      <w:r>
        <w:rPr>
          <w:i/>
          <w:iCs/>
        </w:rPr>
        <w:t xml:space="preserve">People v. Gonzalez</w:t>
      </w:r>
      <w:r>
        <w:t xml:space="preserve"> </w:t>
      </w:r>
      <w:r>
        <w:t xml:space="preserve">(1996) 12 Cal.4th 804;</w:t>
      </w:r>
      <w:r>
        <w:t xml:space="preserve"> </w:t>
      </w:r>
      <w:r>
        <w:rPr>
          <w:i/>
          <w:iCs/>
        </w:rPr>
        <w:t xml:space="preserve">In re Berry</w:t>
      </w:r>
      <w:r>
        <w:t xml:space="preserve"> </w:t>
      </w:r>
      <w:r>
        <w:t xml:space="preserve">(1968) 68 Cal.2d 137) means that violations of the order while it was in effect may constitute no punishable wrong. This motion does not purport to resolve the criminal case — that requires a licensed California criminal defense attorney — but the legal framework is set forth in Section IV.H because the voidness finding has direct implications for any criminal prosecution.</w:t>
      </w:r>
    </w:p>
    <w:p>
      <w:pPr>
        <w:pStyle w:val="Body Text"/>
      </w:pPr>
      <w:r>
        <w:t xml:space="preserve">This motion seeks five things: (1) a finding that the Protective Order is void ab initio for lack of commissioner stipulation, or in the alternative, vacatur for extrinsic fraud; (2) an order directing DOJ to purge the CLETS/CARPOS entries and the clerk to purge the CCPOR entry; (3) sealing of the court file; (4) referral of the perjury to the District Attorney; and (5) such other relief as the Court deems just.# III. STATEMENT OF FACTS</w:t>
      </w:r>
    </w:p>
    <w:p>
      <w:pPr>
        <w:pStyle w:val="BlockText"/>
      </w:pPr>
      <w:r>
        <w:rPr>
          <w:b/>
          <w:bCs/>
        </w:rPr>
        <w:t xml:space="preserve">NOTE TO COUNSEL:</w:t>
      </w:r>
      <w:r>
        <w:t xml:space="preserve"> </w:t>
      </w:r>
      <w:r>
        <w:t xml:space="preserve">This section is a template. The specific facts of the fraudulent procurement — including the identity of the parties, the date(s) of the declarations, the substance of each false statement, and the evidence establishing falsity — must be inserted here. The factual narrative below uses the facts from</w:t>
      </w:r>
      <w:r>
        <w:t xml:space="preserve"> </w:t>
      </w:r>
      <w:r>
        <w:rPr>
          <w:i/>
          <w:iCs/>
        </w:rPr>
        <w:t xml:space="preserve">Commissioner of Probation v. Adams</w:t>
      </w:r>
      <w:r>
        <w:t xml:space="preserve"> </w:t>
      </w:r>
      <w:r>
        <w:t xml:space="preserve">as a template, as referenced in the research memorandum. Adjust all bracketed material to reflect the actual case.</w:t>
      </w:r>
    </w:p>
    <w:bookmarkStart w:id="20" w:name="X4129d0b583046f262722b6d2e0c59e1ef5fc7df"/>
    <w:p>
      <w:pPr>
        <w:pStyle w:val="Heading2"/>
      </w:pPr>
      <w:r>
        <w:t xml:space="preserve">A. The Protective Order Was Procured Through Systematic Perjury</w:t>
      </w:r>
    </w:p>
    <w:p>
      <w:pPr>
        <w:pStyle w:val="FirstParagraph"/>
      </w:pPr>
      <w:r>
        <w:t xml:space="preserve">On or about ____________, Petitioner ____________ filed a request for a domestic violence restraining order against Respondent ____________ in the above-entitled action. In support of the request, Petitioner submitted ____________ declarations to the Court.</w:t>
      </w:r>
    </w:p>
    <w:p>
      <w:pPr>
        <w:pStyle w:val="Body Text"/>
      </w:pPr>
      <w:r>
        <w:t xml:space="preserve">Across those declarations, Petitioner made nineteen (19) statements under oath that were materially false. [INSERT DETAILED DESCRIPTION OF EACH FALSE STATEMENT — e.g., fabricated incidents of violence, false allegations of threats, misrepresentation of dates and locations, concealment of material facts demonstrating the allegations were baseless, etc.]</w:t>
      </w:r>
    </w:p>
    <w:bookmarkEnd w:id="20"/>
    <w:bookmarkStart w:id="21" w:name="Xcbb6459478d9f9995181d532d1a3b8dd05b6dac"/>
    <w:p>
      <w:pPr>
        <w:pStyle w:val="Heading2"/>
      </w:pPr>
      <w:r>
        <w:t xml:space="preserve">B. The False Statements Were Material and Were Relied Upon By the Court</w:t>
      </w:r>
    </w:p>
    <w:p>
      <w:pPr>
        <w:pStyle w:val="FirstParagraph"/>
      </w:pPr>
      <w:r>
        <w:t xml:space="preserve">Each of the nineteen false statements was material to the Court’s decision to issue the Protective Order. [INSERT SPECIFIC EVIDENCE THAT THE COURT RELIED ON THE FALSE STATEMENTS — e.g., the Court’s findings on the record, the tentative statement of decision, or the order itself tracking the language of the false declarations.]</w:t>
      </w:r>
    </w:p>
    <w:bookmarkEnd w:id="21"/>
    <w:bookmarkStart w:id="22" w:name="X4933fe99752ae8e4707492e83c3599986444021"/>
    <w:p>
      <w:pPr>
        <w:pStyle w:val="Heading2"/>
      </w:pPr>
      <w:r>
        <w:t xml:space="preserve">C. The Fraud Was Extrinsic — It Deprived Respondent of a Fair Adversary Hearing</w:t>
      </w:r>
    </w:p>
    <w:p>
      <w:pPr>
        <w:pStyle w:val="FirstParagraph"/>
      </w:pPr>
      <w:r>
        <w:t xml:space="preserve">The false statements did not merely go to the merits of a contested issue that Respondent had an opportunity to litigate. [INSERT FACTS SHOWING THE FRAUD PREVENTED RESPONDENT FROM PRESENTING A DEFENSE — e.g., Respondent was not properly served, Respondent was unaware of the proceedings, the false statements were specifically designed to and did prevent Respondent from appearing or presenting evidence, the false statements concealed exculpatory evidence that would have defeated the request, etc.]</w:t>
      </w:r>
    </w:p>
    <w:bookmarkEnd w:id="22"/>
    <w:bookmarkStart w:id="23" w:name="d.-the-fraud-has-been-discovered"/>
    <w:p>
      <w:pPr>
        <w:pStyle w:val="Heading2"/>
      </w:pPr>
      <w:r>
        <w:t xml:space="preserve">D. The Fraud Has Been Discovered</w:t>
      </w:r>
    </w:p>
    <w:p>
      <w:pPr>
        <w:pStyle w:val="FirstParagraph"/>
      </w:pPr>
      <w:r>
        <w:t xml:space="preserve">Respondent discovered the fraud on or about ____________. [INSERT DESCRIPTION OF HOW THE FRAUD WAS DISCOVERED — e.g., through subsequent disclosure of contradictory records, through admissions by Petitioner, through investigation that revealed the fabricated incidents, etc.]</w:t>
      </w:r>
    </w:p>
    <w:bookmarkEnd w:id="23"/>
    <w:bookmarkStart w:id="24" w:name="e.-the-registry-trace-persists"/>
    <w:p>
      <w:pPr>
        <w:pStyle w:val="Heading2"/>
      </w:pPr>
      <w:r>
        <w:t xml:space="preserve">E. The Registry Trace Persists</w:t>
      </w:r>
    </w:p>
    <w:p>
      <w:pPr>
        <w:pStyle w:val="FirstParagraph"/>
      </w:pPr>
      <w:r>
        <w:t xml:space="preserve">The Protective Order was entered into CLETS and CARPOS on or about ____________, and remains in the registry system as of the date of this motion. [CONFIRM CURRENT STATUS — active, terminated, or other.] If the Court vacates the order and the clerk transmits a termination notice under Family Code § 6380(f), the entry will be updated to</w:t>
      </w:r>
      <w:r>
        <w:t xml:space="preserve"> </w:t>
      </w:r>
      <w:r>
        <w:t xml:space="preserve">“</w:t>
      </w:r>
      <w:r>
        <w:t xml:space="preserve">terminated</w:t>
      </w:r>
      <w:r>
        <w:t xml:space="preserve">”</w:t>
      </w:r>
      <w:r>
        <w:t xml:space="preserve"> </w:t>
      </w:r>
      <w:r>
        <w:t xml:space="preserve">— but the historical record of the order will remain in DOJ’s databases, available to law enforcement, with no indication that the order was vacated for fraud.# IV.A. THE ORDER IS VOID AB INITIO — THE COMMISSIONER LACKED JURISDICTION TO ISSUE IT</w:t>
      </w:r>
    </w:p>
    <w:bookmarkEnd w:id="24"/>
    <w:bookmarkStart w:id="25" w:name="the-constitutional-requirement"/>
    <w:p>
      <w:pPr>
        <w:pStyle w:val="Heading2"/>
      </w:pPr>
      <w:r>
        <w:t xml:space="preserve">1. The Constitutional Requirement</w:t>
      </w:r>
    </w:p>
    <w:p>
      <w:pPr>
        <w:pStyle w:val="FirstParagraph"/>
      </w:pPr>
      <w:r>
        <w:t xml:space="preserve">Article VI, Section 21 of the California Constitution provides that</w:t>
      </w:r>
      <w:r>
        <w:t xml:space="preserve"> </w:t>
      </w:r>
      <w:r>
        <w:t xml:space="preserve">“</w:t>
      </w:r>
      <w:r>
        <w:t xml:space="preserve">on stipulation of the parties litigant the court may order a cause to be tried by a temporary judge.</w:t>
      </w:r>
      <w:r>
        <w:t xml:space="preserve">”</w:t>
      </w:r>
      <w:r>
        <w:t xml:space="preserve"> </w:t>
      </w:r>
      <w:r>
        <w:t xml:space="preserve">A court commissioner — who is not a judge — may act as a temporary judge with the full authority to issue binding orders</w:t>
      </w:r>
      <w:r>
        <w:t xml:space="preserve"> </w:t>
      </w:r>
      <w:r>
        <w:rPr>
          <w:b/>
          <w:bCs/>
        </w:rPr>
        <w:t xml:space="preserve">only when the parties have stipulated to that authority.</w:t>
      </w:r>
      <w:r>
        <w:t xml:space="preserve"> </w:t>
      </w:r>
      <w:r>
        <w:t xml:space="preserve">(</w:t>
      </w:r>
      <w:r>
        <w:rPr>
          <w:i/>
          <w:iCs/>
        </w:rPr>
        <w:t xml:space="preserve">Rooney v. Vermont Investment Corp.</w:t>
      </w:r>
      <w:r>
        <w:t xml:space="preserve"> </w:t>
      </w:r>
      <w:r>
        <w:t xml:space="preserve">(1973) 10 Cal.3d 351, 354 [</w:t>
      </w:r>
      <w:r>
        <w:t xml:space="preserve">“</w:t>
      </w:r>
      <w:r>
        <w:t xml:space="preserve">A court commissioner may act as temporary judge only when the parties to the proceeding stipulate that he may do so.</w:t>
      </w:r>
      <w:r>
        <w:t xml:space="preserve">”</w:t>
      </w:r>
      <w:r>
        <w:t xml:space="preserve">]; Cal. Const., art. VI, § 21; Code Civ. Proc., § 259a, subd. 4.)</w:t>
      </w:r>
    </w:p>
    <w:p>
      <w:pPr>
        <w:pStyle w:val="Body Text"/>
      </w:pPr>
      <w:r>
        <w:t xml:space="preserve">This is not a procedural technicality. It is a constitutional limit on the jurisdiction of the person presiding. The California Supreme Court has held that without the requisite stipulation,</w:t>
      </w:r>
      <w:r>
        <w:t xml:space="preserve"> </w:t>
      </w:r>
      <w:r>
        <w:t xml:space="preserve">“</w:t>
      </w:r>
      <w:r>
        <w:t xml:space="preserve">any ruling by or judgment of the commissioner is void.</w:t>
      </w:r>
      <w:r>
        <w:t xml:space="preserve">”</w:t>
      </w:r>
      <w:r>
        <w:t xml:space="preserve"> </w:t>
      </w:r>
      <w:r>
        <w:t xml:space="preserve">(</w:t>
      </w:r>
      <w:r>
        <w:rPr>
          <w:i/>
          <w:iCs/>
        </w:rPr>
        <w:t xml:space="preserve">In re Marriage of Djulus</w:t>
      </w:r>
      <w:r>
        <w:t xml:space="preserve"> </w:t>
      </w:r>
      <w:r>
        <w:t xml:space="preserve">(2017) 10 Cal.App.5th 1042, 1049 [</w:t>
      </w:r>
      <w:r>
        <w:t xml:space="preserve">“</w:t>
      </w:r>
      <w:r>
        <w:t xml:space="preserve">Our Supreme Court has interpreted this to mean that a stipulation is required to qualify a commissioner to act and that without such a stipulation, any ruling by or judgment of the commissioner is void.</w:t>
      </w:r>
      <w:r>
        <w:t xml:space="preserve">”</w:t>
      </w:r>
      <w:r>
        <w:t xml:space="preserve">].)</w:t>
      </w:r>
    </w:p>
    <w:bookmarkEnd w:id="25"/>
    <w:bookmarkStart w:id="26" w:name="X1488ee6a1be9fe32715629cdc84c3ba0d033df9"/>
    <w:p>
      <w:pPr>
        <w:pStyle w:val="Heading2"/>
      </w:pPr>
      <w:r>
        <w:t xml:space="preserve">2. The Consequence of Operating Without Stipulation Is Voidness — Not Voidability</w:t>
      </w:r>
    </w:p>
    <w:p>
      <w:pPr>
        <w:pStyle w:val="FirstParagraph"/>
      </w:pPr>
      <w:r>
        <w:t xml:space="preserve">The California Supreme Court and Court of Appeal have used the word</w:t>
      </w:r>
      <w:r>
        <w:t xml:space="preserve"> </w:t>
      </w:r>
      <w:r>
        <w:t xml:space="preserve">“</w:t>
      </w:r>
      <w:r>
        <w:t xml:space="preserve">void</w:t>
      </w:r>
      <w:r>
        <w:t xml:space="preserve">”</w:t>
      </w:r>
      <w:r>
        <w:t xml:space="preserve"> </w:t>
      </w:r>
      <w:r>
        <w:t xml:space="preserve">— not</w:t>
      </w:r>
      <w:r>
        <w:t xml:space="preserve"> </w:t>
      </w:r>
      <w:r>
        <w:t xml:space="preserve">“</w:t>
      </w:r>
      <w:r>
        <w:t xml:space="preserve">voidable</w:t>
      </w:r>
      <w:r>
        <w:t xml:space="preserve">”</w:t>
      </w:r>
      <w:r>
        <w:t xml:space="preserve"> </w:t>
      </w:r>
      <w:r>
        <w:t xml:space="preserve">— to describe orders issued by commissioners who lacked stipulation. The distinction is dispositive for the criminal exposure analysis in Section IV.H below.</w:t>
      </w:r>
    </w:p>
    <w:p>
      <w:pPr>
        <w:numPr>
          <w:ilvl w:val="0"/>
          <w:numId w:val="1002"/>
        </w:numPr>
      </w:pPr>
      <w:r>
        <w:rPr>
          <w:b/>
          <w:bCs/>
          <w:i/>
          <w:iCs/>
        </w:rPr>
        <w:t xml:space="preserve">Rooney v. Vermont Investment Corp.</w:t>
      </w:r>
      <w:r>
        <w:t xml:space="preserve">,</w:t>
      </w:r>
      <w:r>
        <w:t xml:space="preserve"> </w:t>
      </w:r>
      <w:r>
        <w:rPr>
          <w:i/>
          <w:iCs/>
        </w:rPr>
        <w:t xml:space="preserve">supra</w:t>
      </w:r>
      <w:r>
        <w:t xml:space="preserve">, 10 Cal.3d at 354 — The Supreme Court reversed a judgment entered by a commissioner because</w:t>
      </w:r>
      <w:r>
        <w:t xml:space="preserve"> </w:t>
      </w:r>
      <w:r>
        <w:t xml:space="preserve">“</w:t>
      </w:r>
      <w:r>
        <w:t xml:space="preserve">no such stipulation is shown by the record.</w:t>
      </w:r>
      <w:r>
        <w:t xml:space="preserve">”</w:t>
      </w:r>
      <w:r>
        <w:t xml:space="preserve"> </w:t>
      </w:r>
      <w:r>
        <w:t xml:space="preserve">The Court did not say the judgment was voidable; it said the commissioner lacked the power to act.</w:t>
      </w:r>
    </w:p>
    <w:p>
      <w:pPr>
        <w:numPr>
          <w:ilvl w:val="0"/>
          <w:numId w:val="1002"/>
        </w:numPr>
      </w:pPr>
      <w:r>
        <w:rPr>
          <w:b/>
          <w:bCs/>
          <w:i/>
          <w:iCs/>
        </w:rPr>
        <w:t xml:space="preserve">In re Marriage of Djulus</w:t>
      </w:r>
      <w:r>
        <w:t xml:space="preserve">,</w:t>
      </w:r>
      <w:r>
        <w:t xml:space="preserve"> </w:t>
      </w:r>
      <w:r>
        <w:rPr>
          <w:i/>
          <w:iCs/>
        </w:rPr>
        <w:t xml:space="preserve">supra</w:t>
      </w:r>
      <w:r>
        <w:t xml:space="preserve">, 10 Cal.App.5th at 1049 — The Court of Appeal reversed a dissolution judgment entered by a commissioner, holding it was</w:t>
      </w:r>
      <w:r>
        <w:t xml:space="preserve"> </w:t>
      </w:r>
      <w:r>
        <w:t xml:space="preserve">“</w:t>
      </w:r>
      <w:r>
        <w:t xml:space="preserve">void</w:t>
      </w:r>
      <w:r>
        <w:t xml:space="preserve">”</w:t>
      </w:r>
      <w:r>
        <w:t xml:space="preserve"> </w:t>
      </w:r>
      <w:r>
        <w:t xml:space="preserve">because the party</w:t>
      </w:r>
      <w:r>
        <w:t xml:space="preserve"> </w:t>
      </w:r>
      <w:r>
        <w:t xml:space="preserve">“</w:t>
      </w:r>
      <w:r>
        <w:t xml:space="preserve">did not know, nor… have any way of knowing… that White was a commissioner and not a judge.</w:t>
      </w:r>
      <w:r>
        <w:t xml:space="preserve">”</w:t>
      </w:r>
      <w:r>
        <w:t xml:space="preserve"> </w:t>
      </w:r>
      <w:r>
        <w:t xml:space="preserve">The court held:</w:t>
      </w:r>
      <w:r>
        <w:t xml:space="preserve"> </w:t>
      </w:r>
      <w:r>
        <w:t xml:space="preserve">“</w:t>
      </w:r>
      <w:r>
        <w:t xml:space="preserve">Absent a proper stipulation by Marc, the judgment of dissolution subsequently entered by Commissioner White was void.</w:t>
      </w:r>
      <w:r>
        <w:t xml:space="preserve">”</w:t>
      </w:r>
    </w:p>
    <w:p>
      <w:pPr>
        <w:numPr>
          <w:ilvl w:val="0"/>
          <w:numId w:val="1002"/>
        </w:numPr>
      </w:pPr>
      <w:r>
        <w:rPr>
          <w:b/>
          <w:bCs/>
          <w:i/>
          <w:iCs/>
        </w:rPr>
        <w:t xml:space="preserve">Michaels v. Turk</w:t>
      </w:r>
      <w:r>
        <w:t xml:space="preserve"> </w:t>
      </w:r>
      <w:r>
        <w:t xml:space="preserve">(2015) 239 Cal.App.4th 1411, 1416 —</w:t>
      </w:r>
      <w:r>
        <w:t xml:space="preserve"> </w:t>
      </w:r>
      <w:r>
        <w:rPr>
          <w:b/>
          <w:bCs/>
        </w:rPr>
        <w:t xml:space="preserve">This is directly on point: a domestic violence restraining order issued by a commissioner without stipulation.</w:t>
      </w:r>
      <w:r>
        <w:t xml:space="preserve"> </w:t>
      </w:r>
      <w:r>
        <w:t xml:space="preserve">The court held:</w:t>
      </w:r>
      <w:r>
        <w:t xml:space="preserve"> </w:t>
      </w:r>
      <w:r>
        <w:t xml:space="preserve">“</w:t>
      </w:r>
      <w:r>
        <w:t xml:space="preserve">We will not stray from that precedent and therefore we hold that the restraining order is void.</w:t>
      </w:r>
      <w:r>
        <w:t xml:space="preserve">”</w:t>
      </w:r>
      <w:r>
        <w:t xml:space="preserve"> </w:t>
      </w:r>
      <w:r>
        <w:t xml:space="preserve">Not voidable.</w:t>
      </w:r>
      <w:r>
        <w:t xml:space="preserve"> </w:t>
      </w:r>
      <w:r>
        <w:rPr>
          <w:b/>
          <w:bCs/>
        </w:rPr>
        <w:t xml:space="preserve">Void.</w:t>
      </w:r>
    </w:p>
    <w:p>
      <w:pPr>
        <w:pStyle w:val="FirstParagraph"/>
      </w:pPr>
      <w:r>
        <w:t xml:space="preserve">These cases establish that a protective order issued by a commissioner who lacks constitutional authority to act as a temporary judge is a legal nullity from the moment of its issuance. It never had legal force. It is not a valid order that was later found defective — it was never valid.</w:t>
      </w:r>
    </w:p>
    <w:bookmarkEnd w:id="26"/>
    <w:bookmarkStart w:id="27" w:name="X1335c14998209a95508f709e72fdd35a5457686"/>
    <w:p>
      <w:pPr>
        <w:pStyle w:val="Heading2"/>
      </w:pPr>
      <w:r>
        <w:t xml:space="preserve">3. The Stipulation Requirement Applies to Appearing Parties — and Can Be Implied by Conduct</w:t>
      </w:r>
    </w:p>
    <w:p>
      <w:pPr>
        <w:pStyle w:val="FirstParagraph"/>
      </w:pPr>
      <w:r>
        <w:t xml:space="preserve">The constitutional requirement is not unlimited. Two limitations determine whether the absence of a stipulation renders the order void in this case:</w:t>
      </w:r>
    </w:p>
    <w:p>
      <w:pPr>
        <w:pStyle w:val="Body Text"/>
      </w:pPr>
      <w:r>
        <w:rPr>
          <w:b/>
          <w:bCs/>
        </w:rPr>
        <w:t xml:space="preserve">First</w:t>
      </w:r>
      <w:r>
        <w:t xml:space="preserve">, the stipulation requirement applies only to</w:t>
      </w:r>
      <w:r>
        <w:t xml:space="preserve"> </w:t>
      </w:r>
      <w:r>
        <w:t xml:space="preserve">“</w:t>
      </w:r>
      <w:r>
        <w:t xml:space="preserve">parties litigant</w:t>
      </w:r>
      <w:r>
        <w:t xml:space="preserve">”</w:t>
      </w:r>
      <w:r>
        <w:t xml:space="preserve"> </w:t>
      </w:r>
      <w:r>
        <w:t xml:space="preserve">— defined as parties who have appeared in the proceeding. (</w:t>
      </w:r>
      <w:r>
        <w:rPr>
          <w:i/>
          <w:iCs/>
        </w:rPr>
        <w:t xml:space="preserve">Sarracino v. Superior Court</w:t>
      </w:r>
      <w:r>
        <w:t xml:space="preserve"> </w:t>
      </w:r>
      <w:r>
        <w:t xml:space="preserve">(1974) 13 Cal.3d 1, 6 [</w:t>
      </w:r>
      <w:r>
        <w:t xml:space="preserve">“</w:t>
      </w:r>
      <w:r>
        <w:t xml:space="preserve">The stipulation that is required is that of the party or parties</w:t>
      </w:r>
      <w:r>
        <w:t xml:space="preserve"> </w:t>
      </w:r>
      <w:r>
        <w:t xml:space="preserve">‘</w:t>
      </w:r>
      <w:r>
        <w:t xml:space="preserve">… who are taking part in the litigation, — those who have appeared therein.</w:t>
      </w:r>
      <w:r>
        <w:t xml:space="preserve">’</w:t>
      </w:r>
      <w:r>
        <w:t xml:space="preserve">”</w:t>
      </w:r>
      <w:r>
        <w:t xml:space="preserve"> </w:t>
      </w:r>
      <w:r>
        <w:t xml:space="preserve">];</w:t>
      </w:r>
      <w:r>
        <w:t xml:space="preserve"> </w:t>
      </w:r>
      <w:r>
        <w:rPr>
          <w:i/>
          <w:iCs/>
        </w:rPr>
        <w:t xml:space="preserve">E.N.W. v. Michael W.</w:t>
      </w:r>
      <w:r>
        <w:t xml:space="preserve"> </w:t>
      </w:r>
      <w:r>
        <w:t xml:space="preserve">(1983) 149 Cal.App.3d 896, 900.) If the respondent did not appear at the hearing, the respondent’s stipulation was not required, and the order would not be void for lack of the respondent’s stipulation.</w:t>
      </w:r>
      <w:r>
        <w:t xml:space="preserve"> </w:t>
      </w:r>
      <w:r>
        <w:rPr>
          <w:b/>
          <w:bCs/>
        </w:rPr>
        <w:t xml:space="preserve">However</w:t>
      </w:r>
      <w:r>
        <w:t xml:space="preserve">, if the petitioner also did not stipulate — or if the case was not assigned to the commissioner by court order under a provision authorizing uncontested matters — the commissioner still lacked jurisdiction.</w:t>
      </w:r>
    </w:p>
    <w:p>
      <w:pPr>
        <w:pStyle w:val="Body Text"/>
      </w:pPr>
      <w:r>
        <w:t xml:space="preserve">[INSERT FACTS: Did the petitioner stipulate on the record? Was there a court order assigning the matter to the commissioner under Code Civ. Proc. § 259a, subd. 6 (authorizing commissioners to</w:t>
      </w:r>
      <w:r>
        <w:t xml:space="preserve"> </w:t>
      </w:r>
      <w:r>
        <w:t xml:space="preserve">“</w:t>
      </w:r>
      <w:r>
        <w:t xml:space="preserve">hear, report on and determine all uncontested actions and proceedings… without a stipulation only when ordered by the court appointing him so to do</w:t>
      </w:r>
      <w:r>
        <w:t xml:space="preserve">”</w:t>
      </w:r>
      <w:r>
        <w:t xml:space="preserve">)? If the order was entered without stipulation and without such a court order, the commissioner lacked jurisdiction regardless of whether the respondent appeared.]</w:t>
      </w:r>
    </w:p>
    <w:p>
      <w:pPr>
        <w:pStyle w:val="Body Text"/>
      </w:pPr>
      <w:r>
        <w:rPr>
          <w:b/>
          <w:bCs/>
        </w:rPr>
        <w:t xml:space="preserve">Second</w:t>
      </w:r>
      <w:r>
        <w:t xml:space="preserve">, stipulation can be implied by conduct. (</w:t>
      </w:r>
      <w:r>
        <w:rPr>
          <w:i/>
          <w:iCs/>
        </w:rPr>
        <w:t xml:space="preserve">Elena S. v. Kroutik</w:t>
      </w:r>
      <w:r>
        <w:t xml:space="preserve"> </w:t>
      </w:r>
      <w:r>
        <w:t xml:space="preserve">(2016) 247 Cal.App.4th 570, 580 [</w:t>
      </w:r>
      <w:r>
        <w:t xml:space="preserve">“</w:t>
      </w:r>
      <w:r>
        <w:t xml:space="preserve">stipulations will be implied if the hearing involves the performance of a judicial function and the party affirmatively participates in the proceeding and does not object to the commissioner who conducts the proceeding until after its completion.</w:t>
      </w:r>
      <w:r>
        <w:t xml:space="preserve">”</w:t>
      </w:r>
      <w:r>
        <w:t xml:space="preserve">];</w:t>
      </w:r>
      <w:r>
        <w:t xml:space="preserve"> </w:t>
      </w:r>
      <w:r>
        <w:rPr>
          <w:i/>
          <w:iCs/>
        </w:rPr>
        <w:t xml:space="preserve">In re Horton</w:t>
      </w:r>
      <w:r>
        <w:t xml:space="preserve"> </w:t>
      </w:r>
      <w:r>
        <w:t xml:space="preserve">(1991) 54 Cal.3d 82, 91.)</w:t>
      </w:r>
    </w:p>
    <w:p>
      <w:pPr>
        <w:pStyle w:val="Body Text"/>
      </w:pPr>
      <w:r>
        <w:t xml:space="preserve">This is the factual question on which the jurisdictional argument turns: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Scenario</w:t>
            </w:r>
          </w:p>
        </w:tc>
        <w:tc>
          <w:tcPr/>
          <w:p>
            <w:pPr>
              <w:pStyle w:val="Compact"/>
              <w:jc w:val="left"/>
            </w:pPr>
            <w:r>
              <w:t xml:space="preserve">Result</w:t>
            </w:r>
          </w:p>
        </w:tc>
      </w:tr>
      <w:tr>
        <w:tc>
          <w:tcPr/>
          <w:p>
            <w:pPr>
              <w:pStyle w:val="Compact"/>
              <w:jc w:val="left"/>
            </w:pPr>
            <w:r>
              <w:t xml:space="preserve">Respondent did not appear; no stipulation by any party; no court order under § 259a(6)</w:t>
            </w:r>
          </w:p>
        </w:tc>
        <w:tc>
          <w:tcPr/>
          <w:p>
            <w:pPr>
              <w:pStyle w:val="Compact"/>
              <w:jc w:val="left"/>
            </w:pPr>
            <w:r>
              <w:rPr>
                <w:b/>
                <w:bCs/>
              </w:rPr>
              <w:t xml:space="preserve">Order is void</w:t>
            </w:r>
            <w:r>
              <w:t xml:space="preserve"> </w:t>
            </w:r>
            <w:r>
              <w:t xml:space="preserve">— commissioner lacked jurisdiction (</w:t>
            </w:r>
            <w:r>
              <w:rPr>
                <w:i/>
                <w:iCs/>
              </w:rPr>
              <w:t xml:space="preserve">Rooney</w:t>
            </w:r>
            <w:r>
              <w:t xml:space="preserve">,</w:t>
            </w:r>
            <w:r>
              <w:t xml:space="preserve"> </w:t>
            </w:r>
            <w:r>
              <w:rPr>
                <w:i/>
                <w:iCs/>
              </w:rPr>
              <w:t xml:space="preserve">Djulus</w:t>
            </w:r>
            <w:r>
              <w:t xml:space="preserve">)</w:t>
            </w:r>
          </w:p>
        </w:tc>
      </w:tr>
      <w:tr>
        <w:tc>
          <w:tcPr/>
          <w:p>
            <w:pPr>
              <w:pStyle w:val="Compact"/>
              <w:jc w:val="left"/>
            </w:pPr>
            <w:r>
              <w:t xml:space="preserve">Respondent appeared but was not informed the presider was a commissioner</w:t>
            </w:r>
          </w:p>
        </w:tc>
        <w:tc>
          <w:tcPr/>
          <w:p>
            <w:pPr>
              <w:pStyle w:val="Compact"/>
              <w:jc w:val="left"/>
            </w:pPr>
            <w:r>
              <w:rPr>
                <w:b/>
                <w:bCs/>
              </w:rPr>
              <w:t xml:space="preserve">Order likely void</w:t>
            </w:r>
            <w:r>
              <w:t xml:space="preserve"> </w:t>
            </w:r>
            <w:r>
              <w:t xml:space="preserve">—</w:t>
            </w:r>
            <w:r>
              <w:t xml:space="preserve"> </w:t>
            </w:r>
            <w:r>
              <w:rPr>
                <w:i/>
                <w:iCs/>
              </w:rPr>
              <w:t xml:space="preserve">Djulus</w:t>
            </w:r>
            <w:r>
              <w:t xml:space="preserve"> </w:t>
            </w:r>
            <w:r>
              <w:t xml:space="preserve">reversed where party</w:t>
            </w:r>
            <w:r>
              <w:t xml:space="preserve"> </w:t>
            </w:r>
            <w:r>
              <w:t xml:space="preserve">“</w:t>
            </w:r>
            <w:r>
              <w:t xml:space="preserve">did not know, nor… have any way of knowing</w:t>
            </w:r>
            <w:r>
              <w:t xml:space="preserve">”</w:t>
            </w:r>
            <w:r>
              <w:t xml:space="preserve"> </w:t>
            </w:r>
            <w:r>
              <w:t xml:space="preserve">the presider was a commissioner</w:t>
            </w:r>
          </w:p>
        </w:tc>
      </w:tr>
      <w:tr>
        <w:tc>
          <w:tcPr/>
          <w:p>
            <w:pPr>
              <w:pStyle w:val="Compact"/>
              <w:jc w:val="left"/>
            </w:pPr>
            <w:r>
              <w:t xml:space="preserve">Respondent appeared, was informed, and participated without objecting</w:t>
            </w:r>
          </w:p>
        </w:tc>
        <w:tc>
          <w:tcPr/>
          <w:p>
            <w:pPr>
              <w:pStyle w:val="Compact"/>
              <w:jc w:val="left"/>
            </w:pPr>
            <w:r>
              <w:rPr>
                <w:b/>
                <w:bCs/>
              </w:rPr>
              <w:t xml:space="preserve">Stipulation likely implied</w:t>
            </w:r>
            <w:r>
              <w:t xml:space="preserve"> </w:t>
            </w:r>
            <w:r>
              <w:t xml:space="preserve">— order probably not void (</w:t>
            </w:r>
            <w:r>
              <w:rPr>
                <w:i/>
                <w:iCs/>
              </w:rPr>
              <w:t xml:space="preserve">Elena S.</w:t>
            </w:r>
            <w:r>
              <w:t xml:space="preserve">,</w:t>
            </w:r>
            <w:r>
              <w:t xml:space="preserve"> </w:t>
            </w:r>
            <w:r>
              <w:rPr>
                <w:i/>
                <w:iCs/>
              </w:rPr>
              <w:t xml:space="preserve">Horton</w:t>
            </w:r>
            <w:r>
              <w:t xml:space="preserve">)</w:t>
            </w:r>
          </w:p>
        </w:tc>
      </w:tr>
      <w:tr>
        <w:tc>
          <w:tcPr/>
          <w:p>
            <w:pPr>
              <w:pStyle w:val="Compact"/>
              <w:jc w:val="left"/>
            </w:pPr>
            <w:r>
              <w:t xml:space="preserve">Respondent appeared and objected to the commissioner at the time</w:t>
            </w:r>
          </w:p>
        </w:tc>
        <w:tc>
          <w:tcPr/>
          <w:p>
            <w:pPr>
              <w:pStyle w:val="Compact"/>
              <w:jc w:val="left"/>
            </w:pPr>
            <w:r>
              <w:rPr>
                <w:b/>
                <w:bCs/>
              </w:rPr>
              <w:t xml:space="preserve">Stipulation not implied</w:t>
            </w:r>
            <w:r>
              <w:t xml:space="preserve"> </w:t>
            </w:r>
            <w:r>
              <w:t xml:space="preserve">— order likely void</w:t>
            </w:r>
          </w:p>
        </w:tc>
      </w:tr>
    </w:tbl>
    <w:p>
      <w:pPr>
        <w:pStyle w:val="Body Text"/>
      </w:pPr>
      <w:r>
        <w:t xml:space="preserve">[INSERT FACTS: Was Respondent informed that the presiding official was a commissioner, not a judge? Did Respondent appear at the hearing? If Respondent appeared, did Respondent object to the commissioner’s authority at any point during the proceeding? These facts are essential to the jurisdictional argument and must be established from the hearing record.]</w:t>
      </w:r>
    </w:p>
    <w:bookmarkEnd w:id="27"/>
    <w:bookmarkStart w:id="28" w:name="X819bf9cb86dfc7d0d558462c4817d0584f1db7e"/>
    <w:p>
      <w:pPr>
        <w:pStyle w:val="Heading2"/>
      </w:pPr>
      <w:r>
        <w:t xml:space="preserve">4. There Is No Time Limit on Challenging a Void Order</w:t>
      </w:r>
    </w:p>
    <w:p>
      <w:pPr>
        <w:pStyle w:val="FirstParagraph"/>
      </w:pPr>
      <w:r>
        <w:t xml:space="preserve">A void judgment may be challenged at any time — it is not subject to the time limitations that apply to voidable judgments. The California Supreme Court recently reaffirmed this principle in</w:t>
      </w:r>
      <w:r>
        <w:t xml:space="preserve"> </w:t>
      </w:r>
      <w:r>
        <w:rPr>
          <w:i/>
          <w:iCs/>
        </w:rPr>
        <w:t xml:space="preserve">Cal. Capital Ins. Co. v. Hoehn</w:t>
      </w:r>
      <w:r>
        <w:t xml:space="preserve"> </w:t>
      </w:r>
      <w:r>
        <w:t xml:space="preserve">(2024) [appellate citation], abrogating the judicially imposed two-year limitation on § 473(d) motions to vacate void judgments:</w:t>
      </w:r>
      <w:r>
        <w:t xml:space="preserve"> </w:t>
      </w:r>
      <w:r>
        <w:t xml:space="preserve">“</w:t>
      </w:r>
      <w:r>
        <w:t xml:space="preserve">a section 473(d) motion to vacate a judgment that is void for lack of proper service is not subject to the judicially imposed two-year limitation.</w:t>
      </w:r>
      <w:r>
        <w:t xml:space="preserve">”</w:t>
      </w:r>
      <w:r>
        <w:t xml:space="preserve"> </w:t>
      </w:r>
      <w:r>
        <w:t xml:space="preserve">(</w:t>
      </w:r>
      <w:r>
        <w:rPr>
          <w:i/>
          <w:iCs/>
        </w:rPr>
        <w:t xml:space="preserve">Id.</w:t>
      </w:r>
      <w:r>
        <w:t xml:space="preserve"> </w:t>
      </w:r>
      <w:r>
        <w:t xml:space="preserve">[slip opn. at relevant page].)</w:t>
      </w:r>
    </w:p>
    <w:p>
      <w:pPr>
        <w:pStyle w:val="Body Text"/>
      </w:pPr>
      <w:r>
        <w:t xml:space="preserve">A protective order issued by a commissioner without constitutional authority is void — not merely voidable for defective service. The principle that void judgments may be attacked at any time applies with even greater force here, because the defect is not in the process but in the authority of the person who issued the order.</w:t>
      </w:r>
    </w:p>
    <w:bookmarkEnd w:id="28"/>
    <w:bookmarkStart w:id="29" w:name="application"/>
    <w:p>
      <w:pPr>
        <w:pStyle w:val="Heading2"/>
      </w:pPr>
      <w:r>
        <w:t xml:space="preserve">5. Application</w:t>
      </w:r>
    </w:p>
    <w:p>
      <w:pPr>
        <w:pStyle w:val="FirstParagraph"/>
      </w:pPr>
      <w:r>
        <w:t xml:space="preserve">[INSERT SPECIFIC FACTS FROM THE HEARING RECORD ESTABLISHING: (1) the presiding official was a commissioner, not a judge; (2) no stipulation appears on the record — written or oral — authorizing the commissioner to act as a temporary judge; (3) no court order assigned the matter to the commissioner under § 259a(6) for uncontested proceedings; (4) Respondent either did not appear, or appeared without being informed the presider was a commissioner, or appeared and objected. EACH OF THESE FACTS MUST BE ESTABLISHED FROM THE RECORD. THE STRENGTH OF THE JURISDICTIONAL ARGUMENT DEPENDS ENTIRELY ON THE HEARING RECORD.]</w:t>
      </w:r>
    </w:p>
    <w:p>
      <w:pPr>
        <w:pStyle w:val="Body Text"/>
      </w:pPr>
      <w:r>
        <w:t xml:space="preserve">If these facts are established, the Protective Order is void ab initio. It was never a valid order. It never had legal force. And because it was void — not voidable — the consequences extend beyond the civil vacatur to the criminal exposure analysis in Section IV.H below.</w:t>
      </w:r>
    </w:p>
    <w:bookmarkEnd w:id="29"/>
    <w:bookmarkStart w:id="30" w:name="X7ecfa6aa9397466079fce60b57a7de3aa5cebb9"/>
    <w:p>
      <w:pPr>
        <w:pStyle w:val="Heading2"/>
      </w:pPr>
      <w:r>
        <w:t xml:space="preserve">6. This Argument Is Independent of and Stronger Than the Fraud Theory</w:t>
      </w:r>
    </w:p>
    <w:p>
      <w:pPr>
        <w:pStyle w:val="FirstParagraph"/>
      </w:pPr>
      <w:r>
        <w:t xml:space="preserve">The jurisdictional argument does not depend on proving the petitioner’s fraudulent intent. It does not require litigating the unsettled void/voidable distinction that the fraud theory triggers. The cases say</w:t>
      </w:r>
      <w:r>
        <w:t xml:space="preserve"> </w:t>
      </w:r>
      <w:r>
        <w:t xml:space="preserve">“</w:t>
      </w:r>
      <w:r>
        <w:t xml:space="preserve">void</w:t>
      </w:r>
      <w:r>
        <w:t xml:space="preserve">”</w:t>
      </w:r>
      <w:r>
        <w:t xml:space="preserve"> </w:t>
      </w:r>
      <w:r>
        <w:t xml:space="preserve">directly. (</w:t>
      </w:r>
      <w:r>
        <w:rPr>
          <w:i/>
          <w:iCs/>
        </w:rPr>
        <w:t xml:space="preserve">Michaels v. Turk</w:t>
      </w:r>
      <w:r>
        <w:t xml:space="preserve">,</w:t>
      </w:r>
      <w:r>
        <w:t xml:space="preserve"> </w:t>
      </w:r>
      <w:r>
        <w:rPr>
          <w:i/>
          <w:iCs/>
        </w:rPr>
        <w:t xml:space="preserve">supra</w:t>
      </w:r>
      <w:r>
        <w:t xml:space="preserve">, 239 Cal.App.4th at 1416 [</w:t>
      </w:r>
      <w:r>
        <w:t xml:space="preserve">“</w:t>
      </w:r>
      <w:r>
        <w:t xml:space="preserve">the restraining order is void</w:t>
      </w:r>
      <w:r>
        <w:t xml:space="preserve">”</w:t>
      </w:r>
      <w:r>
        <w:t xml:space="preserve">];</w:t>
      </w:r>
      <w:r>
        <w:t xml:space="preserve"> </w:t>
      </w:r>
      <w:r>
        <w:rPr>
          <w:i/>
          <w:iCs/>
        </w:rPr>
        <w:t xml:space="preserve">Djulus, supra</w:t>
      </w:r>
      <w:r>
        <w:t xml:space="preserve">, 10 Cal.App.5th at 1049 [</w:t>
      </w:r>
      <w:r>
        <w:t xml:space="preserve">“</w:t>
      </w:r>
      <w:r>
        <w:t xml:space="preserve">the judgment… was void</w:t>
      </w:r>
      <w:r>
        <w:t xml:space="preserve">”</w:t>
      </w:r>
      <w:r>
        <w:t xml:space="preserve">].)</w:t>
      </w:r>
    </w:p>
    <w:p>
      <w:pPr>
        <w:pStyle w:val="Body Text"/>
      </w:pPr>
      <w:r>
        <w:t xml:space="preserve">The fraud theory — set forth in Section IV.B below — serves as an alternative ground. If the Court finds that a stipulation existed or was implied, the order is still independently void because it was procured by extrinsic fraud. But if the jurisdictional argument succeeds, the fraud question becomes secondary: the order is void for a structural constitutional reason, independent of the petitioner’s conduct.</w:t>
      </w:r>
    </w:p>
    <w:p>
      <w:pPr>
        <w:pStyle w:val="Body Text"/>
      </w:pPr>
      <w:r>
        <w:t xml:space="preserve">The fraud theory remains critical for other purposes — the perjury referral (Section IV.G), the purge argument (Section IV.C), and the sealing motion (Section IV.F) — but the jurisdictional void provides a cleaner, more direct path to the conclusion that the order never legally existed.# IV.B. ALTERNATIVE GROUND: THE ORDER WAS PROCURED BY EXTRINSIC FRAUD</w:t>
      </w:r>
    </w:p>
    <w:p>
      <w:pPr>
        <w:pStyle w:val="Body Text"/>
      </w:pPr>
      <w:r>
        <w:t xml:space="preserve">Even if the Court finds that the commissioner had stipulation to act — or that stipulation was implied by Respondent’s participation — the Protective Order is independently void because it was procured by extrinsic fraud. This section is presented as an alternative ground. If the jurisdictional argument in Section IV.A succeeds, this section provides additional support for the purge and perjury claims. If the jurisdictional argument fails because stipulation was implied, this section becomes the primary basis for vacatur.</w:t>
      </w:r>
    </w:p>
    <w:bookmarkEnd w:id="30"/>
    <w:bookmarkStart w:id="31" w:name="the-doctrine"/>
    <w:p>
      <w:pPr>
        <w:pStyle w:val="Heading2"/>
      </w:pPr>
      <w:r>
        <w:t xml:space="preserve">1. The Doctrine</w:t>
      </w:r>
    </w:p>
    <w:p>
      <w:pPr>
        <w:pStyle w:val="FirstParagraph"/>
      </w:pPr>
      <w:r>
        <w:t xml:space="preserve">California courts of general jurisdiction possess inherent equitable power — independent of statutory authorization and not limited by the six-month deadline of Code of Civil Procedure § 473(b) — to vacate a judgment or order procured by extrinsic fraud. The Supreme Court established this principle in</w:t>
      </w:r>
      <w:r>
        <w:t xml:space="preserve"> </w:t>
      </w:r>
      <w:r>
        <w:rPr>
          <w:i/>
          <w:iCs/>
        </w:rPr>
        <w:t xml:space="preserve">Kulchar v. Kulchar</w:t>
      </w:r>
      <w:r>
        <w:t xml:space="preserve"> </w:t>
      </w:r>
      <w:r>
        <w:t xml:space="preserve">(1969) 1 Cal.3d 467, holding that</w:t>
      </w:r>
      <w:r>
        <w:t xml:space="preserve"> </w:t>
      </w:r>
      <w:r>
        <w:t xml:space="preserve">“</w:t>
      </w:r>
      <w:r>
        <w:t xml:space="preserve">a court of general jurisdiction has inherent equity power, aside from statutory authorization, to vacate and set aside default judgments obtained through extrinsic fraud or mistake.</w:t>
      </w:r>
      <w:r>
        <w:t xml:space="preserve">”</w:t>
      </w:r>
      <w:r>
        <w:t xml:space="preserve"> </w:t>
      </w:r>
      <w:r>
        <w:t xml:space="preserve">(</w:t>
      </w:r>
      <w:r>
        <w:rPr>
          <w:i/>
          <w:iCs/>
        </w:rPr>
        <w:t xml:space="preserve">Id.</w:t>
      </w:r>
      <w:r>
        <w:t xml:space="preserve"> </w:t>
      </w:r>
      <w:r>
        <w:t xml:space="preserve">at 471;</w:t>
      </w:r>
      <w:r>
        <w:t xml:space="preserve"> </w:t>
      </w:r>
      <w:r>
        <w:rPr>
          <w:i/>
          <w:iCs/>
        </w:rPr>
        <w:t xml:space="preserve">Bloniarz v. Roloson</w:t>
      </w:r>
      <w:r>
        <w:t xml:space="preserve"> </w:t>
      </w:r>
      <w:r>
        <w:t xml:space="preserve">(1969) 70 Cal.2d 143, 147.)</w:t>
      </w:r>
    </w:p>
    <w:p>
      <w:pPr>
        <w:pStyle w:val="Body Text"/>
      </w:pPr>
      <w:r>
        <w:t xml:space="preserve">This power is not limited by any time period.</w:t>
      </w:r>
      <w:r>
        <w:t xml:space="preserve"> </w:t>
      </w:r>
      <w:r>
        <w:t xml:space="preserve">“</w:t>
      </w:r>
      <w:r>
        <w:t xml:space="preserve">[T]o an application for relief based upon extrinsic fraud, the restrictions of section 473, among which is the six-month’s time limit, do not apply.</w:t>
      </w:r>
      <w:r>
        <w:t xml:space="preserve">”</w:t>
      </w:r>
      <w:r>
        <w:t xml:space="preserve"> </w:t>
      </w:r>
      <w:r>
        <w:t xml:space="preserve">(</w:t>
      </w:r>
      <w:r>
        <w:rPr>
          <w:i/>
          <w:iCs/>
        </w:rPr>
        <w:t xml:space="preserve">Davis v. Davis</w:t>
      </w:r>
      <w:r>
        <w:t xml:space="preserve"> </w:t>
      </w:r>
      <w:r>
        <w:t xml:space="preserve">(1960) 185 Cal.App.2d 788, 794;</w:t>
      </w:r>
      <w:r>
        <w:t xml:space="preserve"> </w:t>
      </w:r>
      <w:r>
        <w:rPr>
          <w:i/>
          <w:iCs/>
        </w:rPr>
        <w:t xml:space="preserve">H &amp; H Investment Co. v. T-J Construction Co.</w:t>
      </w:r>
      <w:r>
        <w:t xml:space="preserve"> </w:t>
      </w:r>
      <w:r>
        <w:t xml:space="preserve">(1969) 275 Cal.App.2d 58, 62 [</w:t>
      </w:r>
      <w:r>
        <w:t xml:space="preserve">“</w:t>
      </w:r>
      <w:r>
        <w:t xml:space="preserve">Such a motion is addressed to the court’s inherent power to vacate judgments obtained by extrinsic fraud and the six months limitation contained in Code of Civil Procedure, section 473 is not applicable.</w:t>
      </w:r>
      <w:r>
        <w:t xml:space="preserve">”</w:t>
      </w:r>
      <w:r>
        <w:t xml:space="preserve">].)</w:t>
      </w:r>
    </w:p>
    <w:p>
      <w:pPr>
        <w:pStyle w:val="Body Text"/>
      </w:pPr>
      <w:r>
        <w:t xml:space="preserve">The principle has been reaffirmed even where the Legislature has expressly excluded § 473 from a particular proceeding. (</w:t>
      </w:r>
      <w:r>
        <w:rPr>
          <w:i/>
          <w:iCs/>
        </w:rPr>
        <w:t xml:space="preserve">People v. One Parcel of Land</w:t>
      </w:r>
      <w:r>
        <w:t xml:space="preserve"> </w:t>
      </w:r>
      <w:r>
        <w:t xml:space="preserve">(1991) 235 Cal.App.3d 579, 586 [</w:t>
      </w:r>
      <w:r>
        <w:t xml:space="preserve">“</w:t>
      </w:r>
      <w:r>
        <w:t xml:space="preserve">The court had inherent equitable authority, separate and apart from section 473, to set aside the judgment based on extrinsic fraud or mistake.</w:t>
      </w:r>
      <w:r>
        <w:t xml:space="preserve">”</w:t>
      </w:r>
      <w:r>
        <w:t xml:space="preserve">].)</w:t>
      </w:r>
    </w:p>
    <w:bookmarkEnd w:id="31"/>
    <w:bookmarkStart w:id="32" w:name="X440e00ec1bfcbe40ccb8efc0c203b1c2accef45"/>
    <w:p>
      <w:pPr>
        <w:pStyle w:val="Heading2"/>
      </w:pPr>
      <w:r>
        <w:t xml:space="preserve">2. Extrinsic Versus Intrinsic Fraud — The Threshold Question</w:t>
      </w:r>
    </w:p>
    <w:p>
      <w:pPr>
        <w:pStyle w:val="FirstParagraph"/>
      </w:pPr>
      <w:r>
        <w:t xml:space="preserve">The distinction between extrinsic and intrinsic fraud is the threshold question, and it is the issue on which this alternative ground lives or dies. Extrinsic fraud — fraud that</w:t>
      </w:r>
      <w:r>
        <w:t xml:space="preserve"> </w:t>
      </w:r>
      <w:r>
        <w:t xml:space="preserve">“</w:t>
      </w:r>
      <w:r>
        <w:t xml:space="preserve">deprives the unsuccessful party of an opportunity to present his case to the court</w:t>
      </w:r>
      <w:r>
        <w:t xml:space="preserve">”</w:t>
      </w:r>
      <w:r>
        <w:t xml:space="preserve"> </w:t>
      </w:r>
      <w:r>
        <w:t xml:space="preserve">— justifies vacatur at any time. (</w:t>
      </w:r>
      <w:r>
        <w:rPr>
          <w:i/>
          <w:iCs/>
        </w:rPr>
        <w:t xml:space="preserve">In re Marriage of Stevenot</w:t>
      </w:r>
      <w:r>
        <w:t xml:space="preserve"> </w:t>
      </w:r>
      <w:r>
        <w:t xml:space="preserve">(1984) 154 Cal.App.3d 1051, 1069.) Intrinsic fraud — fraud</w:t>
      </w:r>
      <w:r>
        <w:t xml:space="preserve"> </w:t>
      </w:r>
      <w:r>
        <w:t xml:space="preserve">“</w:t>
      </w:r>
      <w:r>
        <w:t xml:space="preserve">going to the merits of the prior proceedings, which should have been guarded against by the plaintiff at that time</w:t>
      </w:r>
      <w:r>
        <w:t xml:space="preserve">”</w:t>
      </w:r>
      <w:r>
        <w:t xml:space="preserve"> </w:t>
      </w:r>
      <w:r>
        <w:t xml:space="preserve">— does not. (</w:t>
      </w:r>
      <w:r>
        <w:rPr>
          <w:i/>
          <w:iCs/>
        </w:rPr>
        <w:t xml:space="preserve">Kulchar, supra</w:t>
      </w:r>
      <w:r>
        <w:t xml:space="preserve">, 1 Cal.3d at 481.)</w:t>
      </w:r>
    </w:p>
    <w:p>
      <w:pPr>
        <w:pStyle w:val="Body Text"/>
      </w:pPr>
      <w:r>
        <w:t xml:space="preserve">The California Supreme Court has defined extrinsic fraud as conduct that keeps a party</w:t>
      </w:r>
      <w:r>
        <w:t xml:space="preserve"> </w:t>
      </w:r>
      <w:r>
        <w:t xml:space="preserve">“</w:t>
      </w:r>
      <w:r>
        <w:t xml:space="preserve">in ignorance or in some other manner, other than from his or her own conduct, fraudulently prevented from fully participating in the proceeding.</w:t>
      </w:r>
      <w:r>
        <w:t xml:space="preserve">”</w:t>
      </w:r>
      <w:r>
        <w:t xml:space="preserve"> </w:t>
      </w:r>
      <w:r>
        <w:t xml:space="preserve">(</w:t>
      </w:r>
      <w:r>
        <w:rPr>
          <w:i/>
          <w:iCs/>
        </w:rPr>
        <w:t xml:space="preserve">Kulchar, supra</w:t>
      </w:r>
      <w:r>
        <w:t xml:space="preserve">, 1 Cal.3d at 471.)</w:t>
      </w:r>
    </w:p>
    <w:p>
      <w:pPr>
        <w:pStyle w:val="Body Text"/>
      </w:pPr>
      <w:r>
        <w:t xml:space="preserve">The distinction is critical and must be confronted honestly.</w:t>
      </w:r>
      <w:r>
        <w:t xml:space="preserve"> </w:t>
      </w:r>
      <w:r>
        <w:t xml:space="preserve">“</w:t>
      </w:r>
      <w:r>
        <w:t xml:space="preserve">California cases uniformly hold that the introduction of perjured testimony or false documents in a fully litigated case constitutes intrinsic fraud rather than extrinsic fraud.</w:t>
      </w:r>
      <w:r>
        <w:t xml:space="preserve">”</w:t>
      </w:r>
      <w:r>
        <w:t xml:space="preserve"> </w:t>
      </w:r>
      <w:r>
        <w:t xml:space="preserve">(</w:t>
      </w:r>
      <w:r>
        <w:rPr>
          <w:i/>
          <w:iCs/>
        </w:rPr>
        <w:t xml:space="preserve">Beresh v. Sovereign Life Insurance</w:t>
      </w:r>
      <w:r>
        <w:t xml:space="preserve"> </w:t>
      </w:r>
      <w:r>
        <w:t xml:space="preserve">(1979) 92 Cal.App.3d 547, 553, quoting</w:t>
      </w:r>
      <w:r>
        <w:t xml:space="preserve"> </w:t>
      </w:r>
      <w:r>
        <w:rPr>
          <w:i/>
          <w:iCs/>
        </w:rPr>
        <w:t xml:space="preserve">Pico v. Cohn</w:t>
      </w:r>
      <w:r>
        <w:t xml:space="preserve"> </w:t>
      </w:r>
      <w:r>
        <w:t xml:space="preserve">(1891) 91 Cal. 129, 133–134.) The rule is classically stated in</w:t>
      </w:r>
      <w:r>
        <w:t xml:space="preserve"> </w:t>
      </w:r>
      <w:r>
        <w:rPr>
          <w:i/>
          <w:iCs/>
        </w:rPr>
        <w:t xml:space="preserve">Pico</w:t>
      </w:r>
      <w:r>
        <w:t xml:space="preserve">:</w:t>
      </w:r>
      <w:r>
        <w:t xml:space="preserve"> </w:t>
      </w:r>
      <w:r>
        <w:t xml:space="preserve">“</w:t>
      </w:r>
      <w:r>
        <w:t xml:space="preserve">a decree will not be vacated merely because it was obtained by forged documents or perjured testimony… when [the unsuccessful party] has a trial, he must be prepared to meet and expose perjury then and there.</w:t>
      </w:r>
      <w:r>
        <w:t xml:space="preserve">”</w:t>
      </w:r>
      <w:r>
        <w:t xml:space="preserve"> </w:t>
      </w:r>
      <w:r>
        <w:t xml:space="preserve">(</w:t>
      </w:r>
      <w:r>
        <w:rPr>
          <w:i/>
          <w:iCs/>
        </w:rPr>
        <w:t xml:space="preserve">Pico v. Cohn, supra</w:t>
      </w:r>
      <w:r>
        <w:t xml:space="preserve">, 91 Cal. at 133–134, quoted in</w:t>
      </w:r>
      <w:r>
        <w:t xml:space="preserve"> </w:t>
      </w:r>
      <w:r>
        <w:rPr>
          <w:i/>
          <w:iCs/>
        </w:rPr>
        <w:t xml:space="preserve">Beresh, supra</w:t>
      </w:r>
      <w:r>
        <w:t xml:space="preserve">, 92 Cal.App.3d at 553.)</w:t>
      </w:r>
    </w:p>
    <w:p>
      <w:pPr>
        <w:pStyle w:val="Body Text"/>
      </w:pPr>
      <w:r>
        <w:rPr>
          <w:b/>
          <w:bCs/>
        </w:rPr>
        <w:t xml:space="preserve">This means: if Respondent appeared at the protective order hearing, had the opportunity to cross-examine Petitioner, and chose not to expose the perjury</w:t>
      </w:r>
      <w:r>
        <w:rPr>
          <w:b/>
          <w:bCs/>
        </w:rPr>
        <w:t xml:space="preserve"> </w:t>
      </w:r>
      <w:r>
        <w:rPr>
          <w:b/>
          <w:bCs/>
        </w:rPr>
        <w:t xml:space="preserve">“</w:t>
      </w:r>
      <w:r>
        <w:rPr>
          <w:b/>
          <w:bCs/>
        </w:rPr>
        <w:t xml:space="preserve">then and there,</w:t>
      </w:r>
      <w:r>
        <w:rPr>
          <w:b/>
          <w:bCs/>
        </w:rPr>
        <w:t xml:space="preserve">”</w:t>
      </w:r>
      <w:r>
        <w:rPr>
          <w:b/>
          <w:bCs/>
        </w:rPr>
        <w:t xml:space="preserve"> </w:t>
      </w:r>
      <w:r>
        <w:rPr>
          <w:b/>
          <w:bCs/>
        </w:rPr>
        <w:t xml:space="preserve">the false statements are intrinsic fraud and this alternative ground fails.</w:t>
      </w:r>
      <w:r>
        <w:t xml:space="preserve"> </w:t>
      </w:r>
      <w:r>
        <w:t xml:space="preserve">The fraud argument can succeed only if the fraud was extrinsic — if it prevented Respondent from participating in the proceeding at all.</w:t>
      </w:r>
    </w:p>
    <w:p>
      <w:pPr>
        <w:pStyle w:val="Body Text"/>
      </w:pPr>
      <w:r>
        <w:t xml:space="preserve">Here, the fraud was extrinsic because [INSERT SPECIFIC FACTS SHOWING RESPONDENT WAS PREVENTED FROM PARTICIPATING — e.g., Respondent was not properly served and did not appear; Respondent was misled about the nature, date, or location of the hearing; the false statements were combined with concealment that kept Respondent in ignorance of the proceeding; Respondent’s inability to participate was caused by Petitioner’s affirmative deception, not by Respondent’s own negligence or choice]. This is the factual predicate that elevates the nineteen false statements from intrinsic perjury (which would not support vacatur) to extrinsic fraud (which does).</w:t>
      </w:r>
    </w:p>
    <w:bookmarkEnd w:id="32"/>
    <w:bookmarkStart w:id="36" w:name="Xc69fb0f45f0277a352fb5095f2be3a22d2d6dcc"/>
    <w:p>
      <w:pPr>
        <w:pStyle w:val="Heading2"/>
      </w:pPr>
      <w:r>
        <w:t xml:space="preserve">3. The Nineteen False Statements Constitute Extrinsic Fraud</w:t>
      </w:r>
    </w:p>
    <w:p>
      <w:pPr>
        <w:pStyle w:val="FirstParagraph"/>
      </w:pPr>
      <w:r>
        <w:t xml:space="preserve">[INSERT DETAILED ANALYSIS OF EACH FALSE STATEMENT AND HOW IT PREVENTED RESPONDENT FROM PRESENTING A DEFENSE. THE TEMPLATE BELOW IS BASED ON THE ADAMS FACTS — ADAPT TO THE ACTUAL CASE.]</w:t>
      </w:r>
    </w:p>
    <w:p>
      <w:pPr>
        <w:pStyle w:val="Body Text"/>
      </w:pPr>
      <w:r>
        <w:t xml:space="preserve">Petitioner made nineteen false statements under oath across ____________ declarations submitted to this Court. These statements fall into three categories of extrinsic fraud:</w:t>
      </w:r>
    </w:p>
    <w:bookmarkStart w:id="33" w:name="a.-fabricated-incidents-of-violence"/>
    <w:p>
      <w:pPr>
        <w:pStyle w:val="Heading3"/>
      </w:pPr>
      <w:r>
        <w:t xml:space="preserve">a. Fabricated Incidents of Violence</w:t>
      </w:r>
    </w:p>
    <w:p>
      <w:pPr>
        <w:pStyle w:val="FirstParagraph"/>
      </w:pPr>
      <w:r>
        <w:t xml:space="preserve">[LIST SPECIFIC FALSE ALLEGATIONS — e.g., Petitioner falsely alleged that Respondent committed acts of violence on specific dates, at specific locations, which investigation/records/evidence have conclusively shown never occurred. CITE SPECIFIC EVIDENCE OF FALSITY FOR EACH.]</w:t>
      </w:r>
    </w:p>
    <w:p>
      <w:pPr>
        <w:pStyle w:val="Body Text"/>
      </w:pPr>
      <w:r>
        <w:t xml:space="preserve">These fabricated allegations were not merely inaccurate testimony about contested events. They were the foundational predicates upon which the Protective Order was issued, and they were specifically designed to — and did — prevent Respondent from presenting a meaningful defense. [EXPLAIN HOW — e.g., the fabricated timeline made it impossible for Respondent to produce alibi evidence, the fabricated locations made it impossible to produce surveillance footage, etc.]</w:t>
      </w:r>
    </w:p>
    <w:bookmarkEnd w:id="33"/>
    <w:bookmarkStart w:id="34" w:name="b.-concealment-of-material-facts"/>
    <w:p>
      <w:pPr>
        <w:pStyle w:val="Heading3"/>
      </w:pPr>
      <w:r>
        <w:t xml:space="preserve">b. Concealment of Material Facts</w:t>
      </w:r>
    </w:p>
    <w:p>
      <w:pPr>
        <w:pStyle w:val="FirstParagraph"/>
      </w:pPr>
      <w:r>
        <w:t xml:space="preserve">[LIST SPECIFIC FACTS CONCEALED — e.g., Petitioner concealed that she had initiated the contact, concealed prior false allegations, concealed her own conduct that would have defeated the showing of</w:t>
      </w:r>
      <w:r>
        <w:t xml:space="preserve"> </w:t>
      </w:r>
      <w:r>
        <w:t xml:space="preserve">“</w:t>
      </w:r>
      <w:r>
        <w:t xml:space="preserve">credible threat of violence,</w:t>
      </w:r>
      <w:r>
        <w:t xml:space="preserve">”</w:t>
      </w:r>
      <w:r>
        <w:t xml:space="preserve"> </w:t>
      </w:r>
      <w:r>
        <w:t xml:space="preserve">etc.]</w:t>
      </w:r>
    </w:p>
    <w:p>
      <w:pPr>
        <w:pStyle w:val="Body Text"/>
      </w:pPr>
      <w:r>
        <w:t xml:space="preserve">The California Supreme Court has held that</w:t>
      </w:r>
      <w:r>
        <w:t xml:space="preserve"> </w:t>
      </w:r>
      <w:r>
        <w:t xml:space="preserve">“</w:t>
      </w:r>
      <w:r>
        <w:t xml:space="preserve">by some fraud practised directly upon the party seeking relief against the judgment or decree, that party has been prevented from presenting all of his case to the court</w:t>
      </w:r>
      <w:r>
        <w:t xml:space="preserve">”</w:t>
      </w:r>
      <w:r>
        <w:t xml:space="preserve"> </w:t>
      </w:r>
      <w:r>
        <w:t xml:space="preserve">constitutes extrinsic fraud. (</w:t>
      </w:r>
      <w:r>
        <w:rPr>
          <w:i/>
          <w:iCs/>
        </w:rPr>
        <w:t xml:space="preserve">Estate of Sanders</w:t>
      </w:r>
      <w:r>
        <w:t xml:space="preserve"> </w:t>
      </w:r>
      <w:r>
        <w:t xml:space="preserve">(1985) 40 Cal.3d 607, 635.)</w:t>
      </w:r>
    </w:p>
    <w:bookmarkEnd w:id="34"/>
    <w:bookmarkStart w:id="35" w:name="X21d17acf8ee6023254b45e95a95532e1d10cbe3"/>
    <w:p>
      <w:pPr>
        <w:pStyle w:val="Heading3"/>
      </w:pPr>
      <w:r>
        <w:t xml:space="preserve">c. Affirmative Misrepresentation of the Parties’ Relationship</w:t>
      </w:r>
    </w:p>
    <w:p>
      <w:pPr>
        <w:pStyle w:val="FirstParagraph"/>
      </w:pPr>
      <w:r>
        <w:t xml:space="preserve">[LIST SPECIFIC MISREPRESENTATIONS — e.g., Petitioner misrepresented the nature of the relationship, concealed that she was the aggressor, concealed that she had been the one to initiate contact, etc.]</w:t>
      </w:r>
    </w:p>
    <w:bookmarkEnd w:id="35"/>
    <w:bookmarkEnd w:id="36"/>
    <w:bookmarkStart w:id="37" w:name="Xdc7f03fd69afda3159f517bbba6d41eaa9610d7"/>
    <w:p>
      <w:pPr>
        <w:pStyle w:val="Heading2"/>
      </w:pPr>
      <w:r>
        <w:t xml:space="preserve">4. Respondent Was Deprived of a Fair Adversary Hearing</w:t>
      </w:r>
    </w:p>
    <w:p>
      <w:pPr>
        <w:pStyle w:val="FirstParagraph"/>
      </w:pPr>
      <w:r>
        <w:t xml:space="preserve">The combined effect of the nineteen false statements was to deprive Respondent of a fair adversary hearing. [EXPLAIN HOW THE FRAUD PREVENTED RESPONDENT FROM PARTICIPATING — e.g., Respondent was not served, Respondent was misled as to the nature of the proceedings, the false statements made it impossible for Respondent to know what evidence to present, etc.]</w:t>
      </w:r>
    </w:p>
    <w:p>
      <w:pPr>
        <w:pStyle w:val="Body Text"/>
      </w:pPr>
      <w:r>
        <w:t xml:space="preserve">This is not a case where Respondent had a full opportunity to cross-examine Petitioner and chose not to do so. This is a case where the fraud itself prevented Respondent from participating.</w:t>
      </w:r>
      <w:r>
        <w:t xml:space="preserve"> </w:t>
      </w:r>
      <w:r>
        <w:t xml:space="preserve">“</w:t>
      </w:r>
      <w:r>
        <w:t xml:space="preserve">If an unsuccessful party to an action has been kept in ignorance thereof or has been prevented from fully participating therein, there has been no true adversary proceeding, and the judgment is open to attack at any time.</w:t>
      </w:r>
      <w:r>
        <w:t xml:space="preserve">”</w:t>
      </w:r>
      <w:r>
        <w:t xml:space="preserve"> </w:t>
      </w:r>
      <w:r>
        <w:t xml:space="preserve">(</w:t>
      </w:r>
      <w:r>
        <w:rPr>
          <w:i/>
          <w:iCs/>
        </w:rPr>
        <w:t xml:space="preserve">Bottom v. Bottom</w:t>
      </w:r>
      <w:r>
        <w:t xml:space="preserve"> </w:t>
      </w:r>
      <w:r>
        <w:t xml:space="preserve">(1962) 210 Cal.App.2d 784, 789.)</w:t>
      </w:r>
    </w:p>
    <w:bookmarkEnd w:id="37"/>
    <w:bookmarkStart w:id="38" w:name="respondent-was-not-negligent"/>
    <w:p>
      <w:pPr>
        <w:pStyle w:val="Heading2"/>
      </w:pPr>
      <w:r>
        <w:t xml:space="preserve">5. Respondent Was Not Negligent</w:t>
      </w:r>
    </w:p>
    <w:p>
      <w:pPr>
        <w:pStyle w:val="FirstParagraph"/>
      </w:pPr>
      <w:r>
        <w:t xml:space="preserve">Respondent’s discovery of the fraud was timely and Respondent acted with diligence upon discovery. [INSERT SPECIFIC FACTS REGARDING DISCOVERY AND DILIGENCE.] Respondent’s own conduct did not</w:t>
      </w:r>
      <w:r>
        <w:t xml:space="preserve"> </w:t>
      </w:r>
      <w:r>
        <w:t xml:space="preserve">“</w:t>
      </w:r>
      <w:r>
        <w:t xml:space="preserve">permit[] the fraud to be practiced.</w:t>
      </w:r>
      <w:r>
        <w:t xml:space="preserve">”</w:t>
      </w:r>
      <w:r>
        <w:t xml:space="preserve"> </w:t>
      </w:r>
      <w:r>
        <w:t xml:space="preserve">(</w:t>
      </w:r>
      <w:r>
        <w:rPr>
          <w:i/>
          <w:iCs/>
        </w:rPr>
        <w:t xml:space="preserve">Kramer v. Traditional Escrow</w:t>
      </w:r>
      <w:r>
        <w:t xml:space="preserve"> </w:t>
      </w:r>
      <w:r>
        <w:t xml:space="preserve">(2020) 51 Cal.App.5th 563, 589.)</w:t>
      </w:r>
    </w:p>
    <w:bookmarkEnd w:id="38"/>
    <w:bookmarkStart w:id="39" w:name="X11c1ccf38c9b1b345bfdfe48f3ef86327733c5a"/>
    <w:p>
      <w:pPr>
        <w:pStyle w:val="Heading2"/>
      </w:pPr>
      <w:r>
        <w:t xml:space="preserve">6. The Fraud Theory and the Jurisdictional Theory Are Complementary</w:t>
      </w:r>
    </w:p>
    <w:p>
      <w:pPr>
        <w:pStyle w:val="FirstParagraph"/>
      </w:pPr>
      <w:r>
        <w:t xml:space="preserve">If the jurisdictional argument in Section IV.A succeeds — the order was void because the commissioner lacked stipulation — the fraud theory becomes secondary but not irrelevant. The fraud finding is still needed for:</w:t>
      </w:r>
    </w:p>
    <w:p>
      <w:pPr>
        <w:pStyle w:val="Compact"/>
        <w:numPr>
          <w:ilvl w:val="0"/>
          <w:numId w:val="1003"/>
        </w:numPr>
      </w:pPr>
      <w:r>
        <w:rPr>
          <w:b/>
          <w:bCs/>
        </w:rPr>
        <w:t xml:space="preserve">The purge order</w:t>
      </w:r>
      <w:r>
        <w:t xml:space="preserve"> </w:t>
      </w:r>
      <w:r>
        <w:t xml:space="preserve">(Section IV.C) — the</w:t>
      </w:r>
      <w:r>
        <w:t xml:space="preserve"> </w:t>
      </w:r>
      <w:r>
        <w:rPr>
          <w:i/>
          <w:iCs/>
        </w:rPr>
        <w:t xml:space="preserve">Adams</w:t>
      </w:r>
      <w:r>
        <w:t xml:space="preserve"> </w:t>
      </w:r>
      <w:r>
        <w:t xml:space="preserve">framework requires a finding of fraud on the court</w:t>
      </w:r>
    </w:p>
    <w:p>
      <w:pPr>
        <w:pStyle w:val="Compact"/>
        <w:numPr>
          <w:ilvl w:val="0"/>
          <w:numId w:val="1003"/>
        </w:numPr>
      </w:pPr>
      <w:r>
        <w:rPr>
          <w:b/>
          <w:bCs/>
        </w:rPr>
        <w:t xml:space="preserve">The perjury referral</w:t>
      </w:r>
      <w:r>
        <w:t xml:space="preserve"> </w:t>
      </w:r>
      <w:r>
        <w:t xml:space="preserve">(Section IV.G) — the false statements are independently prosecutable</w:t>
      </w:r>
    </w:p>
    <w:p>
      <w:pPr>
        <w:pStyle w:val="Compact"/>
        <w:numPr>
          <w:ilvl w:val="0"/>
          <w:numId w:val="1003"/>
        </w:numPr>
      </w:pPr>
      <w:r>
        <w:rPr>
          <w:b/>
          <w:bCs/>
        </w:rPr>
        <w:t xml:space="preserve">The sealing motion</w:t>
      </w:r>
      <w:r>
        <w:t xml:space="preserve"> </w:t>
      </w:r>
      <w:r>
        <w:t xml:space="preserve">(Section IV.F) — the overriding interest is the fraudulent nature of the file</w:t>
      </w:r>
    </w:p>
    <w:p>
      <w:pPr>
        <w:pStyle w:val="FirstParagraph"/>
      </w:pPr>
      <w:r>
        <w:t xml:space="preserve">If the jurisdictional argument fails because stipulation was implied, the fraud theory becomes the primary basis for vacatur. The risk is that the fraud may be characterized as intrinsic if Respondent appeared and participated. But if the facts show Respondent was prevented from participating — through defective service, concealment, or affirmative deception — the fraud is extrinsic and the vacatur stands independently.</w:t>
      </w:r>
    </w:p>
    <w:p>
      <w:pPr>
        <w:pStyle w:val="Body Text"/>
      </w:pPr>
      <w:r>
        <w:rPr>
          <w:b/>
          <w:bCs/>
        </w:rPr>
        <w:t xml:space="preserve">Either way, at least one theory should survive.</w:t>
      </w:r>
      <w:r>
        <w:t xml:space="preserve"> </w:t>
      </w:r>
      <w:r>
        <w:t xml:space="preserve">If Respondent did not appear, the jurisdictional argument is strong (no stipulation needed from non-appearing party under</w:t>
      </w:r>
      <w:r>
        <w:t xml:space="preserve"> </w:t>
      </w:r>
      <w:r>
        <w:rPr>
          <w:i/>
          <w:iCs/>
        </w:rPr>
        <w:t xml:space="preserve">Sarracino</w:t>
      </w:r>
      <w:r>
        <w:t xml:space="preserve"> </w:t>
      </w:r>
      <w:r>
        <w:t xml:space="preserve">— but the commissioner still needs stipulation or a court order) and the fraud argument is strong (fraud prevented appearance = extrinsic). If Respondent did appear, the jurisdictional argument weakens (stipulation may be implied) but the fraud argument can still work if the perjury concealed facts Respondent could not have discovered at the hearing.# IV.C. THE COURT’S INHERENT POWER EXTENDS TO EXPUNGING THE VOID ORDER’S REGISTRY ENTRIES — NOT MERELY VACATING THE ORDER</w:t>
      </w:r>
    </w:p>
    <w:bookmarkEnd w:id="39"/>
    <w:bookmarkStart w:id="40" w:name="Xf386a37e18497e5585ce45b86d140f8fe564b35"/>
    <w:p>
      <w:pPr>
        <w:pStyle w:val="Heading2"/>
      </w:pPr>
      <w:r>
        <w:t xml:space="preserve">1. The Starting Point: A Void Order Never Existed</w:t>
      </w:r>
    </w:p>
    <w:p>
      <w:pPr>
        <w:pStyle w:val="FirstParagraph"/>
      </w:pPr>
      <w:r>
        <w:t xml:space="preserve">If the Court finds the Protective Order void ab initio under Section IV.A — issued by a commissioner who lacked constitutional authority — the registry entries are not records of a valid order that was later set aside. They are records of something that never legally existed.</w:t>
      </w:r>
      <w:r>
        <w:t xml:space="preserve"> </w:t>
      </w:r>
      <w:r>
        <w:t xml:space="preserve">“</w:t>
      </w:r>
      <w:r>
        <w:t xml:space="preserve">In the eyes of a court of equity it is as though no judgment had ever been rendered.</w:t>
      </w:r>
      <w:r>
        <w:t xml:space="preserve">”</w:t>
      </w:r>
      <w:r>
        <w:t xml:space="preserve"> </w:t>
      </w:r>
      <w:r>
        <w:t xml:space="preserve">(</w:t>
      </w:r>
      <w:r>
        <w:rPr>
          <w:i/>
          <w:iCs/>
        </w:rPr>
        <w:t xml:space="preserve">Fisher v. Superior Court</w:t>
      </w:r>
      <w:r>
        <w:t xml:space="preserve"> </w:t>
      </w:r>
      <w:r>
        <w:t xml:space="preserve">(1930) 110 Cal.App. 565, 572.) If no judgment was ever rendered, there was nothing to transmit to CLETS, nothing to enter into CARPOS, nothing to record in CCPOR. The registry entries are artifacts of a legal nullity.</w:t>
      </w:r>
    </w:p>
    <w:p>
      <w:pPr>
        <w:pStyle w:val="Body Text"/>
      </w:pPr>
      <w:r>
        <w:t xml:space="preserve">This is the strongest basis for the purge order: the court is not ordering the destruction of a valid record. It is ordering the removal of entries that have no legitimate basis for existence because the order they purport to record was void from the moment of issuance.</w:t>
      </w:r>
    </w:p>
    <w:bookmarkEnd w:id="40"/>
    <w:bookmarkStart w:id="41" w:name="Xb821223a90cc73601437672caf26575ada8b386"/>
    <w:p>
      <w:pPr>
        <w:pStyle w:val="Heading2"/>
      </w:pPr>
      <w:r>
        <w:t xml:space="preserve">2. California Authority for Purging Fraudulent Records — A Foundation, Not a Direct Answer</w:t>
      </w:r>
    </w:p>
    <w:p>
      <w:pPr>
        <w:pStyle w:val="FirstParagraph"/>
      </w:pPr>
      <w:r>
        <w:t xml:space="preserve">Whether the Court proceeds on the jurisdictional void theory (Section IV.A) or the extrinsic fraud theory (Section IV.B), California law provides a foundation — though not a direct precedent — for the power to purge the resulting registry entries.</w:t>
      </w:r>
    </w:p>
    <w:p>
      <w:pPr>
        <w:pStyle w:val="Body Text"/>
      </w:pPr>
      <w:r>
        <w:rPr>
          <w:b/>
          <w:bCs/>
        </w:rPr>
        <w:t xml:space="preserve">First</w:t>
      </w:r>
      <w:r>
        <w:t xml:space="preserve">, the California Supreme Court has held that a court has the inherent authority to</w:t>
      </w:r>
      <w:r>
        <w:t xml:space="preserve"> </w:t>
      </w:r>
      <w:r>
        <w:t xml:space="preserve">“</w:t>
      </w:r>
      <w:r>
        <w:t xml:space="preserve">purge its own records</w:t>
      </w:r>
      <w:r>
        <w:t xml:space="preserve">”</w:t>
      </w:r>
      <w:r>
        <w:t xml:space="preserve"> </w:t>
      </w:r>
      <w:r>
        <w:t xml:space="preserve">when the court has been</w:t>
      </w:r>
      <w:r>
        <w:t xml:space="preserve"> </w:t>
      </w:r>
      <w:r>
        <w:t xml:space="preserve">“</w:t>
      </w:r>
      <w:r>
        <w:t xml:space="preserve">imposed upon by extrinsically fraudulent acts.</w:t>
      </w:r>
      <w:r>
        <w:t xml:space="preserve">”</w:t>
      </w:r>
      <w:r>
        <w:t xml:space="preserve"> </w:t>
      </w:r>
      <w:r>
        <w:t xml:space="preserve">(</w:t>
      </w:r>
      <w:r>
        <w:rPr>
          <w:i/>
          <w:iCs/>
        </w:rPr>
        <w:t xml:space="preserve">Rivieccio v. Bothan</w:t>
      </w:r>
      <w:r>
        <w:t xml:space="preserve"> </w:t>
      </w:r>
      <w:r>
        <w:t xml:space="preserve">(1946) 27 Cal.2d 621, 625.) In</w:t>
      </w:r>
      <w:r>
        <w:t xml:space="preserve"> </w:t>
      </w:r>
      <w:r>
        <w:rPr>
          <w:i/>
          <w:iCs/>
        </w:rPr>
        <w:t xml:space="preserve">Rivieccio</w:t>
      </w:r>
      <w:r>
        <w:t xml:space="preserve">, a husband obtained a divorce decree by filing a false affidavit giving a wrong address for his wife in the summons publication. The Supreme Court affirmed the trial court’s annulment and held that the court’s power to purge its records was not limited by the death of a party or the passage of time, and</w:t>
      </w:r>
      <w:r>
        <w:t xml:space="preserve"> </w:t>
      </w:r>
      <w:r>
        <w:t xml:space="preserve">“</w:t>
      </w:r>
      <w:r>
        <w:t xml:space="preserve">is not dependent on whether property rights are involved.</w:t>
      </w:r>
      <w:r>
        <w:t xml:space="preserve">”</w:t>
      </w:r>
      <w:r>
        <w:t xml:space="preserve"> </w:t>
      </w:r>
      <w:r>
        <w:t xml:space="preserve">(</w:t>
      </w:r>
      <w:r>
        <w:rPr>
          <w:i/>
          <w:iCs/>
        </w:rPr>
        <w:t xml:space="preserve">Id.</w:t>
      </w:r>
      <w:r>
        <w:t xml:space="preserve"> </w:t>
      </w:r>
      <w:r>
        <w:t xml:space="preserve">at 625.)</w:t>
      </w:r>
    </w:p>
    <w:p>
      <w:pPr>
        <w:pStyle w:val="Body Text"/>
      </w:pPr>
      <w:r>
        <w:rPr>
          <w:i/>
          <w:iCs/>
        </w:rPr>
        <w:t xml:space="preserve">Movant does not overstate what Rivieccio decided.</w:t>
      </w:r>
      <w:r>
        <w:t xml:space="preserve"> </w:t>
      </w:r>
      <w:r>
        <w:rPr>
          <w:i/>
          <w:iCs/>
        </w:rPr>
        <w:t xml:space="preserve">Rivieccio</w:t>
      </w:r>
      <w:r>
        <w:t xml:space="preserve"> </w:t>
      </w:r>
      <w:r>
        <w:t xml:space="preserve">involved a court annulling its own prior decree — a court acting on its own records. It says nothing directly about ordering DOJ, a separate executive-branch agency, to alter a modern law-enforcement database. The leap from</w:t>
      </w:r>
      <w:r>
        <w:t xml:space="preserve"> </w:t>
      </w:r>
      <w:r>
        <w:t xml:space="preserve">“</w:t>
      </w:r>
      <w:r>
        <w:t xml:space="preserve">purge its own records</w:t>
      </w:r>
      <w:r>
        <w:t xml:space="preserve">”</w:t>
      </w:r>
      <w:r>
        <w:t xml:space="preserve"> </w:t>
      </w:r>
      <w:r>
        <w:t xml:space="preserve">to</w:t>
      </w:r>
      <w:r>
        <w:t xml:space="preserve"> </w:t>
      </w:r>
      <w:r>
        <w:t xml:space="preserve">“</w:t>
      </w:r>
      <w:r>
        <w:t xml:space="preserve">order a state agency to purge a database entry</w:t>
      </w:r>
      <w:r>
        <w:t xml:space="preserve">”</w:t>
      </w:r>
      <w:r>
        <w:t xml:space="preserve"> </w:t>
      </w:r>
      <w:r>
        <w:t xml:space="preserve">is an argument, not a holding. But it is an argument rooted in the same principle: that a court imposed upon by fraud has the power to remedy the effects of that fraud, including the records it generates.</w:t>
      </w:r>
    </w:p>
    <w:p>
      <w:pPr>
        <w:pStyle w:val="Body Text"/>
      </w:pPr>
      <w:r>
        <w:rPr>
          <w:b/>
          <w:bCs/>
        </w:rPr>
        <w:t xml:space="preserve">Second</w:t>
      </w:r>
      <w:r>
        <w:t xml:space="preserve">, the Supreme Court has recognized that</w:t>
      </w:r>
      <w:r>
        <w:t xml:space="preserve"> </w:t>
      </w:r>
      <w:r>
        <w:t xml:space="preserve">“</w:t>
      </w:r>
      <w:r>
        <w:t xml:space="preserve">a court has inherent power to expunge a fraudulent record or set aside a decree procured by extrinsic fraud</w:t>
      </w:r>
      <w:r>
        <w:t xml:space="preserve">”</w:t>
      </w:r>
      <w:r>
        <w:t xml:space="preserve"> </w:t>
      </w:r>
      <w:r>
        <w:t xml:space="preserve">— a power</w:t>
      </w:r>
      <w:r>
        <w:t xml:space="preserve"> </w:t>
      </w:r>
      <w:r>
        <w:t xml:space="preserve">“</w:t>
      </w:r>
      <w:r>
        <w:t xml:space="preserve">which is deemed not to derive from section 473 of the Code of Civil Procedure and is not limited by any time period.</w:t>
      </w:r>
      <w:r>
        <w:t xml:space="preserve">”</w:t>
      </w:r>
      <w:r>
        <w:t xml:space="preserve"> </w:t>
      </w:r>
      <w:r>
        <w:t xml:space="preserve">(</w:t>
      </w:r>
      <w:r>
        <w:rPr>
          <w:i/>
          <w:iCs/>
        </w:rPr>
        <w:t xml:space="preserve">Cross v. Tustin</w:t>
      </w:r>
      <w:r>
        <w:t xml:space="preserve"> </w:t>
      </w:r>
      <w:r>
        <w:t xml:space="preserve">(1951) 37 Cal.2d 821, 825;</w:t>
      </w:r>
      <w:r>
        <w:t xml:space="preserve"> </w:t>
      </w:r>
      <w:r>
        <w:rPr>
          <w:i/>
          <w:iCs/>
        </w:rPr>
        <w:t xml:space="preserve">Little v. Sanchez</w:t>
      </w:r>
      <w:r>
        <w:t xml:space="preserve"> </w:t>
      </w:r>
      <w:r>
        <w:t xml:space="preserve">(1985) 166 Cal.App.3d 501, 506 [reaffirming this principle].)</w:t>
      </w:r>
      <w:r>
        <w:t xml:space="preserve"> </w:t>
      </w:r>
      <w:r>
        <w:rPr>
          <w:i/>
          <w:iCs/>
        </w:rPr>
        <w:t xml:space="preserve">Cross</w:t>
      </w:r>
      <w:r>
        <w:t xml:space="preserve"> </w:t>
      </w:r>
      <w:r>
        <w:t xml:space="preserve">involved a court acting on a settled statement — again, a court record. The same acknowledgment applies: the principle is the foundation, the extension to DOJ records is the argument.</w:t>
      </w:r>
    </w:p>
    <w:p>
      <w:pPr>
        <w:pStyle w:val="Body Text"/>
      </w:pPr>
      <w:r>
        <w:rPr>
          <w:b/>
          <w:bCs/>
        </w:rPr>
        <w:t xml:space="preserve">Third</w:t>
      </w:r>
      <w:r>
        <w:t xml:space="preserve">, a fraud-procured judgment may be treated as a nullity. (</w:t>
      </w:r>
      <w:r>
        <w:rPr>
          <w:i/>
          <w:iCs/>
        </w:rPr>
        <w:t xml:space="preserve">Deas v. Lido Lumber Co.</w:t>
      </w:r>
      <w:r>
        <w:t xml:space="preserve"> </w:t>
      </w:r>
      <w:r>
        <w:t xml:space="preserve">(1955) 132 Cal.App.2d 402, 409 [quoting</w:t>
      </w:r>
      <w:r>
        <w:t xml:space="preserve"> </w:t>
      </w:r>
      <w:r>
        <w:rPr>
          <w:i/>
          <w:iCs/>
        </w:rPr>
        <w:t xml:space="preserve">State ex rel. Phelan v. Engelmann</w:t>
      </w:r>
      <w:r>
        <w:t xml:space="preserve">:</w:t>
      </w:r>
      <w:r>
        <w:t xml:space="preserve"> </w:t>
      </w:r>
      <w:r>
        <w:t xml:space="preserve">“</w:t>
      </w:r>
      <w:r>
        <w:t xml:space="preserve">It is competent for every court, whether superior or inferior, to treat as a nullity any judgment which can be shown to have been obtained by manifest fraud.</w:t>
      </w:r>
      <w:r>
        <w:t xml:space="preserve">”</w:t>
      </w:r>
      <w:r>
        <w:t xml:space="preserve">].)</w:t>
      </w:r>
    </w:p>
    <w:bookmarkEnd w:id="41"/>
    <w:bookmarkStart w:id="42" w:name="Xffdddc6d67dbe71cd969413188353992a34acec"/>
    <w:p>
      <w:pPr>
        <w:pStyle w:val="Heading2"/>
      </w:pPr>
      <w:r>
        <w:t xml:space="preserve">3. The Registry Entries Have No Independent Legal Basis</w:t>
      </w:r>
    </w:p>
    <w:p>
      <w:pPr>
        <w:pStyle w:val="FirstParagraph"/>
      </w:pPr>
      <w:r>
        <w:t xml:space="preserve">The CLETS/CARPOS/CCPOR entries are not independent records with a separate existence from the Protective Order. They are mechanical byproducts of the order — created solely because Family Code § 6380 requires courts to transmit order information into CLETS within one business day of issuance. They have no independent legal significance. They exist only because the order existed.</w:t>
      </w:r>
    </w:p>
    <w:p>
      <w:pPr>
        <w:pStyle w:val="Body Text"/>
      </w:pPr>
      <w:r>
        <w:t xml:space="preserve">When the order is void ab initio (Section IV.A) or procured by extrinsic fraud (Section IV.B), the registry entries are, by definition, artifacts of that void or fraudulent order. The question this Court must decide is whether the inherent power to</w:t>
      </w:r>
      <w:r>
        <w:t xml:space="preserve"> </w:t>
      </w:r>
      <w:r>
        <w:t xml:space="preserve">“</w:t>
      </w:r>
      <w:r>
        <w:t xml:space="preserve">expunge a fraudulent record</w:t>
      </w:r>
      <w:r>
        <w:t xml:space="preserve">”</w:t>
      </w:r>
      <w:r>
        <w:t xml:space="preserve"> </w:t>
      </w:r>
      <w:r>
        <w:t xml:space="preserve">(</w:t>
      </w:r>
      <w:r>
        <w:rPr>
          <w:i/>
          <w:iCs/>
        </w:rPr>
        <w:t xml:space="preserve">Cross v. Tustin, supra</w:t>
      </w:r>
      <w:r>
        <w:t xml:space="preserve">, 37 Cal.2d at 825) and to</w:t>
      </w:r>
      <w:r>
        <w:t xml:space="preserve"> </w:t>
      </w:r>
      <w:r>
        <w:t xml:space="preserve">“</w:t>
      </w:r>
      <w:r>
        <w:t xml:space="preserve">purge its own records</w:t>
      </w:r>
      <w:r>
        <w:t xml:space="preserve">”</w:t>
      </w:r>
      <w:r>
        <w:t xml:space="preserve"> </w:t>
      </w:r>
      <w:r>
        <w:t xml:space="preserve">when</w:t>
      </w:r>
      <w:r>
        <w:t xml:space="preserve"> </w:t>
      </w:r>
      <w:r>
        <w:t xml:space="preserve">“</w:t>
      </w:r>
      <w:r>
        <w:t xml:space="preserve">imposed upon by extrinsically fraudulent acts</w:t>
      </w:r>
      <w:r>
        <w:t xml:space="preserve">”</w:t>
      </w:r>
      <w:r>
        <w:t xml:space="preserve"> </w:t>
      </w:r>
      <w:r>
        <w:t xml:space="preserve">(</w:t>
      </w:r>
      <w:r>
        <w:rPr>
          <w:i/>
          <w:iCs/>
        </w:rPr>
        <w:t xml:space="preserve">Rivieccio, supra</w:t>
      </w:r>
      <w:r>
        <w:t xml:space="preserve">, 27 Cal.2d at 625) extends to registry entries the court’s clerk transmitted to an executive-branch database.</w:t>
      </w:r>
    </w:p>
    <w:p>
      <w:pPr>
        <w:pStyle w:val="Body Text"/>
      </w:pPr>
      <w:r>
        <w:t xml:space="preserve">Movant asks this Court to take that step.</w:t>
      </w:r>
      <w:r>
        <w:t xml:space="preserve"> </w:t>
      </w:r>
      <w:r>
        <w:rPr>
          <w:b/>
          <w:bCs/>
        </w:rPr>
        <w:t xml:space="preserve">No published California appellate decision has extended these principles to order a separate executive-branch agency to purge a law-enforcement database. This is a case of first impression.</w:t>
      </w:r>
      <w:r>
        <w:t xml:space="preserve"> </w:t>
      </w:r>
      <w:r>
        <w:t xml:space="preserve">But the foundation is solid, and the principle — that a court’s power to remedy fraud or voidness extends to the artifacts of that fraud or voidness — is a logical and necessary extension of settled California doctrine.</w:t>
      </w:r>
    </w:p>
    <w:bookmarkEnd w:id="42"/>
    <w:bookmarkStart w:id="43" w:name="X96c9de76a38e88ed7917c8c64c56357e43f3df0"/>
    <w:p>
      <w:pPr>
        <w:pStyle w:val="Heading2"/>
      </w:pPr>
      <w:r>
        <w:t xml:space="preserve">4. The Void Order Argument Strengthens the Purge Case</w:t>
      </w:r>
    </w:p>
    <w:p>
      <w:pPr>
        <w:pStyle w:val="FirstParagraph"/>
      </w:pPr>
      <w:r>
        <w:t xml:space="preserve">The purge argument is stronger under the jurisdictional void theory than under the fraud theory alone. Under the fraud theory, the court is asking DOJ to destroy records of an order that was validly issued but fraudulently procured — a harder sell. Under the void theory, the court is asking DOJ to remove entries that record an order that was never validly issued at all — because the person who issued it lacked constitutional authority. The registry entries don’t just reflect a fraud; they reflect a legal nullity. There is no legitimate law-enforcement interest in maintaining a registry entry for an order that was void from the moment of issuance.</w:t>
      </w:r>
    </w:p>
    <w:bookmarkEnd w:id="43"/>
    <w:bookmarkStart w:id="44" w:name="Xe83f537656bc15e96da0980f1f416bcc9c818c8"/>
    <w:p>
      <w:pPr>
        <w:pStyle w:val="Heading2"/>
      </w:pPr>
      <w:r>
        <w:t xml:space="preserve">5. Analogy to</w:t>
      </w:r>
      <w:r>
        <w:t xml:space="preserve"> </w:t>
      </w:r>
      <w:r>
        <w:rPr>
          <w:i/>
          <w:iCs/>
        </w:rPr>
        <w:t xml:space="preserve">Commissioner of Probation v. Adams</w:t>
      </w:r>
    </w:p>
    <w:p>
      <w:pPr>
        <w:pStyle w:val="FirstParagraph"/>
      </w:pPr>
      <w:r>
        <w:t xml:space="preserve">The Massachusetts Appeals Court confronted the identical question in</w:t>
      </w:r>
      <w:r>
        <w:t xml:space="preserve"> </w:t>
      </w:r>
      <w:r>
        <w:rPr>
          <w:i/>
          <w:iCs/>
        </w:rPr>
        <w:t xml:space="preserve">Commissioner of Probation v. Adams</w:t>
      </w:r>
      <w:r>
        <w:t xml:space="preserve"> </w:t>
      </w:r>
      <w:r>
        <w:t xml:space="preserve">(2006) 65 Mass.App.Ct. 725, and answered it in favor of the court’s inherent power to expunge. In</w:t>
      </w:r>
      <w:r>
        <w:t xml:space="preserve"> </w:t>
      </w:r>
      <w:r>
        <w:rPr>
          <w:i/>
          <w:iCs/>
        </w:rPr>
        <w:t xml:space="preserve">Adams</w:t>
      </w:r>
      <w:r>
        <w:t xml:space="preserve">, a party obtained a 209A abuse prevention order through nineteen false statements made under oath, as part of a larger pattern of harassment. The trial court found fraud on the court and ordered expungement of the record from the statewide domestic violence registry.</w:t>
      </w:r>
    </w:p>
    <w:p>
      <w:pPr>
        <w:pStyle w:val="Body Text"/>
      </w:pPr>
      <w:r>
        <w:t xml:space="preserve">The Commissioner of Probation opposed expungement, arguing that the statute authorizing the registry said nothing about expungement — the same</w:t>
      </w:r>
      <w:r>
        <w:t xml:space="preserve"> </w:t>
      </w:r>
      <w:r>
        <w:t xml:space="preserve">“</w:t>
      </w:r>
      <w:r>
        <w:t xml:space="preserve">statutory silence</w:t>
      </w:r>
      <w:r>
        <w:t xml:space="preserve">”</w:t>
      </w:r>
      <w:r>
        <w:t xml:space="preserve"> </w:t>
      </w:r>
      <w:r>
        <w:t xml:space="preserve">argument DOJ would raise here. The Appeals Court rejected that argument:</w:t>
      </w:r>
    </w:p>
    <w:p>
      <w:pPr>
        <w:pStyle w:val="BlockText"/>
      </w:pPr>
      <w:r>
        <w:t xml:space="preserve">“</w:t>
      </w:r>
      <w:r>
        <w:t xml:space="preserve">We therefore conclude that a judge has the inherent authority to expunge a record of a 209A order from the Statewide domestic violence registry system in the rare and limited circumstance that the judge has found through clear and convincing evidence that the order was obtained through fraud on the court.</w:t>
      </w:r>
      <w:r>
        <w:t xml:space="preserve">”</w:t>
      </w:r>
      <w:r>
        <w:t xml:space="preserve"> </w:t>
      </w:r>
      <w:r>
        <w:t xml:space="preserve">(</w:t>
      </w:r>
      <w:r>
        <w:rPr>
          <w:i/>
          <w:iCs/>
        </w:rPr>
        <w:t xml:space="preserve">Adams, supra</w:t>
      </w:r>
      <w:r>
        <w:t xml:space="preserve">, 65 Mass.App.Ct. at 730.)</w:t>
      </w:r>
    </w:p>
    <w:p>
      <w:pPr>
        <w:pStyle w:val="FirstParagraph"/>
      </w:pPr>
      <w:r>
        <w:rPr>
          <w:i/>
          <w:iCs/>
        </w:rPr>
        <w:t xml:space="preserve">Adams</w:t>
      </w:r>
      <w:r>
        <w:t xml:space="preserve"> </w:t>
      </w:r>
      <w:r>
        <w:t xml:space="preserve">is not binding on California courts. But the structural parallel is exact: Massachusetts’ registry statute (G.L. c. 209A, § 7) and California’s (Fam. Code § 6380) both direct entry of orders into a registry but are silent on expungement. The principle</w:t>
      </w:r>
      <w:r>
        <w:t xml:space="preserve"> </w:t>
      </w:r>
      <w:r>
        <w:rPr>
          <w:i/>
          <w:iCs/>
        </w:rPr>
        <w:t xml:space="preserve">Adams</w:t>
      </w:r>
      <w:r>
        <w:t xml:space="preserve"> </w:t>
      </w:r>
      <w:r>
        <w:t xml:space="preserve">articulates — that a court’s inherent power to remedy fraud extends to ordering the purge of registry entries — is consistent with California’s own inherent-power doctrine.</w:t>
      </w:r>
    </w:p>
    <w:bookmarkEnd w:id="44"/>
    <w:bookmarkStart w:id="45" w:name="X72fa97c7a8a5d60eb6c6f28e18acdbe75d7a90a"/>
    <w:p>
      <w:pPr>
        <w:pStyle w:val="Heading2"/>
      </w:pPr>
      <w:r>
        <w:t xml:space="preserve">6. The Standard: Clear and Convincing Evidence of an Unconscionable Scheme</w:t>
      </w:r>
    </w:p>
    <w:p>
      <w:pPr>
        <w:pStyle w:val="FirstParagraph"/>
      </w:pPr>
      <w:r>
        <w:t xml:space="preserve">Following the</w:t>
      </w:r>
      <w:r>
        <w:t xml:space="preserve"> </w:t>
      </w:r>
      <w:r>
        <w:rPr>
          <w:i/>
          <w:iCs/>
        </w:rPr>
        <w:t xml:space="preserve">Adams</w:t>
      </w:r>
      <w:r>
        <w:t xml:space="preserve"> </w:t>
      </w:r>
      <w:r>
        <w:t xml:space="preserve">framework, the purge order should issue only upon a finding, by clear and convincing evidence, of fraud on the court. The Massachusetts standard requires conduct where a party has</w:t>
      </w:r>
      <w:r>
        <w:t xml:space="preserve"> </w:t>
      </w:r>
      <w:r>
        <w:t xml:space="preserve">“</w:t>
      </w:r>
      <w:r>
        <w:t xml:space="preserve">sentiently set in motion some unconscionable scheme calculated to interfere with the judicial system’s ability impartially to adjudicate a matter.</w:t>
      </w:r>
      <w:r>
        <w:t xml:space="preserve">”</w:t>
      </w:r>
      <w:r>
        <w:t xml:space="preserve"> </w:t>
      </w:r>
      <w:r>
        <w:t xml:space="preserve">(</w:t>
      </w:r>
      <w:r>
        <w:rPr>
          <w:i/>
          <w:iCs/>
        </w:rPr>
        <w:t xml:space="preserve">Adams, supra</w:t>
      </w:r>
      <w:r>
        <w:t xml:space="preserve">, 65 Mass.App.Ct. at 729–730, citing</w:t>
      </w:r>
      <w:r>
        <w:t xml:space="preserve"> </w:t>
      </w:r>
      <w:r>
        <w:rPr>
          <w:i/>
          <w:iCs/>
        </w:rPr>
        <w:t xml:space="preserve">M.C.D. v. D.E.D.</w:t>
      </w:r>
      <w:r>
        <w:t xml:space="preserve"> </w:t>
      </w:r>
      <w:r>
        <w:t xml:space="preserve">(2016) 90 Mass.App.Ct. 337, 341.)</w:t>
      </w:r>
    </w:p>
    <w:p>
      <w:pPr>
        <w:pStyle w:val="Body Text"/>
      </w:pPr>
      <w:r>
        <w:t xml:space="preserve">The Massachusetts Appeals Court has since clarified that this standard is demanding. In</w:t>
      </w:r>
      <w:r>
        <w:t xml:space="preserve"> </w:t>
      </w:r>
      <w:r>
        <w:rPr>
          <w:i/>
          <w:iCs/>
        </w:rPr>
        <w:t xml:space="preserve">M.C.D. v. D.E.D.</w:t>
      </w:r>
      <w:r>
        <w:t xml:space="preserve">, the court vacated an expungement order where the plaintiff had made a knowingly false allegation, but the judge’s findings did not show the</w:t>
      </w:r>
      <w:r>
        <w:t xml:space="preserve"> </w:t>
      </w:r>
      <w:r>
        <w:t xml:space="preserve">“</w:t>
      </w:r>
      <w:r>
        <w:t xml:space="preserve">larger pattern of harassment</w:t>
      </w:r>
      <w:r>
        <w:t xml:space="preserve">”</w:t>
      </w:r>
      <w:r>
        <w:t xml:space="preserve"> </w:t>
      </w:r>
      <w:r>
        <w:t xml:space="preserve">or</w:t>
      </w:r>
      <w:r>
        <w:t xml:space="preserve"> </w:t>
      </w:r>
      <w:r>
        <w:t xml:space="preserve">“</w:t>
      </w:r>
      <w:r>
        <w:t xml:space="preserve">unconscionable scheme</w:t>
      </w:r>
      <w:r>
        <w:t xml:space="preserve">”</w:t>
      </w:r>
      <w:r>
        <w:t xml:space="preserve"> </w:t>
      </w:r>
      <w:r>
        <w:t xml:space="preserve">required by</w:t>
      </w:r>
      <w:r>
        <w:t xml:space="preserve"> </w:t>
      </w:r>
      <w:r>
        <w:rPr>
          <w:i/>
          <w:iCs/>
        </w:rPr>
        <w:t xml:space="preserve">Adams</w:t>
      </w:r>
      <w:r>
        <w:t xml:space="preserve">. (</w:t>
      </w:r>
      <w:r>
        <w:rPr>
          <w:i/>
          <w:iCs/>
        </w:rPr>
        <w:t xml:space="preserve">M.C.D. v. D.E.D.</w:t>
      </w:r>
      <w:r>
        <w:t xml:space="preserve">, supra*, 90 Mass.App.Ct. at 341–342.) A single false allegation — even a knowingly false one — is insufficient. The fraud must be systemic.</w:t>
      </w:r>
    </w:p>
    <w:p>
      <w:pPr>
        <w:pStyle w:val="Body Text"/>
      </w:pPr>
      <w:r>
        <w:t xml:space="preserve">[ADAPT: DESCRIBE THE LARGER SCHEME — E.G., THE NINETEEN FALSE STATEMENTS WERE PART OF A COORDINATED CAMPAIGN TO OBTAIN THE PROTECTIVE ORDER THROUGH DECEPTION. IF THE FACTS DO NOT SUPPORT A FINDING OF A LARGER SCHEME BEYOND THE FALSE STATEMENTS THEMSELVES, THIS ARGUMENT IS WEAKENED. THIS IS A FACTUAL QUESTION THAT MUST BE HONESTLY ASSESSED.]</w:t>
      </w:r>
    </w:p>
    <w:p>
      <w:pPr>
        <w:pStyle w:val="Body Text"/>
      </w:pPr>
      <w:r>
        <w:rPr>
          <w:b/>
          <w:bCs/>
        </w:rPr>
        <w:t xml:space="preserve">However, if the Court finds the order void under Section IV.A (jurisdictional defect), the</w:t>
      </w:r>
      <w:r>
        <w:rPr>
          <w:b/>
          <w:bCs/>
        </w:rPr>
        <w:t xml:space="preserve"> </w:t>
      </w:r>
      <w:r>
        <w:rPr>
          <w:b/>
          <w:bCs/>
          <w:i/>
          <w:iCs/>
        </w:rPr>
        <w:t xml:space="preserve">Adams</w:t>
      </w:r>
      <w:r>
        <w:rPr>
          <w:b/>
          <w:bCs/>
        </w:rPr>
        <w:t xml:space="preserve"> </w:t>
      </w:r>
      <w:r>
        <w:rPr>
          <w:b/>
          <w:bCs/>
        </w:rPr>
        <w:t xml:space="preserve">fraud standard is not required for the purge order.</w:t>
      </w:r>
      <w:r>
        <w:t xml:space="preserve"> </w:t>
      </w:r>
      <w:r>
        <w:t xml:space="preserve">The</w:t>
      </w:r>
      <w:r>
        <w:t xml:space="preserve"> </w:t>
      </w:r>
      <w:r>
        <w:rPr>
          <w:i/>
          <w:iCs/>
        </w:rPr>
        <w:t xml:space="preserve">Adams</w:t>
      </w:r>
      <w:r>
        <w:t xml:space="preserve"> </w:t>
      </w:r>
      <w:r>
        <w:t xml:space="preserve">standard governs purge for fraud. A void order — one that was never validly issued — requires no showing of fraud at all. The registry entries for a void order are records of something that never existed, and the court’s inherent power to remedy voidness extends to the removal of those entries. The</w:t>
      </w:r>
      <w:r>
        <w:t xml:space="preserve"> </w:t>
      </w:r>
      <w:r>
        <w:rPr>
          <w:i/>
          <w:iCs/>
        </w:rPr>
        <w:t xml:space="preserve">Adams</w:t>
      </w:r>
      <w:r>
        <w:t xml:space="preserve"> </w:t>
      </w:r>
      <w:r>
        <w:t xml:space="preserve">clear-and-convincing standard is relevant only if the Court proceeds on the fraud theory (Section IV.B) rather than the void theory (Section IV.A).</w:t>
      </w:r>
    </w:p>
    <w:bookmarkEnd w:id="45"/>
    <w:bookmarkStart w:id="46" w:name="the-narrowness-of-the-remedy"/>
    <w:p>
      <w:pPr>
        <w:pStyle w:val="Heading2"/>
      </w:pPr>
      <w:r>
        <w:t xml:space="preserve">7. The Narrowness of the Remedy</w:t>
      </w:r>
    </w:p>
    <w:p>
      <w:pPr>
        <w:pStyle w:val="FirstParagraph"/>
      </w:pPr>
      <w:r>
        <w:t xml:space="preserve">This is not a request to expunge every terminated protective order, or even every vacated one. It is a request to expunge only where the court has found either that (1) the order was void ab initio because the commissioner lacked jurisdiction, or (2) the order was procured by fraud on the court, shown by clear and convincing evidence. These are rare and limited circumstances — the narrowest possible application of the court’s inherent power.# IV.D. THE LODER/YOUNGER OBJECTION — A SERIOUS BUT DISTINGUISHABLE BARRIER</w:t>
      </w:r>
    </w:p>
    <w:bookmarkEnd w:id="46"/>
    <w:bookmarkStart w:id="47" w:name="the-objection-stated"/>
    <w:p>
      <w:pPr>
        <w:pStyle w:val="Heading2"/>
      </w:pPr>
      <w:r>
        <w:t xml:space="preserve">1. The Objection Stated</w:t>
      </w:r>
    </w:p>
    <w:p>
      <w:pPr>
        <w:pStyle w:val="FirstParagraph"/>
      </w:pPr>
      <w:r>
        <w:t xml:space="preserve">The anticipated objection to the purge order is that two California Supreme Court decisions —</w:t>
      </w:r>
      <w:r>
        <w:t xml:space="preserve"> </w:t>
      </w:r>
      <w:r>
        <w:rPr>
          <w:i/>
          <w:iCs/>
        </w:rPr>
        <w:t xml:space="preserve">Loder v. Municipal Court</w:t>
      </w:r>
      <w:r>
        <w:t xml:space="preserve"> </w:t>
      </w:r>
      <w:r>
        <w:t xml:space="preserve">(1976) 17 Cal.3d 859 and</w:t>
      </w:r>
      <w:r>
        <w:t xml:space="preserve"> </w:t>
      </w:r>
      <w:r>
        <w:rPr>
          <w:i/>
          <w:iCs/>
        </w:rPr>
        <w:t xml:space="preserve">Younger v. Superior Court</w:t>
      </w:r>
      <w:r>
        <w:t xml:space="preserve"> </w:t>
      </w:r>
      <w:r>
        <w:t xml:space="preserve">(1978) 21 Cal.3d 102 — foreclose judicial authority to order the destruction of records absent specific statutory authorization. This is the strongest objection to the purge order, and Movant addresses it directly rather than minimizing it.</w:t>
      </w:r>
    </w:p>
    <w:p>
      <w:pPr>
        <w:pStyle w:val="Body Text"/>
      </w:pPr>
      <w:r>
        <w:t xml:space="preserve">In</w:t>
      </w:r>
      <w:r>
        <w:t xml:space="preserve"> </w:t>
      </w:r>
      <w:r>
        <w:rPr>
          <w:i/>
          <w:iCs/>
        </w:rPr>
        <w:t xml:space="preserve">Loder</w:t>
      </w:r>
      <w:r>
        <w:t xml:space="preserve">, the plaintiff sought a writ of mandate compelling police and court officials to erase the record of his arrest, which had not resulted in a conviction. The Supreme Court denied relief, holding that</w:t>
      </w:r>
      <w:r>
        <w:t xml:space="preserve"> </w:t>
      </w:r>
      <w:r>
        <w:t xml:space="preserve">“</w:t>
      </w:r>
      <w:r>
        <w:t xml:space="preserve">plaintiff points to no statute or ordinance — and we have found none — which imposes on respondent presiding judge of the municipal court or on either of respondent police officials</w:t>
      </w:r>
      <w:r>
        <w:t xml:space="preserve"> </w:t>
      </w:r>
      <w:r>
        <w:t xml:space="preserve">‘</w:t>
      </w:r>
      <w:r>
        <w:t xml:space="preserve">a duty resulting from [his] office</w:t>
      </w:r>
      <w:r>
        <w:t xml:space="preserve">’</w:t>
      </w:r>
      <w:r>
        <w:t xml:space="preserve"> </w:t>
      </w:r>
      <w:r>
        <w:t xml:space="preserve">to comply with plaintiff’s demand for erasure or return of the record of his arrest.</w:t>
      </w:r>
      <w:r>
        <w:t xml:space="preserve">”</w:t>
      </w:r>
      <w:r>
        <w:t xml:space="preserve"> </w:t>
      </w:r>
      <w:r>
        <w:t xml:space="preserve">(</w:t>
      </w:r>
      <w:r>
        <w:rPr>
          <w:i/>
          <w:iCs/>
        </w:rPr>
        <w:t xml:space="preserve">Loder, supra</w:t>
      </w:r>
      <w:r>
        <w:t xml:space="preserve">, 17 Cal.3d at 865.) The Court noted further that such an act</w:t>
      </w:r>
      <w:r>
        <w:t xml:space="preserve"> </w:t>
      </w:r>
      <w:r>
        <w:t xml:space="preserve">“</w:t>
      </w:r>
      <w:r>
        <w:t xml:space="preserve">appears to be forbidden by Government Code section 6200,</w:t>
      </w:r>
      <w:r>
        <w:t xml:space="preserve">”</w:t>
      </w:r>
      <w:r>
        <w:t xml:space="preserve"> </w:t>
      </w:r>
      <w:r>
        <w:t xml:space="preserve">which criminalizes the willful destruction of records by public officers. (</w:t>
      </w:r>
      <w:r>
        <w:rPr>
          <w:i/>
          <w:iCs/>
        </w:rPr>
        <w:t xml:space="preserve">Id.</w:t>
      </w:r>
      <w:r>
        <w:t xml:space="preserve"> </w:t>
      </w:r>
      <w:r>
        <w:t xml:space="preserve">at 865–866.)</w:t>
      </w:r>
    </w:p>
    <w:p>
      <w:pPr>
        <w:pStyle w:val="Body Text"/>
      </w:pPr>
      <w:r>
        <w:t xml:space="preserve">In</w:t>
      </w:r>
      <w:r>
        <w:t xml:space="preserve"> </w:t>
      </w:r>
      <w:r>
        <w:rPr>
          <w:i/>
          <w:iCs/>
        </w:rPr>
        <w:t xml:space="preserve">Younger</w:t>
      </w:r>
      <w:r>
        <w:t xml:space="preserve">, the Court held that where the Legislature had enacted a specific statutory scheme for the destruction of marijuana conviction records (Health &amp; Saf. Code § 11361.5), the DOJ was under a</w:t>
      </w:r>
      <w:r>
        <w:t xml:space="preserve"> </w:t>
      </w:r>
      <w:r>
        <w:t xml:space="preserve">“</w:t>
      </w:r>
      <w:r>
        <w:t xml:space="preserve">clear and present duty</w:t>
      </w:r>
      <w:r>
        <w:t xml:space="preserve">”</w:t>
      </w:r>
      <w:r>
        <w:t xml:space="preserve"> </w:t>
      </w:r>
      <w:r>
        <w:t xml:space="preserve">to process applications for destruction — but the duty arose from the statute, not from inherent judicial power. (</w:t>
      </w:r>
      <w:r>
        <w:rPr>
          <w:i/>
          <w:iCs/>
        </w:rPr>
        <w:t xml:space="preserve">Younger, supra</w:t>
      </w:r>
      <w:r>
        <w:t xml:space="preserve">, 21 Cal.3d at 108.) The Court stated:</w:t>
      </w:r>
      <w:r>
        <w:t xml:space="preserve"> </w:t>
      </w:r>
      <w:r>
        <w:t xml:space="preserve">“</w:t>
      </w:r>
      <w:r>
        <w:t xml:space="preserve">we held there is no common law right to the erasure or return of records of an arrest not followed by a conviction, and that the power to grant or withhold such a remedy rests exclusively with the Legislature.</w:t>
      </w:r>
      <w:r>
        <w:t xml:space="preserve">”</w:t>
      </w:r>
      <w:r>
        <w:t xml:space="preserve"> </w:t>
      </w:r>
      <w:r>
        <w:t xml:space="preserve">(</w:t>
      </w:r>
      <w:r>
        <w:rPr>
          <w:i/>
          <w:iCs/>
        </w:rPr>
        <w:t xml:space="preserve">Id.</w:t>
      </w:r>
      <w:r>
        <w:t xml:space="preserve"> </w:t>
      </w:r>
      <w:r>
        <w:t xml:space="preserve">at 108, citing</w:t>
      </w:r>
      <w:r>
        <w:t xml:space="preserve"> </w:t>
      </w:r>
      <w:r>
        <w:rPr>
          <w:i/>
          <w:iCs/>
        </w:rPr>
        <w:t xml:space="preserve">Loder</w:t>
      </w:r>
      <w:r>
        <w:t xml:space="preserve">.)</w:t>
      </w:r>
    </w:p>
    <w:p>
      <w:pPr>
        <w:pStyle w:val="Body Text"/>
      </w:pPr>
      <w:r>
        <w:t xml:space="preserve">Taken at their broadest,</w:t>
      </w:r>
      <w:r>
        <w:t xml:space="preserve"> </w:t>
      </w:r>
      <w:r>
        <w:rPr>
          <w:i/>
          <w:iCs/>
        </w:rPr>
        <w:t xml:space="preserve">Loder</w:t>
      </w:r>
      <w:r>
        <w:t xml:space="preserve"> </w:t>
      </w:r>
      <w:r>
        <w:t xml:space="preserve">and</w:t>
      </w:r>
      <w:r>
        <w:t xml:space="preserve"> </w:t>
      </w:r>
      <w:r>
        <w:rPr>
          <w:i/>
          <w:iCs/>
        </w:rPr>
        <w:t xml:space="preserve">Younger</w:t>
      </w:r>
      <w:r>
        <w:t xml:space="preserve"> </w:t>
      </w:r>
      <w:r>
        <w:t xml:space="preserve">stand for the proposition that the power to order destruction of official records belongs to the Legislature, not the judiciary, and that absent a statute, a court may lack authority to compel a state agency to destroy records — and that doing so may expose officials to criminal liability under Government Code § 6200.</w:t>
      </w:r>
      <w:r>
        <w:t xml:space="preserve"> </w:t>
      </w:r>
      <w:r>
        <w:rPr>
          <w:b/>
          <w:bCs/>
        </w:rPr>
        <w:t xml:space="preserve">Movant acknowledges that this is a serious obstacle.</w:t>
      </w:r>
      <w:r>
        <w:t xml:space="preserve"> </w:t>
      </w:r>
      <w:r>
        <w:t xml:space="preserve">If this Court concludes that</w:t>
      </w:r>
      <w:r>
        <w:t xml:space="preserve"> </w:t>
      </w:r>
      <w:r>
        <w:rPr>
          <w:i/>
          <w:iCs/>
        </w:rPr>
        <w:t xml:space="preserve">Loder</w:t>
      </w:r>
      <w:r>
        <w:t xml:space="preserve"> </w:t>
      </w:r>
      <w:r>
        <w:t xml:space="preserve">and</w:t>
      </w:r>
      <w:r>
        <w:t xml:space="preserve"> </w:t>
      </w:r>
      <w:r>
        <w:rPr>
          <w:i/>
          <w:iCs/>
        </w:rPr>
        <w:t xml:space="preserve">Younger</w:t>
      </w:r>
      <w:r>
        <w:t xml:space="preserve"> </w:t>
      </w:r>
      <w:r>
        <w:t xml:space="preserve">control — that the absence of a statute authorizing purge of protective order registry entries is dispositive — then the purge order cannot issue, and Movant’s remedy is limited to vacatur and</w:t>
      </w:r>
      <w:r>
        <w:t xml:space="preserve"> </w:t>
      </w:r>
      <w:r>
        <w:t xml:space="preserve">“</w:t>
      </w:r>
      <w:r>
        <w:t xml:space="preserve">terminated</w:t>
      </w:r>
      <w:r>
        <w:t xml:space="preserve">”</w:t>
      </w:r>
      <w:r>
        <w:t xml:space="preserve"> </w:t>
      </w:r>
      <w:r>
        <w:t xml:space="preserve">status.</w:t>
      </w:r>
    </w:p>
    <w:bookmarkEnd w:id="47"/>
    <w:bookmarkStart w:id="50" w:name="Xe148033391854d791c897c018849aa6b8eb8e8a"/>
    <w:p>
      <w:pPr>
        <w:pStyle w:val="Heading2"/>
      </w:pPr>
      <w:r>
        <w:t xml:space="preserve">2. The Distinction — Stronger Under the Void Theory, Arguable Under the Fraud Theory</w:t>
      </w:r>
    </w:p>
    <w:p>
      <w:pPr>
        <w:pStyle w:val="FirstParagraph"/>
      </w:pPr>
      <w:r>
        <w:t xml:space="preserve">Movant’s argument for distinguishing</w:t>
      </w:r>
      <w:r>
        <w:t xml:space="preserve"> </w:t>
      </w:r>
      <w:r>
        <w:rPr>
          <w:i/>
          <w:iCs/>
        </w:rPr>
        <w:t xml:space="preserve">Loder</w:t>
      </w:r>
      <w:r>
        <w:t xml:space="preserve"> </w:t>
      </w:r>
      <w:r>
        <w:t xml:space="preserve">and</w:t>
      </w:r>
      <w:r>
        <w:t xml:space="preserve"> </w:t>
      </w:r>
      <w:r>
        <w:rPr>
          <w:i/>
          <w:iCs/>
        </w:rPr>
        <w:t xml:space="preserve">Younger</w:t>
      </w:r>
      <w:r>
        <w:t xml:space="preserve"> </w:t>
      </w:r>
      <w:r>
        <w:t xml:space="preserve">differs in strength depending on which theory the Court proceeds under.</w:t>
      </w:r>
    </w:p>
    <w:bookmarkStart w:id="48" w:name="Xb2ced1f5d70db15a34aba715ec8f61f90019981"/>
    <w:p>
      <w:pPr>
        <w:pStyle w:val="Heading3"/>
      </w:pPr>
      <w:r>
        <w:t xml:space="preserve">a. Under the Void Theory (Section IV.A) — The Distinction Is Stronger</w:t>
      </w:r>
    </w:p>
    <w:p>
      <w:pPr>
        <w:pStyle w:val="FirstParagraph"/>
      </w:pPr>
      <w:r>
        <w:t xml:space="preserve">Both</w:t>
      </w:r>
      <w:r>
        <w:t xml:space="preserve"> </w:t>
      </w:r>
      <w:r>
        <w:rPr>
          <w:i/>
          <w:iCs/>
        </w:rPr>
        <w:t xml:space="preserve">Loder</w:t>
      </w:r>
      <w:r>
        <w:t xml:space="preserve"> </w:t>
      </w:r>
      <w:r>
        <w:t xml:space="preserve">and</w:t>
      </w:r>
      <w:r>
        <w:t xml:space="preserve"> </w:t>
      </w:r>
      <w:r>
        <w:rPr>
          <w:i/>
          <w:iCs/>
        </w:rPr>
        <w:t xml:space="preserve">Younger</w:t>
      </w:r>
      <w:r>
        <w:t xml:space="preserve"> </w:t>
      </w:r>
      <w:r>
        <w:t xml:space="preserve">involved records of proceedings that were concededly valid. In</w:t>
      </w:r>
      <w:r>
        <w:t xml:space="preserve"> </w:t>
      </w:r>
      <w:r>
        <w:rPr>
          <w:i/>
          <w:iCs/>
        </w:rPr>
        <w:t xml:space="preserve">Loder</w:t>
      </w:r>
      <w:r>
        <w:t xml:space="preserve">, the arrest was real — it happened. The record accurately reflected a true event. In</w:t>
      </w:r>
      <w:r>
        <w:t xml:space="preserve"> </w:t>
      </w:r>
      <w:r>
        <w:rPr>
          <w:i/>
          <w:iCs/>
        </w:rPr>
        <w:t xml:space="preserve">Younger</w:t>
      </w:r>
      <w:r>
        <w:t xml:space="preserve">, the marijuana convictions were real and valid. The Legislature, as a matter of policy, had decided that certain valid records should be eligible for destruction after a waiting period.</w:t>
      </w:r>
    </w:p>
    <w:p>
      <w:pPr>
        <w:pStyle w:val="Body Text"/>
      </w:pPr>
      <w:r>
        <w:rPr>
          <w:b/>
          <w:bCs/>
        </w:rPr>
        <w:t xml:space="preserve">Neither case involved a record whose very existence was the product of a void order.</w:t>
      </w:r>
      <w:r>
        <w:t xml:space="preserve"> </w:t>
      </w:r>
      <w:r>
        <w:t xml:space="preserve">The Protective Order at issue here was not a valid order that the court later decided should be destroyed as a matter of policy. It was void from the moment of issuance — the commissioner who issued it lacked constitutional authority. The registry entries do not record a real event (as in</w:t>
      </w:r>
      <w:r>
        <w:t xml:space="preserve"> </w:t>
      </w:r>
      <w:r>
        <w:rPr>
          <w:i/>
          <w:iCs/>
        </w:rPr>
        <w:t xml:space="preserve">Loder</w:t>
      </w:r>
      <w:r>
        <w:t xml:space="preserve">) or a valid conviction (as in</w:t>
      </w:r>
      <w:r>
        <w:t xml:space="preserve"> </w:t>
      </w:r>
      <w:r>
        <w:rPr>
          <w:i/>
          <w:iCs/>
        </w:rPr>
        <w:t xml:space="preserve">Younger</w:t>
      </w:r>
      <w:r>
        <w:t xml:space="preserve">). They record a legal nullity.</w:t>
      </w:r>
    </w:p>
    <w:p>
      <w:pPr>
        <w:pStyle w:val="Body Text"/>
      </w:pPr>
      <w:r>
        <w:t xml:space="preserve">The distinction goes to the heart of the</w:t>
      </w:r>
      <w:r>
        <w:t xml:space="preserve"> </w:t>
      </w:r>
      <w:r>
        <w:rPr>
          <w:i/>
          <w:iCs/>
        </w:rPr>
        <w:t xml:space="preserve">Loder</w:t>
      </w:r>
      <w:r>
        <w:t xml:space="preserve"> </w:t>
      </w:r>
      <w:r>
        <w:t xml:space="preserve">Court’s reasoning. The</w:t>
      </w:r>
      <w:r>
        <w:t xml:space="preserve"> </w:t>
      </w:r>
      <w:r>
        <w:rPr>
          <w:i/>
          <w:iCs/>
        </w:rPr>
        <w:t xml:space="preserve">Loder</w:t>
      </w:r>
      <w:r>
        <w:t xml:space="preserve"> </w:t>
      </w:r>
      <w:r>
        <w:t xml:space="preserve">Court’s concern was that ordering erasure of accurate records would undermine the integrity of the record-keeping system. Where the record is itself an artifact of a void order, the opposite is true: maintaining the record undermines the integrity of the court, because it preserves a record of something that never legally existed as though it were a true and valid order.</w:t>
      </w:r>
    </w:p>
    <w:bookmarkEnd w:id="48"/>
    <w:bookmarkStart w:id="49" w:name="Xb79153ce59975484b2eb02c8540174f3792bca5"/>
    <w:p>
      <w:pPr>
        <w:pStyle w:val="Heading3"/>
      </w:pPr>
      <w:r>
        <w:t xml:space="preserve">b. Under the Fraud Theory (Section IV.B) — The Distinction Is Arguable but Less Clear</w:t>
      </w:r>
    </w:p>
    <w:p>
      <w:pPr>
        <w:pStyle w:val="FirstParagraph"/>
      </w:pPr>
      <w:r>
        <w:t xml:space="preserve">If the Court proceeds on the fraud theory rather than the void theory, the distinction is the same in principle —</w:t>
      </w:r>
      <w:r>
        <w:t xml:space="preserve"> </w:t>
      </w:r>
      <w:r>
        <w:rPr>
          <w:i/>
          <w:iCs/>
        </w:rPr>
        <w:t xml:space="preserve">Loder</w:t>
      </w:r>
      <w:r>
        <w:t xml:space="preserve"> </w:t>
      </w:r>
      <w:r>
        <w:t xml:space="preserve">and</w:t>
      </w:r>
      <w:r>
        <w:t xml:space="preserve"> </w:t>
      </w:r>
      <w:r>
        <w:rPr>
          <w:i/>
          <w:iCs/>
        </w:rPr>
        <w:t xml:space="preserve">Younger</w:t>
      </w:r>
      <w:r>
        <w:t xml:space="preserve"> </w:t>
      </w:r>
      <w:r>
        <w:t xml:space="preserve">involved valid records, not fruits of fraud — but less compelling in application. A fraudulently procured order was, at minimum, voidable, and a voidable order had legal force until it was set aside. The registry entries recorded a valid (though fraudulently obtained) order during the period it was in effect. The argument that these entries are</w:t>
      </w:r>
      <w:r>
        <w:t xml:space="preserve"> </w:t>
      </w:r>
      <w:r>
        <w:t xml:space="preserve">“</w:t>
      </w:r>
      <w:r>
        <w:t xml:space="preserve">fruits of fraud</w:t>
      </w:r>
      <w:r>
        <w:t xml:space="preserve">”</w:t>
      </w:r>
      <w:r>
        <w:t xml:space="preserve"> </w:t>
      </w:r>
      <w:r>
        <w:t xml:space="preserve">rather than</w:t>
      </w:r>
      <w:r>
        <w:t xml:space="preserve"> </w:t>
      </w:r>
      <w:r>
        <w:t xml:space="preserve">“</w:t>
      </w:r>
      <w:r>
        <w:t xml:space="preserve">records of valid proceedings</w:t>
      </w:r>
      <w:r>
        <w:t xml:space="preserve">”</w:t>
      </w:r>
      <w:r>
        <w:t xml:space="preserve"> </w:t>
      </w:r>
      <w:r>
        <w:t xml:space="preserve">is arguable, but a court could reasonably conclude that a voidable order was valid enough that its registry entries fall within</w:t>
      </w:r>
      <w:r>
        <w:t xml:space="preserve"> </w:t>
      </w:r>
      <w:r>
        <w:rPr>
          <w:i/>
          <w:iCs/>
        </w:rPr>
        <w:t xml:space="preserve">Loder</w:t>
      </w:r>
      <w:r>
        <w:t xml:space="preserve">’s reasoning.</w:t>
      </w:r>
    </w:p>
    <w:p>
      <w:pPr>
        <w:pStyle w:val="Body Text"/>
      </w:pPr>
      <w:r>
        <w:t xml:space="preserve">[Content truncated to 267 lines due to length. Please specify a smaller offset and limit to read the file in smaller chunks.]</w:t>
      </w:r>
    </w:p>
    <w:bookmarkEnd w:id="49"/>
    <w:bookmarkEnd w:id="50"/>
    <w:bookmarkEnd w:id="51"/>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Normal" w:type="paragraph">
    <w:name w:val="Normal"/>
    <w:next w:val="Normal"/>
    <w:qFormat/>
    <w:pPr>
      <w:spacing w:after="0" w:before="0" w:line="480"/>
    </w:pPr>
    <w:rPr>
      <w:rFonts w:ascii="Times New Roman" w:cs="Times New Roman" w:eastAsia="Times New Roman" w:hAnsi="Times New Roman"/>
      <w:sz w:val="24"/>
      <w:szCs w:val="24"/>
    </w:rPr>
  </w:style>
  <w:style w:styleId="Body Text" w:type="paragraph">
    <w:name w:val="Body Text"/>
    <w:next w:val="Body Text"/>
    <w:qFormat/>
    <w:pPr>
      <w:spacing w:after="0" w:before="0" w:line="480"/>
    </w:pPr>
    <w:rPr>
      <w:rFonts w:ascii="Times New Roman" w:cs="Times New Roman" w:eastAsia="Times New Roman" w:hAnsi="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2026-09-24T05:30:39Z</dcterms:created>
  <dcterms:modified xsi:type="dcterms:W3CDTF">2026-09-24T05:30:39Z</dcterms:modified>
</cp:coreProperties>
</file>

<file path=docProps/custom.xml><?xml version="1.0" encoding="utf-8"?>
<Properties xmlns="http://schemas.openxmlformats.org/officeDocument/2006/custom-properties" xmlns:vt="http://schemas.openxmlformats.org/officeDocument/2006/docPropsVTypes"/>
</file>