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val="false"/>
          <w:bCs w:val="false"/>
          <w:i w:val="false"/>
          <w:iCs w:val="false"/>
          <w:sz w:val="24"/>
          <w:szCs w:val="24"/>
        </w:rPr>
        <w:t xml:space="preserve">JAMES CASTILLO</w:t>
      </w:r>
    </w:p>
    <w:p>
      <w:pPr>
        <w:spacing w:after="160" w:line="360"/>
        <w:jc w:val="center"/>
      </w:pPr>
      <w:r>
        <w:rPr>
          <w:rFonts w:ascii="Times New Roman" w:cs="Times New Roman" w:eastAsia="Times New Roman" w:hAnsi="Times New Roman"/>
          <w:b w:val="false"/>
          <w:bCs w:val="false"/>
          <w:i w:val="false"/>
          <w:iCs w:val="false"/>
          <w:sz w:val="24"/>
          <w:szCs w:val="24"/>
        </w:rPr>
        <w:t xml:space="preserve">[Address / phone / email — to be completed]</w:t>
      </w:r>
    </w:p>
    <w:p>
      <w:pPr>
        <w:spacing w:after="160" w:line="360"/>
        <w:jc w:val="both"/>
      </w:pPr>
      <w:r>
        <w:rPr>
          <w:rFonts w:ascii="Times New Roman" w:cs="Times New Roman" w:eastAsia="Times New Roman" w:hAnsi="Times New Roman"/>
          <w:b w:val="false"/>
          <w:bCs w:val="false"/>
          <w:i w:val="false"/>
          <w:iCs w:val="false"/>
          <w:sz w:val="24"/>
          <w:szCs w:val="24"/>
        </w:rP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
      </w:r>
      <w:r>
        <w:rPr>
          <w:rFonts w:ascii="Times New Roman" w:cs="Times New Roman" w:eastAsia="Times New Roman" w:hAnsi="Times New Roman"/>
          <w:b w:val="false"/>
          <w:bCs w:val="false"/>
          <w:i/>
          <w:iCs/>
          <w:sz w:val="24"/>
          <w:szCs w:val="24"/>
        </w:rPr>
        <w:t xml:space="preserve">In re the Petition of GABRIEL CARLON for a Domestic Violence Restraining Order</w:t>
      </w:r>
      <w:r>
        <w:rPr>
          <w:rFonts w:ascii="Times New Roman" w:cs="Times New Roman" w:eastAsia="Times New Roman" w:hAnsi="Times New Roman"/>
          <w:b w:val="false"/>
          <w:bCs w:val="false"/>
          <w:i w:val="false"/>
          <w:iCs w:val="false"/>
          <w:sz w:val="24"/>
          <w:szCs w:val="24"/>
        </w:rPr>
        <w:t xml:space="preserve"/>
      </w:r>
    </w:p>
    <w:p>
      <w:pPr>
        <w:spacing w:after="160" w:line="360"/>
        <w:jc w:val="center"/>
      </w:pPr>
      <w:r>
        <w:rPr>
          <w:rFonts w:ascii="Times New Roman" w:cs="Times New Roman" w:eastAsia="Times New Roman" w:hAnsi="Times New Roman"/>
          <w:b w:val="false"/>
          <w:bCs w:val="false"/>
          <w:i w:val="false"/>
          <w:iCs w:val="false"/>
          <w:sz w:val="24"/>
          <w:szCs w:val="24"/>
        </w:rPr>
        <w:t xml:space="preserve">SUPPLEMENTAL MEMORANDUM OF POINTS AND AUTHORITIES</w:t>
      </w:r>
    </w:p>
    <w:p>
      <w:pPr>
        <w:spacing w:after="160" w:line="360"/>
        <w:jc w:val="center"/>
      </w:pPr>
      <w:r>
        <w:rPr>
          <w:rFonts w:ascii="Times New Roman" w:cs="Times New Roman" w:eastAsia="Times New Roman" w:hAnsi="Times New Roman"/>
          <w:b w:val="false"/>
          <w:bCs w:val="false"/>
          <w:i w:val="false"/>
          <w:iCs w:val="false"/>
          <w:sz w:val="24"/>
          <w:szCs w:val="24"/>
        </w:rPr>
        <w:t xml:space="preserve">[Dept. / hearing date / case no. — to be completed]</w:t>
      </w:r>
    </w:p>
    <w:p>
      <w:pPr>
        <w:spacing w:after="16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I. INTRODUCTION</w:t>
      </w:r>
    </w:p>
    <w:p>
      <w:pPr>
        <w:spacing w:after="160" w:line="360"/>
        <w:jc w:val="both"/>
      </w:pPr>
      <w:r>
        <w:rPr>
          <w:rFonts w:ascii="Times New Roman" w:cs="Times New Roman" w:eastAsia="Times New Roman" w:hAnsi="Times New Roman"/>
          <w:b w:val="false"/>
          <w:bCs w:val="false"/>
          <w:i w:val="false"/>
          <w:iCs w:val="false"/>
          <w:sz w:val="24"/>
          <w:szCs w:val="24"/>
        </w:rPr>
        <w:t xml:space="preserve">This supplement supports opposition to the restraining order petition and addresses the circumstances of the October arrest. The petition seeks to punish past conduct rather than prevent future abuse; it is the latest act in a pattern of litigation abuse; the October arrest rested on Mr. Carlon's unverified word without probable cause; and the statements and proceedings that followed resulted from coercion and unfair dealing. Each point is addressed in turn.</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II. A RESTRAINING ORDER EXISTS TO PREVENT ABUSE, NOT TO PUNISH</w:t>
      </w:r>
    </w:p>
    <w:p>
      <w:pPr>
        <w:spacing w:after="160" w:line="360"/>
        <w:jc w:val="both"/>
      </w:pPr>
      <w:r>
        <w:rPr>
          <w:rFonts w:ascii="Times New Roman" w:cs="Times New Roman" w:eastAsia="Times New Roman" w:hAnsi="Times New Roman"/>
          <w:b w:val="false"/>
          <w:bCs w:val="false"/>
          <w:i w:val="false"/>
          <w:iCs w:val="false"/>
          <w:sz w:val="24"/>
          <w:szCs w:val="24"/>
        </w:rPr>
        <w:t xml:space="preserve">The purpose of a restraining order “is not to punish past conduct, but to 'prevent acts of domestic violence [and] abuse' from occurring in the future.” </w:t>
      </w:r>
      <w:r>
        <w:rPr>
          <w:rFonts w:ascii="Times New Roman" w:cs="Times New Roman" w:eastAsia="Times New Roman" w:hAnsi="Times New Roman"/>
          <w:b w:val="false"/>
          <w:bCs w:val="false"/>
          <w:i/>
          <w:iCs/>
          <w:sz w:val="24"/>
          <w:szCs w:val="24"/>
        </w:rPr>
        <w:t xml:space="preserve">In re Marriage of F.M. &amp; M.M.</w:t>
      </w:r>
      <w:r>
        <w:rPr>
          <w:rFonts w:ascii="Times New Roman" w:cs="Times New Roman" w:eastAsia="Times New Roman" w:hAnsi="Times New Roman"/>
          <w:b w:val="false"/>
          <w:bCs w:val="false"/>
          <w:i w:val="false"/>
          <w:iCs w:val="false"/>
          <w:sz w:val="24"/>
          <w:szCs w:val="24"/>
        </w:rPr>
        <w:t xml:space="preserve">, 65 Cal.App.5th at 117 (quoting Fam. Code § 6220). Even if some conduct arguably met the definition of “abuse,” the court was not required to issue an order on that basis. </w:t>
      </w:r>
      <w:r>
        <w:rPr>
          <w:rFonts w:ascii="Times New Roman" w:cs="Times New Roman" w:eastAsia="Times New Roman" w:hAnsi="Times New Roman"/>
          <w:b w:val="false"/>
          <w:bCs w:val="false"/>
          <w:i/>
          <w:iCs/>
          <w:sz w:val="24"/>
          <w:szCs w:val="24"/>
        </w:rPr>
        <w:t xml:space="preserve">Id.</w:t>
      </w:r>
      <w:r>
        <w:rPr>
          <w:rFonts w:ascii="Times New Roman" w:cs="Times New Roman" w:eastAsia="Times New Roman" w:hAnsi="Times New Roman"/>
          <w:b w:val="false"/>
          <w:bCs w:val="false"/>
          <w:i w:val="false"/>
          <w:iCs w:val="false"/>
          <w:sz w:val="24"/>
          <w:szCs w:val="24"/>
        </w:rP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Nor may the evidence be weighed as the petitioner suggests. Where the trial court does not evaluate the evidence under the proper standard, there is a reasonable probability of a different result, reconsideration is required, and the matter must be remanded. </w:t>
      </w:r>
      <w:r>
        <w:rPr>
          <w:rFonts w:ascii="Times New Roman" w:cs="Times New Roman" w:eastAsia="Times New Roman" w:hAnsi="Times New Roman"/>
          <w:b w:val="false"/>
          <w:bCs w:val="false"/>
          <w:i/>
          <w:iCs/>
          <w:sz w:val="24"/>
          <w:szCs w:val="24"/>
        </w:rPr>
        <w:t xml:space="preserve">Vinson</w:t>
      </w:r>
      <w:r>
        <w:rPr>
          <w:rFonts w:ascii="Times New Roman" w:cs="Times New Roman" w:eastAsia="Times New Roman" w:hAnsi="Times New Roman"/>
          <w:b w:val="false"/>
          <w:bCs w:val="false"/>
          <w:i w:val="false"/>
          <w:iCs w:val="false"/>
          <w:sz w:val="24"/>
          <w:szCs w:val="24"/>
        </w:rPr>
        <w:t xml:space="preserve">, 93 Cal.App.5th at 1180; </w:t>
      </w:r>
      <w:r>
        <w:rPr>
          <w:rFonts w:ascii="Times New Roman" w:cs="Times New Roman" w:eastAsia="Times New Roman" w:hAnsi="Times New Roman"/>
          <w:b w:val="false"/>
          <w:bCs w:val="false"/>
          <w:i/>
          <w:iCs/>
          <w:sz w:val="24"/>
          <w:szCs w:val="24"/>
        </w:rPr>
        <w:t xml:space="preserve">In re Marriage of D.S. &amp; B.S.</w:t>
      </w:r>
      <w:r>
        <w:rPr>
          <w:rFonts w:ascii="Times New Roman" w:cs="Times New Roman" w:eastAsia="Times New Roman" w:hAnsi="Times New Roman"/>
          <w:b w:val="false"/>
          <w:bCs w:val="false"/>
          <w:i w:val="false"/>
          <w:iCs w:val="false"/>
          <w:sz w:val="24"/>
          <w:szCs w:val="24"/>
        </w:rPr>
        <w:t xml:space="preserve">, No. A167778 (Cal. Ct. App. Jan. 18, 2024) [VERIFY: pin cite].</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III. THE PETITION IS ITSELF AN INSTRUMENT OF ABUSE</w:t>
      </w:r>
    </w:p>
    <w:p>
      <w:pPr>
        <w:spacing w:after="160" w:line="360"/>
        <w:jc w:val="both"/>
      </w:pPr>
      <w:r>
        <w:rPr>
          <w:rFonts w:ascii="Times New Roman" w:cs="Times New Roman" w:eastAsia="Times New Roman" w:hAnsi="Times New Roman"/>
          <w:b w:val="false"/>
          <w:bCs w:val="false"/>
          <w:i w:val="false"/>
          <w:iCs w:val="false"/>
          <w:sz w:val="24"/>
          <w:szCs w:val="24"/>
        </w:rPr>
        <w:t xml:space="preserve">Litigation abuse is the use of legal or bureaucratic procedures by an abusive partner to continue to attack, harass, intimidate, coercively control, or maintain contact with a former partner through the court system. It manifests through exerting power over victims, forcing contact, financially burdening them with excessive litigation, degrading them in legal papers, delaying resolution, and dissuading them from pursuing protection. Courts and evaluators frequently overlook these tactics. [VERIFY: cite Fam. Code § 6230 or § 6305 as the operative provision.]</w:t>
      </w:r>
    </w:p>
    <w:p>
      <w:pPr>
        <w:spacing w:after="160" w:line="360"/>
        <w:jc w:val="both"/>
      </w:pPr>
      <w:r>
        <w:rPr>
          <w:rFonts w:ascii="Times New Roman" w:cs="Times New Roman" w:eastAsia="Times New Roman" w:hAnsi="Times New Roman"/>
          <w:b w:val="false"/>
          <w:bCs w:val="false"/>
          <w:i w:val="false"/>
          <w:iCs w:val="false"/>
          <w:sz w:val="24"/>
          <w:szCs w:val="24"/>
        </w:rPr>
        <w:t xml:space="preserve">Here the pattern is concrete. Only hypothetical abuse is alleged to have occurred before the petition was filed; the abuse that actually occurred, during and after separation, was Mr. Carlon's. Each of his contacts with law enforcement — including, on information and belief, a claim made while he had been drinking and combining alcohol with prescription medications [VERIFY: record support] — initiated a new ordeal for respondent: an arrest, days in custody without necessary medication, and interrogation in public view.</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IV. THE OCTOBER ARREST LACKED PROBABLE CAUSE</w:t>
      </w:r>
    </w:p>
    <w:p>
      <w:pPr>
        <w:spacing w:after="160" w:line="360"/>
        <w:jc w:val="both"/>
      </w:pPr>
      <w:r>
        <w:rPr>
          <w:rFonts w:ascii="Times New Roman" w:cs="Times New Roman" w:eastAsia="Times New Roman" w:hAnsi="Times New Roman"/>
          <w:b w:val="false"/>
          <w:bCs w:val="false"/>
          <w:i w:val="false"/>
          <w:iCs w:val="false"/>
          <w:sz w:val="24"/>
          <w:szCs w:val="24"/>
        </w:rPr>
        <w:t xml:space="preserve">The officers arrested respondent based on Mr. Carlon's report that he violated a protection order, without ascertaining the order's contents — either by reviewing the document or by confirming its terms through authorized personnel — and without any basis to determine whether the alleged conduct fell within its prohibitions. </w:t>
      </w:r>
      <w:r>
        <w:rPr>
          <w:rFonts w:ascii="Times New Roman" w:cs="Times New Roman" w:eastAsia="Times New Roman" w:hAnsi="Times New Roman"/>
          <w:b w:val="false"/>
          <w:bCs w:val="false"/>
          <w:i/>
          <w:iCs/>
          <w:sz w:val="24"/>
          <w:szCs w:val="24"/>
        </w:rPr>
        <w:t xml:space="preserve">Beier v. City of Lewiston</w:t>
      </w:r>
      <w:r>
        <w:rPr>
          <w:rFonts w:ascii="Times New Roman" w:cs="Times New Roman" w:eastAsia="Times New Roman" w:hAnsi="Times New Roman"/>
          <w:b w:val="false"/>
          <w:bCs w:val="false"/>
          <w:i w:val="false"/>
          <w:iCs w:val="false"/>
          <w:sz w:val="24"/>
          <w:szCs w:val="24"/>
        </w:rPr>
        <w:t xml:space="preserve">, 354 F.3d 1058, 1068 (9th Cir. 2004) (holding it objectively unreasonable for officers to believe probable cause existed to arrest for violating a protection order without first ascertaining its contents). Uncritical reliance on the legal conclusions of a lay citizen is not reasonable: officers, not ordinary citizens, are charged with enforcing the law. </w:t>
      </w:r>
      <w:r>
        <w:rPr>
          <w:rFonts w:ascii="Times New Roman" w:cs="Times New Roman" w:eastAsia="Times New Roman" w:hAnsi="Times New Roman"/>
          <w:b w:val="false"/>
          <w:bCs w:val="false"/>
          <w:i/>
          <w:iCs/>
          <w:sz w:val="24"/>
          <w:szCs w:val="24"/>
        </w:rPr>
        <w:t xml:space="preserve">Id.</w:t>
      </w:r>
      <w:r>
        <w:rPr>
          <w:rFonts w:ascii="Times New Roman" w:cs="Times New Roman" w:eastAsia="Times New Roman" w:hAnsi="Times New Roman"/>
          <w:b w:val="false"/>
          <w:bCs w:val="false"/>
          <w:i w:val="false"/>
          <w:iCs w:val="false"/>
          <w:sz w:val="24"/>
          <w:szCs w:val="24"/>
        </w:rP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Probable cause does not exist where an officer arrests an individual for activities that do not constitute a violation of law. </w:t>
      </w:r>
      <w:r>
        <w:rPr>
          <w:rFonts w:ascii="Times New Roman" w:cs="Times New Roman" w:eastAsia="Times New Roman" w:hAnsi="Times New Roman"/>
          <w:b w:val="false"/>
          <w:bCs w:val="false"/>
          <w:i/>
          <w:iCs/>
          <w:sz w:val="24"/>
          <w:szCs w:val="24"/>
        </w:rPr>
        <w:t xml:space="preserve">Id.</w:t>
      </w:r>
      <w:r>
        <w:rPr>
          <w:rFonts w:ascii="Times New Roman" w:cs="Times New Roman" w:eastAsia="Times New Roman" w:hAnsi="Times New Roman"/>
          <w:b w:val="false"/>
          <w:bCs w:val="false"/>
          <w:i w:val="false"/>
          <w:iCs w:val="false"/>
          <w:sz w:val="24"/>
          <w:szCs w:val="24"/>
        </w:rPr>
        <w:t xml:space="preserve"> The arrest therefore contravened the Fourteenth Amendment and defeated qualified immunity. U.S. Const. amend. XIV; </w:t>
      </w:r>
      <w:r>
        <w:rPr>
          <w:rFonts w:ascii="Times New Roman" w:cs="Times New Roman" w:eastAsia="Times New Roman" w:hAnsi="Times New Roman"/>
          <w:b w:val="false"/>
          <w:bCs w:val="false"/>
          <w:i/>
          <w:iCs/>
          <w:sz w:val="24"/>
          <w:szCs w:val="24"/>
        </w:rPr>
        <w:t xml:space="preserve">Beier</w:t>
      </w:r>
      <w:r>
        <w:rPr>
          <w:rFonts w:ascii="Times New Roman" w:cs="Times New Roman" w:eastAsia="Times New Roman" w:hAnsi="Times New Roman"/>
          <w:b w:val="false"/>
          <w:bCs w:val="false"/>
          <w:i w:val="false"/>
          <w:iCs w:val="false"/>
          <w:sz w:val="24"/>
          <w:szCs w:val="24"/>
        </w:rPr>
        <w:t xml:space="preserve">, 354 F.3d at 1068.</w:t>
      </w:r>
    </w:p>
    <w:p>
      <w:pPr>
        <w:spacing w:after="160" w:line="360"/>
        <w:jc w:val="both"/>
      </w:pPr>
      <w:r>
        <w:rPr>
          <w:rFonts w:ascii="Times New Roman" w:cs="Times New Roman" w:eastAsia="Times New Roman" w:hAnsi="Times New Roman"/>
          <w:b w:val="false"/>
          <w:bCs w:val="false"/>
          <w:i w:val="false"/>
          <w:iCs w:val="false"/>
          <w:sz w:val="24"/>
          <w:szCs w:val="24"/>
        </w:rPr>
        <w:t xml:space="preserve">California law confirms the absence of grounds: Penal Code § 849(b)(1) authorizes release from custody where there are insufficient grounds to make a complaint, and §§ 849(b)(2)–(3) where the complainant was under the influence. Cal. Penal Code § 849(b). [VERIFY: whether the district attorney declined to file, and whether Mr. Carlon was questioned about intoxication at the time of his claim.]</w:t>
      </w:r>
    </w:p>
    <w:p>
      <w:pPr>
        <w:spacing w:after="160" w:line="360"/>
        <w:jc w:val="both"/>
      </w:pPr>
      <w:r>
        <w:rPr>
          <w:rFonts w:ascii="Times New Roman" w:cs="Times New Roman" w:eastAsia="Times New Roman" w:hAnsi="Times New Roman"/>
          <w:b w:val="false"/>
          <w:bCs w:val="false"/>
          <w:i w:val="false"/>
          <w:iCs w:val="false"/>
          <w:sz w:val="24"/>
          <w:szCs w:val="24"/>
        </w:rPr>
        <w:t xml:space="preserve">The circumstances of the arrest compounded the violation: respondent had reported being the victim of ongoing abuse by Mr. Carlon, was treated with hostility by the department, was taken from his home at night and interrogated in view of his neighbors and employees, and was then held for days without access to necessary medication. Respondent articulated the abuse he had suffered before the arrest; the record does not indicate the officers considered his account before acting on Mr. Carlon's unverified claim. [VERIFY: record cites — testimony, dispatch logs, bodycam.]</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V. STATEMENTS WERE OBTAINED BY COERCION</w:t>
      </w:r>
    </w:p>
    <w:p>
      <w:pPr>
        <w:spacing w:after="160" w:line="360"/>
        <w:jc w:val="both"/>
      </w:pPr>
      <w:r>
        <w:rPr>
          <w:rFonts w:ascii="Times New Roman" w:cs="Times New Roman" w:eastAsia="Times New Roman" w:hAnsi="Times New Roman"/>
          <w:b w:val="false"/>
          <w:bCs w:val="false"/>
          <w:i w:val="false"/>
          <w:iCs w:val="false"/>
          <w:sz w:val="24"/>
          <w:szCs w:val="24"/>
        </w:rPr>
        <w:t xml:space="preserve">An implied promise that a suspect's statements would remain confidential between the officer and the suspect violates </w:t>
      </w:r>
      <w:r>
        <w:rPr>
          <w:rFonts w:ascii="Times New Roman" w:cs="Times New Roman" w:eastAsia="Times New Roman" w:hAnsi="Times New Roman"/>
          <w:b w:val="false"/>
          <w:bCs w:val="false"/>
          <w:i/>
          <w:iCs/>
          <w:sz w:val="24"/>
          <w:szCs w:val="24"/>
        </w:rPr>
        <w:t xml:space="preserve">Miranda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Lee v. State</w:t>
      </w:r>
      <w:r>
        <w:rPr>
          <w:rFonts w:ascii="Times New Roman" w:cs="Times New Roman" w:eastAsia="Times New Roman" w:hAnsi="Times New Roman"/>
          <w:b w:val="false"/>
          <w:bCs w:val="false"/>
          <w:i w:val="false"/>
          <w:iCs w:val="false"/>
          <w:sz w:val="24"/>
          <w:szCs w:val="24"/>
        </w:rPr>
        <w:t xml:space="preserve">, 418 Md. 136, 157, 160–62 (2011). Beyond that, the circumstances here were coercive under the totality of the circumstances: loud accusatory questioning, denial of access to family, an illegal arrest as the predicate for questioning, ignored invocations of </w:t>
      </w:r>
      <w:r>
        <w:rPr>
          <w:rFonts w:ascii="Times New Roman" w:cs="Times New Roman" w:eastAsia="Times New Roman" w:hAnsi="Times New Roman"/>
          <w:b w:val="false"/>
          <w:bCs w:val="false"/>
          <w:i/>
          <w:iCs/>
          <w:sz w:val="24"/>
          <w:szCs w:val="24"/>
        </w:rPr>
        <w:t xml:space="preserve">Miranda</w:t>
      </w:r>
      <w:r>
        <w:rPr>
          <w:rFonts w:ascii="Times New Roman" w:cs="Times New Roman" w:eastAsia="Times New Roman" w:hAnsi="Times New Roman"/>
          <w:b w:val="false"/>
          <w:bCs w:val="false"/>
          <w:i w:val="false"/>
          <w:iCs w:val="false"/>
          <w:sz w:val="24"/>
          <w:szCs w:val="24"/>
        </w:rPr>
        <w:t xml:space="preserve">, and solitary confinement. A suspect's mental problems and physical signs of intimidation, such as shaking or quivering, are relevant to voluntariness. </w:t>
      </w:r>
      <w:r>
        <w:rPr>
          <w:rFonts w:ascii="Times New Roman" w:cs="Times New Roman" w:eastAsia="Times New Roman" w:hAnsi="Times New Roman"/>
          <w:b w:val="false"/>
          <w:bCs w:val="false"/>
          <w:i/>
          <w:iCs/>
          <w:sz w:val="24"/>
          <w:szCs w:val="24"/>
        </w:rPr>
        <w:t xml:space="preserve">Winder v. State</w:t>
      </w:r>
      <w:r>
        <w:rPr>
          <w:rFonts w:ascii="Times New Roman" w:cs="Times New Roman" w:eastAsia="Times New Roman" w:hAnsi="Times New Roman"/>
          <w:b w:val="false"/>
          <w:bCs w:val="false"/>
          <w:i w:val="false"/>
          <w:iCs w:val="false"/>
          <w:sz w:val="24"/>
          <w:szCs w:val="24"/>
        </w:rPr>
        <w:t xml:space="preserve">, 362 Md. 275, 307, 319 (2001).</w:t>
      </w:r>
    </w:p>
    <w:p>
      <w:pPr>
        <w:spacing w:after="160" w:line="360"/>
        <w:jc w:val="both"/>
      </w:pPr>
      <w:r>
        <w:rPr>
          <w:rFonts w:ascii="Times New Roman" w:cs="Times New Roman" w:eastAsia="Times New Roman" w:hAnsi="Times New Roman"/>
          <w:b w:val="false"/>
          <w:bCs w:val="false"/>
          <w:i w:val="false"/>
          <w:iCs w:val="false"/>
          <w:sz w:val="24"/>
          <w:szCs w:val="24"/>
        </w:rPr>
        <w:t xml:space="preserve">The Supreme Court has held a confession involuntary where an officer posing as a “false friend” falsely claimed his job and family were at risk, compounded by denial of access to retained counsel. </w:t>
      </w:r>
      <w:r>
        <w:rPr>
          <w:rFonts w:ascii="Times New Roman" w:cs="Times New Roman" w:eastAsia="Times New Roman" w:hAnsi="Times New Roman"/>
          <w:b w:val="false"/>
          <w:bCs w:val="false"/>
          <w:i/>
          <w:iCs/>
          <w:sz w:val="24"/>
          <w:szCs w:val="24"/>
        </w:rPr>
        <w:t xml:space="preserve">Spano v. New York</w:t>
      </w:r>
      <w:r>
        <w:rPr>
          <w:rFonts w:ascii="Times New Roman" w:cs="Times New Roman" w:eastAsia="Times New Roman" w:hAnsi="Times New Roman"/>
          <w:b w:val="false"/>
          <w:bCs w:val="false"/>
          <w:i w:val="false"/>
          <w:iCs w:val="false"/>
          <w:sz w:val="24"/>
          <w:szCs w:val="24"/>
        </w:rPr>
        <w:t xml:space="preserve">, 360 U.S. 315, 323–24 (1959). Deception in interrogation is not categorically unconstitutional, but sophisticated techniques likely to overcome a suspect's will bear directly on voluntariness — especially where the suspect is pressured “to change answers inconsistent with guilt and adopt answers evidencing guilt instead,” the tactic most likely to cause a vulnerable or intellectually limited suspect to shift his answers to conform to the perceived desires of the interrogator. [VERIFY: supply citation for quoted language.]</w:t>
      </w:r>
    </w:p>
    <w:p>
      <w:pPr>
        <w:spacing w:after="160" w:line="360"/>
        <w:jc w:val="both"/>
      </w:pPr>
      <w:r>
        <w:rPr>
          <w:rFonts w:ascii="Times New Roman" w:cs="Times New Roman" w:eastAsia="Times New Roman" w:hAnsi="Times New Roman"/>
          <w:b w:val="false"/>
          <w:bCs w:val="false"/>
          <w:i w:val="false"/>
          <w:iCs w:val="false"/>
          <w:sz w:val="24"/>
          <w:szCs w:val="24"/>
        </w:rPr>
        <w:t xml:space="preserve">Coercion renders a statement involuntary where it overcame the suspect's will and was the crucial factor in the decision to confess, and courts “must 'weigh, rather than simply list,' the relevant circumstances,” weighing them “not in the abstract but 'against the power of resistance of the person confessing.'” </w:t>
      </w:r>
      <w:r>
        <w:rPr>
          <w:rFonts w:ascii="Times New Roman" w:cs="Times New Roman" w:eastAsia="Times New Roman" w:hAnsi="Times New Roman"/>
          <w:b w:val="false"/>
          <w:bCs w:val="false"/>
          <w:i/>
          <w:iCs/>
          <w:sz w:val="24"/>
          <w:szCs w:val="24"/>
        </w:rPr>
        <w:t xml:space="preserve">United States v. Preston</w:t>
      </w:r>
      <w:r>
        <w:rPr>
          <w:rFonts w:ascii="Times New Roman" w:cs="Times New Roman" w:eastAsia="Times New Roman" w:hAnsi="Times New Roman"/>
          <w:b w:val="false"/>
          <w:bCs w:val="false"/>
          <w:i w:val="false"/>
          <w:iCs w:val="false"/>
          <w:sz w:val="24"/>
          <w:szCs w:val="24"/>
        </w:rPr>
        <w:t xml:space="preserve">, 751 F.3d 1008, 1016 (9th Cir. 2014). Weighed against respondent's vulnerability and the conditions of custody, the statements were involuntary and inadmissible — under the Fifth Amendment privilege against compelled self-incrimination and under due process. </w:t>
      </w:r>
      <w:r>
        <w:rPr>
          <w:rFonts w:ascii="Times New Roman" w:cs="Times New Roman" w:eastAsia="Times New Roman" w:hAnsi="Times New Roman"/>
          <w:b w:val="false"/>
          <w:bCs w:val="false"/>
          <w:i/>
          <w:iCs/>
          <w:sz w:val="24"/>
          <w:szCs w:val="24"/>
        </w:rPr>
        <w:t xml:space="preserve">State v. Dobbs</w:t>
      </w:r>
      <w:r>
        <w:rPr>
          <w:rFonts w:ascii="Times New Roman" w:cs="Times New Roman" w:eastAsia="Times New Roman" w:hAnsi="Times New Roman"/>
          <w:b w:val="false"/>
          <w:bCs w:val="false"/>
          <w:i w:val="false"/>
          <w:iCs w:val="false"/>
          <w:sz w:val="24"/>
          <w:szCs w:val="24"/>
        </w:rPr>
        <w:t xml:space="preserve">, 148 Md. 34 (1925); </w:t>
      </w:r>
      <w:r>
        <w:rPr>
          <w:rFonts w:ascii="Times New Roman" w:cs="Times New Roman" w:eastAsia="Times New Roman" w:hAnsi="Times New Roman"/>
          <w:b w:val="false"/>
          <w:bCs w:val="false"/>
          <w:i/>
          <w:iCs/>
          <w:sz w:val="24"/>
          <w:szCs w:val="24"/>
        </w:rPr>
        <w:t xml:space="preserve">Chambers v. Florida</w:t>
      </w:r>
      <w:r>
        <w:rPr>
          <w:rFonts w:ascii="Times New Roman" w:cs="Times New Roman" w:eastAsia="Times New Roman" w:hAnsi="Times New Roman"/>
          <w:b w:val="false"/>
          <w:bCs w:val="false"/>
          <w:i w:val="false"/>
          <w:iCs w:val="false"/>
          <w:sz w:val="24"/>
          <w:szCs w:val="24"/>
        </w:rPr>
        <w:t xml:space="preserve">, 309 U.S. 227, 238–39 (1940) (confessions extracted by violence or threat of violence offend due process; a conviction resting on them “constitutes a clear denial of due process”).</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VI. THE PROSECUTION WITHHELD FAVORABLE EVIDENCE</w:t>
      </w:r>
    </w:p>
    <w:p>
      <w:pPr>
        <w:spacing w:after="160" w:line="360"/>
        <w:jc w:val="both"/>
      </w:pPr>
      <w:r>
        <w:rPr>
          <w:rFonts w:ascii="Times New Roman" w:cs="Times New Roman" w:eastAsia="Times New Roman" w:hAnsi="Times New Roman"/>
          <w:b w:val="false"/>
          <w:bCs w:val="false"/>
          <w:i w:val="false"/>
          <w:iCs w:val="false"/>
          <w:sz w:val="24"/>
          <w:szCs w:val="24"/>
        </w:rPr>
        <w:t xml:space="preserve">The suppression of evidence favorable to the accused violates due process where the evidence is material to guilt or punishment, regardless of the prosecutor's good or bad faith. </w:t>
      </w:r>
      <w:r>
        <w:rPr>
          <w:rFonts w:ascii="Times New Roman" w:cs="Times New Roman" w:eastAsia="Times New Roman" w:hAnsi="Times New Roman"/>
          <w:b w:val="false"/>
          <w:bCs w:val="false"/>
          <w:i/>
          <w:iCs/>
          <w:sz w:val="24"/>
          <w:szCs w:val="24"/>
        </w:rPr>
        <w:t xml:space="preserve">Brady v. Maryland</w:t>
      </w:r>
      <w:r>
        <w:rPr>
          <w:rFonts w:ascii="Times New Roman" w:cs="Times New Roman" w:eastAsia="Times New Roman" w:hAnsi="Times New Roman"/>
          <w:b w:val="false"/>
          <w:bCs w:val="false"/>
          <w:i w:val="false"/>
          <w:iCs w:val="false"/>
          <w:sz w:val="24"/>
          <w:szCs w:val="24"/>
        </w:rPr>
        <w:t xml:space="preserve">, 373 U.S. 83 (1963). Favorable evidence includes both exculpatory and impeachment evidence, and both are treated equally. Impeachment evidence includes bias, prejudice, self-interest, and any motive to fabricate or curry favor with the government, and is especially valuable where it impugns a witness critical to the prosecution's case. </w:t>
      </w:r>
      <w:r>
        <w:rPr>
          <w:rFonts w:ascii="Times New Roman" w:cs="Times New Roman" w:eastAsia="Times New Roman" w:hAnsi="Times New Roman"/>
          <w:b w:val="false"/>
          <w:bCs w:val="false"/>
          <w:i/>
          <w:iCs/>
          <w:sz w:val="24"/>
          <w:szCs w:val="24"/>
        </w:rPr>
        <w:t xml:space="preserve">Silva v. Brown</w:t>
      </w:r>
      <w:r>
        <w:rPr>
          <w:rFonts w:ascii="Times New Roman" w:cs="Times New Roman" w:eastAsia="Times New Roman" w:hAnsi="Times New Roman"/>
          <w:b w:val="false"/>
          <w:bCs w:val="false"/>
          <w:i w:val="false"/>
          <w:iCs w:val="false"/>
          <w:sz w:val="24"/>
          <w:szCs w:val="24"/>
        </w:rPr>
        <w:t xml:space="preserve">, 416 F.3d 980, 987 (9th Cir. 2005).</w:t>
      </w:r>
    </w:p>
    <w:p>
      <w:pPr>
        <w:spacing w:after="160" w:line="360"/>
        <w:jc w:val="both"/>
      </w:pPr>
      <w:r>
        <w:rPr>
          <w:rFonts w:ascii="Times New Roman" w:cs="Times New Roman" w:eastAsia="Times New Roman" w:hAnsi="Times New Roman"/>
          <w:b w:val="false"/>
          <w:bCs w:val="false"/>
          <w:i w:val="false"/>
          <w:iCs w:val="false"/>
          <w:sz w:val="24"/>
          <w:szCs w:val="24"/>
        </w:rPr>
        <w:t xml:space="preserve">Courts have found </w:t>
      </w:r>
      <w:r>
        <w:rPr>
          <w:rFonts w:ascii="Times New Roman" w:cs="Times New Roman" w:eastAsia="Times New Roman" w:hAnsi="Times New Roman"/>
          <w:b w:val="false"/>
          <w:bCs w:val="false"/>
          <w:i/>
          <w:iCs/>
          <w:sz w:val="24"/>
          <w:szCs w:val="24"/>
        </w:rPr>
        <w:t xml:space="preserve">Brady</w:t>
      </w:r>
      <w:r>
        <w:rPr>
          <w:rFonts w:ascii="Times New Roman" w:cs="Times New Roman" w:eastAsia="Times New Roman" w:hAnsi="Times New Roman"/>
          <w:b w:val="false"/>
          <w:bCs w:val="false"/>
          <w:i w:val="false"/>
          <w:iCs w:val="false"/>
          <w:sz w:val="24"/>
          <w:szCs w:val="24"/>
        </w:rPr>
        <w:t xml:space="preserve"> violations where the government failed to disclose that its witness was known to be a “pathological liar,” </w:t>
      </w:r>
      <w:r>
        <w:rPr>
          <w:rFonts w:ascii="Times New Roman" w:cs="Times New Roman" w:eastAsia="Times New Roman" w:hAnsi="Times New Roman"/>
          <w:b w:val="false"/>
          <w:bCs w:val="false"/>
          <w:i/>
          <w:iCs/>
          <w:sz w:val="24"/>
          <w:szCs w:val="24"/>
        </w:rPr>
        <w:t xml:space="preserve">Carriger v. Stewart</w:t>
      </w:r>
      <w:r>
        <w:rPr>
          <w:rFonts w:ascii="Times New Roman" w:cs="Times New Roman" w:eastAsia="Times New Roman" w:hAnsi="Times New Roman"/>
          <w:b w:val="false"/>
          <w:bCs w:val="false"/>
          <w:i w:val="false"/>
          <w:iCs w:val="false"/>
          <w:sz w:val="24"/>
          <w:szCs w:val="24"/>
        </w:rPr>
        <w:t xml:space="preserve">, 132 F.3d 463 (9th Cir. 1997), or “mentally and emotionally unstable,” </w:t>
      </w:r>
      <w:r>
        <w:rPr>
          <w:rFonts w:ascii="Times New Roman" w:cs="Times New Roman" w:eastAsia="Times New Roman" w:hAnsi="Times New Roman"/>
          <w:b w:val="false"/>
          <w:bCs w:val="false"/>
          <w:i/>
          <w:iCs/>
          <w:sz w:val="24"/>
          <w:szCs w:val="24"/>
        </w:rPr>
        <w:t xml:space="preserve">Cook v. State</w:t>
      </w:r>
      <w:r>
        <w:rPr>
          <w:rFonts w:ascii="Times New Roman" w:cs="Times New Roman" w:eastAsia="Times New Roman" w:hAnsi="Times New Roman"/>
          <w:b w:val="false"/>
          <w:bCs w:val="false"/>
          <w:i w:val="false"/>
          <w:iCs w:val="false"/>
          <w:sz w:val="24"/>
          <w:szCs w:val="24"/>
        </w:rPr>
        <w:t xml:space="preserve">, 940 S.W.2d 623, 625 (Tex. Crim. App. 1996); where a witness had severe credibility problems including mental-health and substance-abuse history and a prior guilty plea to lying under oath, </w:t>
      </w:r>
      <w:r>
        <w:rPr>
          <w:rFonts w:ascii="Times New Roman" w:cs="Times New Roman" w:eastAsia="Times New Roman" w:hAnsi="Times New Roman"/>
          <w:b w:val="false"/>
          <w:bCs w:val="false"/>
          <w:i/>
          <w:iCs/>
          <w:sz w:val="24"/>
          <w:szCs w:val="24"/>
        </w:rPr>
        <w:t xml:space="preserve">United States v. Sterba</w:t>
      </w:r>
      <w:r>
        <w:rPr>
          <w:rFonts w:ascii="Times New Roman" w:cs="Times New Roman" w:eastAsia="Times New Roman" w:hAnsi="Times New Roman"/>
          <w:b w:val="false"/>
          <w:bCs w:val="false"/>
          <w:i w:val="false"/>
          <w:iCs w:val="false"/>
          <w:sz w:val="24"/>
          <w:szCs w:val="24"/>
        </w:rPr>
        <w:t xml:space="preserve">, 22 F. Supp. 2d 1333, 1334–40 (M.D. Fla. 1998); and where testimony was hypnotically induced, </w:t>
      </w:r>
      <w:r>
        <w:rPr>
          <w:rFonts w:ascii="Times New Roman" w:cs="Times New Roman" w:eastAsia="Times New Roman" w:hAnsi="Times New Roman"/>
          <w:b w:val="false"/>
          <w:bCs w:val="false"/>
          <w:i/>
          <w:iCs/>
          <w:sz w:val="24"/>
          <w:szCs w:val="24"/>
        </w:rPr>
        <w:t xml:space="preserve">Munson v. State</w:t>
      </w:r>
      <w:r>
        <w:rPr>
          <w:rFonts w:ascii="Times New Roman" w:cs="Times New Roman" w:eastAsia="Times New Roman" w:hAnsi="Times New Roman"/>
          <w:b w:val="false"/>
          <w:bCs w:val="false"/>
          <w:i w:val="false"/>
          <w:iCs w:val="false"/>
          <w:sz w:val="24"/>
          <w:szCs w:val="24"/>
        </w:rPr>
        <w:t xml:space="preserve">, 886 P.2d 986, 1003 (Okla. Crim. App. 1994).</w:t>
      </w:r>
    </w:p>
    <w:p>
      <w:pPr>
        <w:spacing w:after="160" w:line="360"/>
        <w:jc w:val="both"/>
      </w:pPr>
      <w:r>
        <w:rPr>
          <w:rFonts w:ascii="Times New Roman" w:cs="Times New Roman" w:eastAsia="Times New Roman" w:hAnsi="Times New Roman"/>
          <w:b w:val="false"/>
          <w:bCs w:val="false"/>
          <w:i w:val="false"/>
          <w:iCs w:val="false"/>
          <w:sz w:val="24"/>
          <w:szCs w:val="24"/>
        </w:rPr>
        <w:t xml:space="preserve">Materiality is met where “the favorable evidence could reasonably be taken to put the whole case in such a different light as to undermine confidence in the verdict.” </w:t>
      </w:r>
      <w:r>
        <w:rPr>
          <w:rFonts w:ascii="Times New Roman" w:cs="Times New Roman" w:eastAsia="Times New Roman" w:hAnsi="Times New Roman"/>
          <w:b w:val="false"/>
          <w:bCs w:val="false"/>
          <w:i/>
          <w:iCs/>
          <w:sz w:val="24"/>
          <w:szCs w:val="24"/>
        </w:rPr>
        <w:t xml:space="preserve">Kyles v. Whitley</w:t>
      </w:r>
      <w:r>
        <w:rPr>
          <w:rFonts w:ascii="Times New Roman" w:cs="Times New Roman" w:eastAsia="Times New Roman" w:hAnsi="Times New Roman"/>
          <w:b w:val="false"/>
          <w:bCs w:val="false"/>
          <w:i w:val="false"/>
          <w:iCs w:val="false"/>
          <w:sz w:val="24"/>
          <w:szCs w:val="24"/>
        </w:rPr>
        <w:t xml:space="preserve">, 514 U.S. 419 (1995). Evidence bearing on Mr. Carlon's credibility — his failure to consistently treat his mental illness before and during the relationship, his suicide threats and severe episodes, his driving with children while experiencing effects of his illness, and his consumption of alcohol combined with prescription medication — is favorable impeachment evidence that must be disclosed. [VERIFY: confirm what has and has not been disclosed.]</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VII. ENFORCEMENT HAS BEEN SELECTIVE AND RETALIATORY</w:t>
      </w:r>
    </w:p>
    <w:p>
      <w:pPr>
        <w:spacing w:after="160" w:line="360"/>
        <w:jc w:val="both"/>
      </w:pPr>
      <w:r>
        <w:rPr>
          <w:rFonts w:ascii="Times New Roman" w:cs="Times New Roman" w:eastAsia="Times New Roman" w:hAnsi="Times New Roman"/>
          <w:b w:val="false"/>
          <w:bCs w:val="false"/>
          <w:i w:val="false"/>
          <w:iCs w:val="false"/>
          <w:sz w:val="24"/>
          <w:szCs w:val="24"/>
        </w:rPr>
        <w:t xml:space="preserve">The First Amendment prohibits adverse governmental action against an individual in retaliation for the exercise of protected speech. To establish a retaliation claim, a plaintiff must show that (1) he was engaged in constitutionally protected activity; (2) the defendants' actions caused an injury that would chill a person of ordinary firmness from continuing that activity; and (3) the adverse actions were substantially motivated by the protected conduct.</w:t>
      </w:r>
    </w:p>
    <w:p>
      <w:pPr>
        <w:spacing w:after="160" w:line="360"/>
        <w:jc w:val="both"/>
      </w:pPr>
      <w:r>
        <w:rPr>
          <w:rFonts w:ascii="Times New Roman" w:cs="Times New Roman" w:eastAsia="Times New Roman" w:hAnsi="Times New Roman"/>
          <w:b w:val="false"/>
          <w:bCs w:val="false"/>
          <w:i w:val="false"/>
          <w:iCs w:val="false"/>
          <w:sz w:val="24"/>
          <w:szCs w:val="24"/>
        </w:rPr>
        <w:t xml:space="preserve">Respondent has been singled out for enforcement because of his opposition to the abuse he suffered. A selective enforcement policy based on organizational association is presumptively suspect, and any inference of an invidious basis can be rebutted only by legitimate law-enforcement interests. </w:t>
      </w:r>
      <w:r>
        <w:rPr>
          <w:rFonts w:ascii="Times New Roman" w:cs="Times New Roman" w:eastAsia="Times New Roman" w:hAnsi="Times New Roman"/>
          <w:b w:val="false"/>
          <w:bCs w:val="false"/>
          <w:i/>
          <w:iCs/>
          <w:sz w:val="24"/>
          <w:szCs w:val="24"/>
        </w:rPr>
        <w:t xml:space="preserve">Bortin v. Superior Court</w:t>
      </w:r>
      <w:r>
        <w:rPr>
          <w:rFonts w:ascii="Times New Roman" w:cs="Times New Roman" w:eastAsia="Times New Roman" w:hAnsi="Times New Roman"/>
          <w:b w:val="false"/>
          <w:bCs w:val="false"/>
          <w:i w:val="false"/>
          <w:iCs w:val="false"/>
          <w:sz w:val="24"/>
          <w:szCs w:val="24"/>
        </w:rPr>
        <w:t xml:space="preserve">, 64 Cal. App. 3d 873, 877 (1976). Respondent has been an active participant in protesting domestic violence and was subjected to unjust action at the instigation of Gabriel Carlon; because of, and solely because of, his use of his First Amendment rights to oppose that abuse, he has been singled out. With respect to the first and second </w:t>
      </w:r>
      <w:r>
        <w:rPr>
          <w:rFonts w:ascii="Times New Roman" w:cs="Times New Roman" w:eastAsia="Times New Roman" w:hAnsi="Times New Roman"/>
          <w:b w:val="false"/>
          <w:bCs w:val="false"/>
          <w:i/>
          <w:iCs/>
          <w:sz w:val="24"/>
          <w:szCs w:val="24"/>
        </w:rPr>
        <w:t xml:space="preserve">Berrios</w:t>
      </w:r>
      <w:r>
        <w:rPr>
          <w:rFonts w:ascii="Times New Roman" w:cs="Times New Roman" w:eastAsia="Times New Roman" w:hAnsi="Times New Roman"/>
          <w:b w:val="false"/>
          <w:bCs w:val="false"/>
          <w:i w:val="false"/>
          <w:iCs w:val="false"/>
          <w:sz w:val="24"/>
          <w:szCs w:val="24"/>
        </w:rPr>
        <w:t xml:space="preserve"> factors — intentional and impermissible singling out, and selection on an impermissible basis — the prosecution is in bad faith and discriminatory. [VERIFY: cite the </w:t>
      </w:r>
      <w:r>
        <w:rPr>
          <w:rFonts w:ascii="Times New Roman" w:cs="Times New Roman" w:eastAsia="Times New Roman" w:hAnsi="Times New Roman"/>
          <w:b w:val="false"/>
          <w:bCs w:val="false"/>
          <w:i/>
          <w:iCs/>
          <w:sz w:val="24"/>
          <w:szCs w:val="24"/>
        </w:rPr>
        <w:t xml:space="preserve">Berrios</w:t>
      </w:r>
      <w:r>
        <w:rPr>
          <w:rFonts w:ascii="Times New Roman" w:cs="Times New Roman" w:eastAsia="Times New Roman" w:hAnsi="Times New Roman"/>
          <w:b w:val="false"/>
          <w:bCs w:val="false"/>
          <w:i w:val="false"/>
          <w:iCs w:val="false"/>
          <w:sz w:val="24"/>
          <w:szCs w:val="24"/>
        </w:rPr>
        <w:t xml:space="preserve"> decision relied on.]</w:t>
      </w:r>
    </w:p>
    <w:p>
      <w:pPr>
        <w:spacing w:after="160" w:line="360"/>
        <w:jc w:val="both"/>
      </w:pPr>
      <w:r>
        <w:rPr>
          <w:rFonts w:ascii="Times New Roman" w:cs="Times New Roman" w:eastAsia="Times New Roman" w:hAnsi="Times New Roman"/>
          <w:b w:val="false"/>
          <w:bCs w:val="false"/>
          <w:i w:val="false"/>
          <w:iCs w:val="false"/>
          <w:sz w:val="24"/>
          <w:szCs w:val="24"/>
        </w:rPr>
        <w:t xml:space="preserve">The right to petition government for redress is not a license to weaponize process against another person. </w:t>
      </w:r>
      <w:r>
        <w:rPr>
          <w:rFonts w:ascii="Times New Roman" w:cs="Times New Roman" w:eastAsia="Times New Roman" w:hAnsi="Times New Roman"/>
          <w:b w:val="false"/>
          <w:bCs w:val="false"/>
          <w:i/>
          <w:iCs/>
          <w:sz w:val="24"/>
          <w:szCs w:val="24"/>
        </w:rPr>
        <w:t xml:space="preserve">Eastern R. Conf. v. Noerr Motor Freight, Inc.</w:t>
      </w:r>
      <w:r>
        <w:rPr>
          <w:rFonts w:ascii="Times New Roman" w:cs="Times New Roman" w:eastAsia="Times New Roman" w:hAnsi="Times New Roman"/>
          <w:b w:val="false"/>
          <w:bCs w:val="false"/>
          <w:i w:val="false"/>
          <w:iCs w:val="false"/>
          <w:sz w:val="24"/>
          <w:szCs w:val="24"/>
        </w:rPr>
        <w:t xml:space="preserve">, 365 U.S. 127 (1961). A blatant disregard for constitutional rights is itself evidence of intent to deprive individuals of those rights, in violation of the Tom Bane Civil Rights Act, Cal. Civ. Code § 52.1.</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VIII. THE STATUTE HAS BEEN APPLIED AGAINST ITS OWN PURPOSE</w:t>
      </w:r>
    </w:p>
    <w:p>
      <w:pPr>
        <w:spacing w:after="160" w:line="360"/>
        <w:jc w:val="both"/>
      </w:pPr>
      <w:r>
        <w:rPr>
          <w:rFonts w:ascii="Times New Roman" w:cs="Times New Roman" w:eastAsia="Times New Roman" w:hAnsi="Times New Roman"/>
          <w:b w:val="false"/>
          <w:bCs w:val="false"/>
          <w:i w:val="false"/>
          <w:iCs w:val="false"/>
          <w:sz w:val="24"/>
          <w:szCs w:val="24"/>
        </w:rPr>
        <w:t xml:space="preserve">A facially permissible policy is unlawful if it is merely a device employed to accomplish prohibited discrimination, and a law fair on its face may be unconstitutional if applied by public authority with malice or bias, resulting in unjust discrimination between similarly situated individuals. [VERIFY: cite — </w:t>
      </w:r>
      <w:r>
        <w:rPr>
          <w:rFonts w:ascii="Times New Roman" w:cs="Times New Roman" w:eastAsia="Times New Roman" w:hAnsi="Times New Roman"/>
          <w:b w:val="false"/>
          <w:bCs w:val="false"/>
          <w:i/>
          <w:iCs/>
          <w:sz w:val="24"/>
          <w:szCs w:val="24"/>
        </w:rPr>
        <w:t xml:space="preserve">Yick Wo v. Hopkins</w:t>
      </w:r>
      <w:r>
        <w:rPr>
          <w:rFonts w:ascii="Times New Roman" w:cs="Times New Roman" w:eastAsia="Times New Roman" w:hAnsi="Times New Roman"/>
          <w:b w:val="false"/>
          <w:bCs w:val="false"/>
          <w:i w:val="false"/>
          <w:iCs w:val="false"/>
          <w:sz w:val="24"/>
          <w:szCs w:val="24"/>
        </w:rPr>
        <w:t xml:space="preserve">, 118 U.S. 356 (1886), is the standard authority.] Respondent has been selected for enforcement based on perceived disability, association, gender expression, and status as a survivor of domestic abuse, in violation of equal protection. The District Attorney's duty is to seek justice, not convictions: the prosecutor represents a sovereign whose duty to govern impartially is as imperative as governing itself.</w:t>
      </w:r>
    </w:p>
    <w:p>
      <w:pPr>
        <w:spacing w:after="160" w:line="360"/>
        <w:jc w:val="both"/>
      </w:pPr>
      <w:r>
        <w:rPr>
          <w:rFonts w:ascii="Times New Roman" w:cs="Times New Roman" w:eastAsia="Times New Roman" w:hAnsi="Times New Roman"/>
          <w:b w:val="false"/>
          <w:bCs w:val="false"/>
          <w:i w:val="false"/>
          <w:iCs w:val="false"/>
          <w:sz w:val="24"/>
          <w:szCs w:val="24"/>
        </w:rPr>
        <w:t xml:space="preserve">Where the legislature fails to provide minimal guidelines to govern law enforcement, a criminal statute may be unconstitutionally vague, permitting a standardless sweep that allows police, prosecutors, and juries to pursue their personal predilections. U.S. Const. amend. V. And the statute's clarity as to overt aggression does not cure its silence on covert abuse — conduct Family Code § 6320 expressly reaches.</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IX. SECTION 6320 REACHES COVERT ABUSE</w:t>
      </w:r>
    </w:p>
    <w:p>
      <w:pPr>
        <w:spacing w:after="160" w:line="360"/>
        <w:jc w:val="both"/>
      </w:pPr>
      <w:r>
        <w:rPr>
          <w:rFonts w:ascii="Times New Roman" w:cs="Times New Roman" w:eastAsia="Times New Roman" w:hAnsi="Times New Roman"/>
          <w:b w:val="false"/>
          <w:bCs w:val="false"/>
          <w:i w:val="false"/>
          <w:iCs w:val="false"/>
          <w:sz w:val="24"/>
          <w:szCs w:val="24"/>
        </w:rPr>
        <w:t xml:space="preserve">Family Code § 6320 authorizes orders enjoining “disturbing the peace of the other party,” which — based on the totality of the circumstances — means conduct that destroys the other party's mental or emotional calm, whether committed directly or indirectly, and includes coercive control that in purpose or effect unreasonably interferes with a person's free will and personal liberty: isolating a party from friends, relatives, or other support; depriving a party of basic necessities; controlling, regulating, or monitoring a party's movements, communications, daily behavior, finances, economic resources, or access to services; and compelling a party by force, threat, or intimidation to engage in conduct from which they have a right to abstain, or to abstain from conduct in which they have a right to engage.</w:t>
      </w:r>
    </w:p>
    <w:p>
      <w:pPr>
        <w:spacing w:after="160" w:line="360"/>
        <w:jc w:val="both"/>
      </w:pPr>
      <w:r>
        <w:rPr>
          <w:rFonts w:ascii="Times New Roman" w:cs="Times New Roman" w:eastAsia="Times New Roman" w:hAnsi="Times New Roman"/>
          <w:b w:val="false"/>
          <w:bCs w:val="false"/>
          <w:i w:val="false"/>
          <w:iCs w:val="false"/>
          <w:sz w:val="24"/>
          <w:szCs w:val="24"/>
        </w:rPr>
        <w:t xml:space="preserve">Covert aggression — social manipulation, indirect violence, rational-appearing aggression — is precisely what § 6320's indirect-conduct language addresses: the aggressor manipulates third parties, such as law enforcement or the court, to attack the target, while remaining unidentified and avoiding counterattack. Gaslighting — psychological abuse in which false information is presented with the intent of making a victim doubt his or her own memory and perception — is a recognized form of this conduct. </w:t>
      </w:r>
      <w:r>
        <w:rPr>
          <w:rFonts w:ascii="Times New Roman" w:cs="Times New Roman" w:eastAsia="Times New Roman" w:hAnsi="Times New Roman"/>
          <w:b w:val="false"/>
          <w:bCs w:val="false"/>
          <w:i/>
          <w:iCs/>
          <w:sz w:val="24"/>
          <w:szCs w:val="24"/>
        </w:rPr>
        <w:t xml:space="preserve">Harper v. Lugbauer</w:t>
      </w:r>
      <w:r>
        <w:rPr>
          <w:rFonts w:ascii="Times New Roman" w:cs="Times New Roman" w:eastAsia="Times New Roman" w:hAnsi="Times New Roman"/>
          <w:b w:val="false"/>
          <w:bCs w:val="false"/>
          <w:i w:val="false"/>
          <w:iCs w:val="false"/>
          <w:sz w:val="24"/>
          <w:szCs w:val="24"/>
        </w:rPr>
        <w:t xml:space="preserve">, No. C 11-01306 JW, 2012 WL 734167, at </w:t>
      </w:r>
      <w:r>
        <w:rPr>
          <w:rFonts w:ascii="Times New Roman" w:cs="Times New Roman" w:eastAsia="Times New Roman" w:hAnsi="Times New Roman"/>
          <w:b w:val="false"/>
          <w:bCs w:val="false"/>
          <w:i/>
          <w:iCs/>
          <w:sz w:val="24"/>
          <w:szCs w:val="24"/>
        </w:rPr>
        <w:t xml:space="preserve">2 (N.D. Cal. Mar. 6, 2012).</w:t>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X. CONCLUSION</w:t>
      </w:r>
    </w:p>
    <w:p>
      <w:pPr>
        <w:spacing w:after="160" w:line="360"/>
        <w:jc w:val="both"/>
      </w:pPr>
      <w:r>
        <w:rPr>
          <w:rFonts w:ascii="Times New Roman" w:cs="Times New Roman" w:eastAsia="Times New Roman" w:hAnsi="Times New Roman"/>
          <w:b w:val="false"/>
          <w:bCs w:val="false"/>
          <w:i w:val="false"/>
          <w:iCs w:val="false"/>
          <w:sz w:val="24"/>
          <w:szCs w:val="24"/>
        </w:rPr>
        <w:t xml:space="preserve">The petition should be denied, or at minimum reconsidered under the proper standard, because its purpose is punishment and its evidentiary basis is unverified accusation. The October arrest lacked probable cause under </w:t>
      </w:r>
      <w:r>
        <w:rPr>
          <w:rFonts w:ascii="Times New Roman" w:cs="Times New Roman" w:eastAsia="Times New Roman" w:hAnsi="Times New Roman"/>
          <w:b w:val="false"/>
          <w:bCs w:val="false"/>
          <w:i/>
          <w:iCs/>
          <w:sz w:val="24"/>
          <w:szCs w:val="24"/>
        </w:rPr>
        <w:t xml:space="preserve">Beier</w:t>
      </w:r>
      <w:r>
        <w:rPr>
          <w:rFonts w:ascii="Times New Roman" w:cs="Times New Roman" w:eastAsia="Times New Roman" w:hAnsi="Times New Roman"/>
          <w:b w:val="false"/>
          <w:bCs w:val="false"/>
          <w:i w:val="false"/>
          <w:iCs w:val="false"/>
          <w:sz w:val="24"/>
          <w:szCs w:val="24"/>
        </w:rPr>
        <w:t xml:space="preserve">; the statements obtained in custody were coerced and inadmissible; and the ongoing use of law enforcement and court process by Mr. Carlon constitutes litigation abuse the court should recognize and address.</w:t>
      </w:r>
    </w:p>
    <w:p>
      <w:pPr>
        <w:spacing w:after="160" w:line="360"/>
        <w:jc w:val="both"/>
      </w:pPr>
      <w:r>
        <w:rPr>
          <w:rFonts w:ascii="Times New Roman" w:cs="Times New Roman" w:eastAsia="Times New Roman" w:hAnsi="Times New Roman"/>
          <w:b w:val="false"/>
          <w:bCs w:val="false"/>
          <w:i w:val="false"/>
          <w:iCs w:val="false"/>
          <w:sz w:val="24"/>
          <w:szCs w:val="24"/>
        </w:rPr>
        <w:t xml:space="preserve">Respectfully submitted.</w:t>
      </w:r>
    </w:p>
    <w:p>
      <w:pPr>
        <w:spacing w:after="160" w:line="360"/>
        <w:jc w:val="both"/>
      </w:pPr>
      <w:r>
        <w:rPr>
          <w:rFonts w:ascii="Times New Roman" w:cs="Times New Roman" w:eastAsia="Times New Roman" w:hAnsi="Times New Roman"/>
          <w:b w:val="false"/>
          <w:bCs w:val="false"/>
          <w:i w:val="false"/>
          <w:iCs w:val="false"/>
          <w:sz w:val="24"/>
          <w:szCs w:val="24"/>
        </w:rPr>
        <w:t xml:space="preserve"/>
      </w:r>
    </w:p>
    <w:p>
      <w:pPr>
        <w:spacing w:after="160" w:line="360"/>
        <w:jc w:val="both"/>
      </w:pPr>
      <w:r>
        <w:rPr>
          <w:rFonts w:ascii="Times New Roman" w:cs="Times New Roman" w:eastAsia="Times New Roman" w:hAnsi="Times New Roman"/>
          <w:b w:val="false"/>
          <w:bCs w:val="false"/>
          <w:i w:val="false"/>
          <w:iCs w:val="false"/>
          <w:sz w:val="24"/>
          <w:szCs w:val="24"/>
        </w:rPr>
        <w:t xml:space="preserve">____________________________</w:t>
      </w:r>
    </w:p>
    <w:p>
      <w:pPr>
        <w:spacing w:after="160" w:line="360"/>
        <w:jc w:val="both"/>
      </w:pPr>
      <w:r>
        <w:rPr>
          <w:rFonts w:ascii="Times New Roman" w:cs="Times New Roman" w:eastAsia="Times New Roman" w:hAnsi="Times New Roman"/>
          <w:b w:val="false"/>
          <w:bCs w:val="false"/>
          <w:i w:val="false"/>
          <w:iCs w:val="false"/>
          <w:sz w:val="24"/>
          <w:szCs w:val="24"/>
        </w:rPr>
        <w:t xml:space="preserve">James Castillo</w:t>
      </w:r>
    </w:p>
    <w:p>
      <w:pPr>
        <w:spacing w:after="16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APPENDIX — DECLARATION (TEMPLATE)</w:t>
      </w:r>
    </w:p>
    <w:p>
      <w:pPr>
        <w:spacing w:after="160" w:line="360"/>
        <w:jc w:val="both"/>
      </w:pPr>
      <w:r>
        <w:rPr>
          <w:rFonts w:ascii="Times New Roman" w:cs="Times New Roman" w:eastAsia="Times New Roman" w:hAnsi="Times New Roman"/>
          <w:b w:val="false"/>
          <w:bCs w:val="false"/>
          <w:i w:val="false"/>
          <w:iCs w:val="false"/>
          <w:sz w:val="24"/>
          <w:szCs w:val="24"/>
        </w:rPr>
        <w:t xml:space="preserve">[Drafting note: every statement must be truthful and within declarant's personal knowledge, and signed under penalty of perjury. “Never” statements are risky — a single verified incident contradicts them. Narrow the denials to the specific allegations in the petition where possible.]</w:t>
      </w:r>
    </w:p>
    <w:p>
      <w:pPr>
        <w:spacing w:after="160" w:line="360"/>
        <w:jc w:val="both"/>
      </w:pPr>
      <w:r>
        <w:rPr>
          <w:rFonts w:ascii="Times New Roman" w:cs="Times New Roman" w:eastAsia="Times New Roman" w:hAnsi="Times New Roman"/>
          <w:b w:val="false"/>
          <w:bCs w:val="false"/>
          <w:i w:val="false"/>
          <w:iCs w:val="false"/>
          <w:sz w:val="24"/>
          <w:szCs w:val="24"/>
        </w:rPr>
        <w:t xml:space="preserve">I have never intentionally or recklessly caused, or attempted to cause, bodily injury to Gabriel Carlon, nor committed any act of sexual assault against him or any other person, nor engaged in conduct placing him in reasonable apprehension of imminent serious bodily injury. I have never molested, attacked, struck, stalked, threatened, harassed, battered, or sexually assaulted him; never impersonated him through any internet website or other electronic means; never falsely personated him or acted in his name. I have never, with intent to annoy or harass him, made any telephone call or electronic contact containing obscene language or a threat of injury, nor made repeated contacts for the purpose of annoying or harassing him. I have never destroyed or damaged his personal property.</w:t>
      </w:r>
    </w:p>
    <w:p>
      <w:pPr>
        <w:spacing w:after="160" w:line="360"/>
        <w:jc w:val="both"/>
      </w:pPr>
      <w:r>
        <w:rPr>
          <w:rFonts w:ascii="Times New Roman" w:cs="Times New Roman" w:eastAsia="Times New Roman" w:hAnsi="Times New Roman"/>
          <w:b w:val="false"/>
          <w:bCs w:val="false"/>
          <w:i w:val="false"/>
          <w:iCs w:val="false"/>
          <w:sz w:val="24"/>
          <w:szCs w:val="24"/>
        </w:rPr>
        <w:t xml:space="preserve">I have never contacted him, directly or indirectly, in any manner that could be enjoined under Family Code section 6320, and I have never disturbed his peace. I have never engaged in coercive control or any pattern of behavior that in purpose or effect unreasonably interfered with his free will or personal liberty: I have never isolated him from friends, relatives, or support; deprived him of basic necessities; controlled, regulated, or monitored his movements, communications, behavior, finances, or access to services; compelled him by force, threat, or intimidation to engage in or abstain from any conduct; or engaged in reproductive coercion of any kind.</w:t>
      </w:r>
    </w:p>
    <w:p>
      <w:pPr>
        <w:spacing w:after="160" w:line="360"/>
        <w:jc w:val="both"/>
      </w:pPr>
      <w:r>
        <w:rPr>
          <w:rFonts w:ascii="Times New Roman" w:cs="Times New Roman" w:eastAsia="Times New Roman" w:hAnsi="Times New Roman"/>
          <w:b w:val="false"/>
          <w:bCs w:val="false"/>
          <w:i w:val="false"/>
          <w:iCs w:val="false"/>
          <w:sz w:val="24"/>
          <w:szCs w:val="24"/>
        </w:rPr>
        <w:t xml:space="preserve">I have never intentionally or knowingly violated any protective order under Family Code sections 6320 or 6389, whether issued after notice and hearing or ex parte, nor any protective order issued by another state and recognized under Part 5 of Division 10 of the Family Code. I have never owned, possessed, purchased, or received any firearm knowing I was prohibited from doing so by a protective order.</w:t>
      </w:r>
    </w:p>
    <w:p>
      <w:pPr>
        <w:spacing w:after="16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160" w:line="360"/>
        <w:jc w:val="left"/>
      </w:pPr>
      <w:r>
        <w:rPr>
          <w:rFonts w:ascii="Times New Roman" w:cs="Times New Roman" w:eastAsia="Times New Roman" w:hAnsi="Times New Roman"/>
          <w:b w:val="false"/>
          <w:bCs w:val="false"/>
          <w:i w:val="false"/>
          <w:iCs w:val="false"/>
          <w:sz w:val="24"/>
          <w:szCs w:val="24"/>
        </w:rPr>
        <w:t xml:space="preserve">DRAFTING CHECKLIST (NOT FOR FILING)</w:t>
      </w:r>
    </w:p>
    <w:p>
      <w:pPr>
        <w:spacing w:after="80"/>
      </w:pPr>
      <w:r>
        <w:rPr>
          <w:rFonts w:ascii="Times New Roman" w:cs="Times New Roman" w:eastAsia="Times New Roman" w:hAnsi="Times New Roman"/>
          <w:sz w:val="22"/>
          <w:szCs w:val="22"/>
        </w:rPr>
        <w:t xml:space="preserve">☐  Supply pin cites for In re Marriage of D.S. &amp; B.S. and confirm the Berrios decision relied on.</w:t>
      </w:r>
    </w:p>
    <w:p>
      <w:pPr>
        <w:spacing w:after="80"/>
      </w:pPr>
      <w:r>
        <w:rPr>
          <w:rFonts w:ascii="Times New Roman" w:cs="Times New Roman" w:eastAsia="Times New Roman" w:hAnsi="Times New Roman"/>
          <w:sz w:val="22"/>
          <w:szCs w:val="22"/>
        </w:rPr>
        <w:t xml:space="preserve">☐  Confirm the operative litigation-abuse provision (Fam. Code § 6230 vs. § 6305).</w:t>
      </w:r>
    </w:p>
    <w:p>
      <w:pPr>
        <w:spacing w:after="80"/>
      </w:pPr>
      <w:r>
        <w:rPr>
          <w:rFonts w:ascii="Times New Roman" w:cs="Times New Roman" w:eastAsia="Times New Roman" w:hAnsi="Times New Roman"/>
          <w:sz w:val="22"/>
          <w:szCs w:val="22"/>
        </w:rPr>
        <w:t xml:space="preserve">☐  Supply record cites for: Mr. Carlon's intoxication at the time of his claim; the dispatcher's conduct; the conditions of custody and medication denial; any declination to file by the District Attorney.</w:t>
      </w:r>
    </w:p>
    <w:p>
      <w:pPr>
        <w:spacing w:after="80"/>
      </w:pPr>
      <w:r>
        <w:rPr>
          <w:rFonts w:ascii="Times New Roman" w:cs="Times New Roman" w:eastAsia="Times New Roman" w:hAnsi="Times New Roman"/>
          <w:sz w:val="22"/>
          <w:szCs w:val="22"/>
        </w:rPr>
        <w:t xml:space="preserve">☐  Supply the citation for the quoted “shift answers” interrogation language (source was a Ninth Circuit opinion, not this case).</w:t>
      </w:r>
    </w:p>
    <w:p>
      <w:pPr>
        <w:spacing w:after="80"/>
      </w:pPr>
      <w:r>
        <w:rPr>
          <w:rFonts w:ascii="Times New Roman" w:cs="Times New Roman" w:eastAsia="Times New Roman" w:hAnsi="Times New Roman"/>
          <w:sz w:val="22"/>
          <w:szCs w:val="22"/>
        </w:rPr>
        <w:t xml:space="preserve">☐  Verify Yick Wo as the intended authority for the subterfuge proposition, or substitute.</w:t>
      </w:r>
    </w:p>
    <w:p>
      <w:pPr>
        <w:spacing w:after="80"/>
      </w:pPr>
      <w:r>
        <w:rPr>
          <w:rFonts w:ascii="Times New Roman" w:cs="Times New Roman" w:eastAsia="Times New Roman" w:hAnsi="Times New Roman"/>
          <w:sz w:val="22"/>
          <w:szCs w:val="22"/>
        </w:rPr>
        <w:t xml:space="preserve">☐  Confirm Brady disclosure status before asserting non-disclosure.</w:t>
      </w:r>
    </w:p>
    <w:p>
      <w:pPr>
        <w:spacing w:after="80"/>
      </w:pPr>
      <w:r>
        <w:rPr>
          <w:rFonts w:ascii="Times New Roman" w:cs="Times New Roman" w:eastAsia="Times New Roman" w:hAnsi="Times New Roman"/>
          <w:sz w:val="22"/>
          <w:szCs w:val="22"/>
        </w:rPr>
        <w:t xml:space="preserve">☐  Complete the caption: court, case number, department, hearing date.</w:t>
      </w:r>
    </w:p>
    <w:p>
      <w:pPr>
        <w:spacing w:after="80"/>
      </w:pPr>
      <w:r>
        <w:rPr>
          <w:rFonts w:ascii="Times New Roman" w:cs="Times New Roman" w:eastAsia="Times New Roman" w:hAnsi="Times New Roman"/>
          <w:sz w:val="22"/>
          <w:szCs w:val="22"/>
        </w:rPr>
        <w:t xml:space="preserve">☐  Have a licensed California attorney or court self-help center review before filing.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2026-09-26T22:04:46.144Z</dcterms:created>
  <dcterms:modified xsi:type="dcterms:W3CDTF">2026-09-26T22:04:46.145Z</dcterms:modified>
</cp:coreProperties>
</file>

<file path=docProps/custom.xml><?xml version="1.0" encoding="utf-8"?>
<Properties xmlns="http://schemas.openxmlformats.org/officeDocument/2006/custom-properties" xmlns:vt="http://schemas.openxmlformats.org/officeDocument/2006/docPropsVTypes"/>
</file>