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pPr>
      <w:r>
        <w:t xml:space="preserve">September 27, 2026</w:t>
      </w:r>
    </w:p>
    <w:p>
      <w:pPr>
        <w:spacing w:after="200"/>
      </w:pPr>
    </w:p>
    <w:p>
      <w:pPr>
        <w:spacing w:after="200" w:line="276"/>
      </w:pPr>
      <w:r>
        <w:t xml:space="preserve">The Honorable Susan Rubio</w:t>
      </w:r>
    </w:p>
    <w:p>
      <w:pPr>
        <w:spacing w:after="200" w:line="276"/>
      </w:pPr>
      <w:r>
        <w:t xml:space="preserve">California State Senate</w:t>
      </w:r>
    </w:p>
    <w:p>
      <w:pPr>
        <w:spacing w:after="200" w:line="276"/>
      </w:pPr>
      <w:r>
        <w:t xml:space="preserve">State Capitol</w:t>
      </w:r>
    </w:p>
    <w:p>
      <w:pPr>
        <w:spacing w:after="200" w:line="276"/>
      </w:pPr>
      <w:r>
        <w:t xml:space="preserve">Sacramento, CA 95814</w:t>
      </w:r>
    </w:p>
    <w:p>
      <w:pPr>
        <w:spacing w:after="200" w:line="276"/>
      </w:pPr>
      <w:r>
        <w:t xml:space="preserve"/>
      </w:r>
    </w:p>
    <w:p>
      <w:pPr>
        <w:spacing w:after="200" w:line="276"/>
      </w:pPr>
      <w:r>
        <w:t xml:space="preserve">Sent via email; cc: Senator Laura Richardson, Assemblymember Cecilia Aguiar-Curry, coauthors</w:t>
      </w:r>
    </w:p>
    <w:p>
      <w:pPr>
        <w:spacing w:after="200"/>
      </w:pPr>
    </w:p>
    <w:p>
      <w:pPr>
        <w:spacing w:after="200" w:line="276"/>
      </w:pPr>
      <w:r>
        <w:t xml:space="preserve">Dear Senator Rubio:</w:t>
      </w:r>
    </w:p>
    <w:p>
      <w:pPr>
        <w:spacing w:after="200" w:line="276"/>
      </w:pPr>
      <w:r>
        <w:t xml:space="preserve">SB 1192 is built on an inversion, and I do not think it was an intended one. The bill exists because litigation and discovery can be weaponized against domestic violence survivors. Its solution is to authorize litigation and discovery to be weaponized against whoever it designates a perpetrator. The tool named as the harm in the bill's premise is the tool deployed as the bill's remedy. That is not a trade-off between two goods. It is the bill turning its own justification back on itself and calling the result a fix.</w:t>
      </w:r>
    </w:p>
    <w:p>
      <w:pPr>
        <w:spacing w:after="200" w:line="276"/>
      </w:pPr>
      <w:r>
        <w:t xml:space="preserve">Your committee's analysis states the problem out loud without noticing it has done so. It says, correctly, that "there is no question that a respondent has a due process right to legitimate and necessary discovery." It then proceeds, in the same document, to authorize a court to strip that right automatically — before any hearing, before the affected party has said a word — on the strength of a civil restraining order that Section 391.91(h)(3)–(4) does not require to rest on any adjudicated finding of abuse. The sentence stating the right and the sentence authorizing its removal sit a few pages apart in the same analysis. Neither one answers the other.</w:t>
      </w:r>
    </w:p>
    <w:p>
      <w:pPr>
        <w:spacing w:after="200" w:line="276"/>
      </w:pPr>
      <w:r>
        <w:t xml:space="preserve">Trace the structure once, plainly. The harm the bill names: abuse conducted through litigation and discovery. The mechanism the bill creates under Section 391.94: an automatic stay of the other party's litigation and discovery, triggered on a preponderance standard, with the affected party's own request to proceed subject to ex parte denial under subdivision (d)(5), and an eighteen-month bar on reapplying if denied. Read those two sentences side by side and the inversion is exact. What was described as the injury is reissued, unmodified, as the cure — aimed at a new target selected by a standard lower than the one the bill itself treats as inadequate everywhere else.</w:t>
      </w:r>
    </w:p>
    <w:p>
      <w:pPr>
        <w:spacing w:after="200" w:line="276"/>
      </w:pPr>
      <w:r>
        <w:t xml:space="preserve">This is not the first time this exact inversion showed up in this bill and got caught. Comment 3 of your committee's analysis records that the bill, as originally drafted, would have imported Marsy's Law's discovery-refusal standard into civil litigation wholesale, abrogating Slaieh v. Superior Court outright. The committee recognized that as the state doing to civil litigants what the bill exists to stop being done to survivors, and you agreed to strike it. That was the correct instinct. It simply was not applied consistently — the same inversion survives, one section later, wearing different subsection numbers.</w:t>
      </w:r>
    </w:p>
    <w:p>
      <w:pPr>
        <w:spacing w:after="200" w:line="276"/>
      </w:pPr>
      <w:r>
        <w:t xml:space="preserve">I am not a disinterested reader of this pattern. I have sat in a family court hearing where I was not told who was presiding over it, was cut off before I could speak, and left rather than continue in a proceeding I did not understand and had never agreed to. I do not offer that as proof of anything about this bill. I offer it because the class of hearing that can generate "victim of domestic violence" status under Section 391.91(h) is defined broadly enough to include hearings that looked exactly like mine, and the class of person who can be shut out of court under Section 391.94 is defined broadly enough to include whoever stood across from someone in that hearing.</w:t>
      </w:r>
    </w:p>
    <w:p>
      <w:pPr>
        <w:spacing w:after="200" w:line="276"/>
      </w:pPr>
      <w:r>
        <w:t xml:space="preserve">The historical pattern behind this inversion is not new, and it is not partisan. Every framework that has curtailed a party's process in the name of a genuine, sympathetic emergency has insisted it was the exception — and the record afterward, in exonerations, in reversed findings, in doctrines later disavowed by the same courts that built them, has generally said otherwise. That the underlying harm this bill responds to is real does not exempt its remedy from that pattern. It is precisely what every prior version of this pattern also believed about itself.</w:t>
      </w:r>
    </w:p>
    <w:p>
      <w:pPr>
        <w:spacing w:after="200" w:line="276"/>
      </w:pPr>
      <w:r>
        <w:t xml:space="preserve">The fix does not require dismantling the bill or reopening the floor votes already cast. It requires one change: tie "victim of domestic violence" in Section 391.91(h) to an adjudicated finding of abuse, not the bare existence of an order, and revisit whether the ex parte denial power in Section 391.94(d)(5) is still necessary once that change is made. That closes the loop the bill currently leaves open — and it does so without taking anything away from survivors the bill is actually built to protect.</w:t>
      </w:r>
    </w:p>
    <w:p>
      <w:pPr>
        <w:spacing w:after="200" w:line="276"/>
      </w:pPr>
      <w:r>
        <w:t xml:space="preserve">I would welcome the opportunity to discuss this with your staff directly. I am also sending a parallel letter to the Governor's office noting that your office has been made aware of this concern.</w:t>
      </w:r>
    </w:p>
    <w:p>
      <w:pPr>
        <w:spacing w:after="200" w:line="276"/>
      </w:pPr>
      <w:r>
        <w:t xml:space="preserve">Sincerely,</w:t>
      </w:r>
    </w:p>
    <w:p>
      <w:pPr>
        <w:spacing w:after="600"/>
      </w:pPr>
    </w:p>
    <w:p>
      <w:pPr>
        <w:spacing w:after="200" w:line="276"/>
      </w:pPr>
      <w:r>
        <w:t xml:space="preserve">[Your name]
[Address]
[Phone /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2026-09-27T18:52:01.810Z</dcterms:created>
  <dcterms:modified xsi:type="dcterms:W3CDTF">2026-09-27T18:52:01.820Z</dcterms:modified>
</cp:coreProperties>
</file>

<file path=docProps/custom.xml><?xml version="1.0" encoding="utf-8"?>
<Properties xmlns="http://schemas.openxmlformats.org/officeDocument/2006/custom-properties" xmlns:vt="http://schemas.openxmlformats.org/officeDocument/2006/docPropsVTypes"/>
</file>