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276"/>
      </w:pPr>
      <w:r>
        <w:rPr>
          <w:b w:val="false"/>
          <w:bCs w:val="false"/>
        </w:rPr>
        <w:t xml:space="preserve">September 27, 2026</w:t>
      </w:r>
    </w:p>
    <w:p>
      <w:pPr>
        <w:spacing w:after="200"/>
      </w:pPr>
    </w:p>
    <w:p>
      <w:pPr>
        <w:spacing w:after="0"/>
      </w:pPr>
      <w:r>
        <w:t xml:space="preserve">The Honorable Susan Rubio</w:t>
      </w:r>
    </w:p>
    <w:p>
      <w:pPr>
        <w:spacing w:after="0"/>
      </w:pPr>
      <w:r>
        <w:t xml:space="preserve">California State Senate</w:t>
      </w:r>
    </w:p>
    <w:p>
      <w:pPr>
        <w:spacing w:after="0"/>
      </w:pPr>
      <w:r>
        <w:t xml:space="preserve">State Capitol</w:t>
      </w:r>
    </w:p>
    <w:p>
      <w:pPr>
        <w:spacing w:after="0"/>
      </w:pPr>
      <w:r>
        <w:t xml:space="preserve">Sacramento, CA 95814</w:t>
      </w:r>
    </w:p>
    <w:p>
      <w:pPr>
        <w:spacing w:after="0"/>
      </w:pPr>
      <w:r>
        <w:t xml:space="preserve"/>
      </w:r>
    </w:p>
    <w:p>
      <w:pPr>
        <w:spacing w:after="0"/>
      </w:pPr>
      <w:r>
        <w:t xml:space="preserve">cc: Senator Laura Richardson; Assemblymember Cecilia Aguiar-Curry</w:t>
      </w:r>
    </w:p>
    <w:p>
      <w:pPr>
        <w:spacing w:after="200"/>
      </w:pPr>
    </w:p>
    <w:p>
      <w:pPr>
        <w:spacing w:after="200" w:line="276"/>
      </w:pPr>
      <w:r>
        <w:rPr>
          <w:b/>
          <w:bCs/>
        </w:rPr>
        <w:t xml:space="preserve">Re: SB 1192 — Code Civ. Proc. §§ 391.91(h), 391.94</w:t>
      </w:r>
    </w:p>
    <w:p>
      <w:pPr>
        <w:spacing w:after="200" w:line="276"/>
      </w:pPr>
      <w:r>
        <w:rPr>
          <w:b w:val="false"/>
          <w:bCs w:val="false"/>
        </w:rPr>
        <w:t xml:space="preserve">Senator Rubio:</w:t>
      </w:r>
    </w:p>
    <w:p>
      <w:pPr>
        <w:spacing w:after="200" w:line="276"/>
      </w:pPr>
      <w:r>
        <w:rPr>
          <w:b w:val="false"/>
          <w:bCs w:val="false"/>
        </w:rPr>
        <w:t xml:space="preserve">SB 1192 defines litigation abuse as one party using filings and discovery to burden another. Its remedy lets one party suspend the other party’s filings and discovery before any adjudication. Both give one party unilateral control over the other’s access to procedure. The objection concerns mechanism, not purpose. This letter identifies where the text does this and requests two amendments.</w:t>
      </w:r>
    </w:p>
    <w:p>
      <w:pPr>
        <w:spacing w:after="200" w:line="276"/>
      </w:pPr>
      <w:r>
        <w:rPr>
          <w:b w:val="false"/>
          <w:bCs w:val="false"/>
        </w:rPr>
        <w:t xml:space="preserve">1. Status. Section 391.91(h)(3)–(4) defines “victim of domestic violence” to include a person protected by a restraining order issued after a noticed hearing. The provision requires notice. It does not require that the hearing was contested or that the order rest on an adjudicated finding of abuse.</w:t>
      </w:r>
    </w:p>
    <w:p>
      <w:pPr>
        <w:spacing w:after="200" w:line="276"/>
      </w:pPr>
      <w:r>
        <w:rPr>
          <w:b w:val="false"/>
          <w:bCs w:val="false"/>
        </w:rPr>
        <w:t xml:space="preserve">2. Stay. Under Section 391.94, a victim’s motion for a prefiling order stays the opposing party’s litigation and discovery automatically while the motion is pending. The hearing occurs after the stay takes effect.</w:t>
      </w:r>
    </w:p>
    <w:p>
      <w:pPr>
        <w:spacing w:after="200" w:line="276"/>
      </w:pPr>
      <w:r>
        <w:rPr>
          <w:b w:val="false"/>
          <w:bCs w:val="false"/>
        </w:rPr>
        <w:t xml:space="preserve">3. Restriction. A party subject to a prefiling order must obtain court permission before filing litigation or seeking discovery against the victim. A party denied vacatur must wait eighteen months before reapplying.</w:t>
      </w:r>
    </w:p>
    <w:p>
      <w:pPr>
        <w:spacing w:after="200" w:line="276"/>
      </w:pPr>
      <w:r>
        <w:rPr>
          <w:b w:val="false"/>
          <w:bCs w:val="false"/>
        </w:rPr>
        <w:t xml:space="preserve">4. Record. The Senate Judiciary Committee analysis states there is “no question” that respondents have a due process right to legitimate and necessary discovery. Comment 3 records the author’s agreement to delete a provision that would have abrogated Slaieh v. Superior Court (2022) 77 Cal.App.5th 266 by extending Marsy’s Law discovery refusal into civil litigation. The sequence in paragraph 2 was not changed.</w:t>
      </w:r>
    </w:p>
    <w:p>
      <w:pPr>
        <w:spacing w:after="200" w:line="276"/>
      </w:pPr>
      <w:r>
        <w:rPr>
          <w:b w:val="false"/>
          <w:bCs w:val="false"/>
        </w:rPr>
        <w:t xml:space="preserve">5. Historical record. Legislatures and courts have reduced procedural protection on the ground that a harm was real and urgent. Korematsu v. United States (1944) 323 U.S. 214 upheld exclusion of persons without individualized hearings; in Trump v. Hawaii (2018) 585 U.S. 667, the Court stated that Korematsu “was gravely wrong the day it was decided.” The National Registry of Exonerations documents convictions obtained under procedures later found inadequate. In each instance the harm was real, and the reduction of process was the error. The magnitude here is smaller. The justification is the same: harm real enough to defer the hearing.</w:t>
      </w:r>
    </w:p>
    <w:p>
      <w:pPr>
        <w:spacing w:after="200" w:line="276"/>
      </w:pPr>
      <w:r>
        <w:rPr>
          <w:b w:val="false"/>
          <w:bCs w:val="false"/>
        </w:rPr>
        <w:t xml:space="preserve">6. Disclosure. I attended a family court hearing at which no one stated the presiding officer’s identity or my procedural rights, and my testimony was interrupted. Under paragraph 1, an order from a hearing of that kind may establish victim status.</w:t>
      </w:r>
    </w:p>
    <w:p>
      <w:pPr>
        <w:spacing w:after="200" w:line="276"/>
      </w:pPr>
      <w:r>
        <w:rPr>
          <w:b w:val="false"/>
          <w:bCs w:val="false"/>
        </w:rPr>
        <w:t xml:space="preserve">Request. A cleanup amendment in a future session: (a) restrict Section 391.91(h)(3)–(4) to orders entered after contested hearings that include express findings of domestic violence; (b) replace the automatic stay in Section 391.94 with a prompt judicial determination, after hearing from both parties, before any stay issues. Neither change removes a protection available to survivors.</w:t>
      </w:r>
    </w:p>
    <w:p>
      <w:pPr>
        <w:spacing w:after="200" w:line="276"/>
      </w:pPr>
      <w:r>
        <w:rPr>
          <w:b w:val="false"/>
          <w:bCs w:val="false"/>
        </w:rPr>
        <w:t xml:space="preserve">The Governor’s office has received a parallel letter. I am available to discuss the text with your staff.</w:t>
      </w:r>
    </w:p>
    <w:p>
      <w:pPr>
        <w:spacing w:after="200" w:line="276"/>
      </w:pPr>
      <w:r>
        <w:rPr>
          <w:b w:val="false"/>
          <w:bCs w:val="false"/>
        </w:rPr>
        <w:t xml:space="preserve">Sincerely,</w:t>
      </w:r>
    </w:p>
    <w:p>
      <w:pPr>
        <w:spacing w:after="500"/>
      </w:pPr>
    </w:p>
    <w:p>
      <w:pPr>
        <w:spacing w:after="0"/>
      </w:pPr>
      <w:r>
        <w:t xml:space="preserve">[Your name]</w:t>
      </w:r>
    </w:p>
    <w:p>
      <w:pPr>
        <w:spacing w:after="0"/>
      </w:pPr>
      <w:r>
        <w:t xml:space="preserve">[Address]</w:t>
      </w:r>
    </w:p>
    <w:p>
      <w:pPr>
        <w:spacing w:after="0"/>
      </w:pPr>
      <w:r>
        <w:t xml:space="preserve">[Phone / email]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2026-09-28T04:41:14.960Z</dcterms:created>
  <dcterms:modified xsi:type="dcterms:W3CDTF">2026-09-28T04:41:14.970Z</dcterms:modified>
</cp:coreProperties>
</file>

<file path=docProps/custom.xml><?xml version="1.0" encoding="utf-8"?>
<Properties xmlns="http://schemas.openxmlformats.org/officeDocument/2006/custom-properties" xmlns:vt="http://schemas.openxmlformats.org/officeDocument/2006/docPropsVTypes"/>
</file>