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/>
        <w:tc>
          <w:tcPr>
            <w:shd w:val="clear" w:fill="f9fafb"/>
          </w:tcPr>
          <w:p>
            <w:pPr>
              <w:spacing w:lineRule="auto"/>
            </w:pPr>
            <w:r>
              <w:rPr>
                <w:b/>
                <w:sz w:val="36"/>
              </w:rPr>
              <w:t xml:space="preserve">People v. Penn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Court</w:t>
      </w:r>
      <w:r>
        <w:rPr/>
        <w:t xml:space="preserve">: Appellate Terms of the Supreme Court of New York</w:t>
      </w:r>
    </w:p>
    <w:p>
      <w:pPr>
        <w:spacing w:lineRule="auto"/>
      </w:pPr>
      <w:r>
        <w:rPr>
          <w:b/>
        </w:rPr>
        <w:t xml:space="preserve">Date filed</w:t>
      </w:r>
      <w:r>
        <w:rPr/>
        <w:t xml:space="preserve">: 1964-10-15</w:t>
      </w:r>
    </w:p>
    <w:p>
      <w:pPr>
        <w:spacing w:lineRule="auto"/>
      </w:pPr>
      <w:r>
        <w:rPr>
          <w:b/>
        </w:rPr>
        <w:t xml:space="preserve">Citations</w:t>
      </w:r>
      <w:r>
        <w:rPr/>
        <w:t xml:space="preserve">: 48 Misc. 2d 634, 265 N.Y.S.2d 155, 1964 N.Y. Misc. LEXIS 1380</w:t>
      </w:r>
    </w:p>
    <w:p>
      <w:pPr>
        <w:spacing w:lineRule="auto"/>
      </w:pPr>
      <w:r>
        <w:rPr/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/>
        <w:tc>
          <w:tcPr>
            <w:shd w:val="clear" w:fill="f9fafb"/>
          </w:tcPr>
          <w:p>
            <w:pPr>
              <w:spacing w:lineRule="auto"/>
            </w:pPr>
            <w:r>
              <w:rPr>
                <w:b/>
                <w:sz w:val="30"/>
              </w:rPr>
              <w:t xml:space="preserve">Lead Opinion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i/>
        </w:rPr>
        <w:t xml:space="preserve">Per Curiam.</w:t>
      </w:r>
    </w:p>
    <w:p>
      <w:pPr>
        <w:spacing w:lineRule="auto"/>
      </w:pPr>
      <w:r>
        <w:rPr/>
        <w:t xml:space="preserve">Judgments of conviction against all defendants affirmed,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hyperlink xmlns:ns2="http://schemas.openxmlformats.org/officeDocument/2006/relationships" ns2:id="rId1">
      <r>
        <rPr>
          <color xmlns:ns3="http://schemas.openxmlformats.org/wordprocessingml/2006/main" ns3:val="4b5563"/>
          <rStyle xmlns:ns4="http://schemas.openxmlformats.org/wordprocessingml/2006/main" ns4:val="Hyperlink"/>
        </rPr>
        <t xml:space="preserve">https://www.cetient.com/case/people-v-penn-6318956</t>
      </r>
    </hyperlink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4b5563"/>
      </rPr>
      <t xml:space="preserve">Exported by Cetient Legal Research AI </t>
    </r>
    <hyperlink xmlns:ns3="http://schemas.openxmlformats.org/officeDocument/2006/relationships" ns3:id="rId1">
      <r>
        <rPr>
          <color xmlns:ns4="http://schemas.openxmlformats.org/wordprocessingml/2006/main" ns4:val="4b5563"/>
          <rStyle xmlns:ns5="http://schemas.openxmlformats.org/wordprocessingml/2006/main" ns5:val="Hyperlink"/>
        </rPr>
        <t xml:space="preserve">https://www.cetient.com</t>
      </r>
    </hyperlink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_rels/footer1.xml.rels><?xml version="1.0" encoding="UTF-8" standalone="yes"?>
<Relationships xmlns="http://schemas.openxmlformats.org/package/2006/relationships">
  <Relationship Id="rId1" Type="http://schemas.openxmlformats.org/officeDocument/2006/relationships/hyperlink" Target="https://www.cetient.com/case/people-v-penn-6318956" TargetMode="External"/>
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hyperlink" Target="https://www.cetient.co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v. Penn</dc:title>
  <dc:subject/>
  <dc:creator>Cetient Legal Research AI (https://www.cetient.com)</dc:creator>
  <cp:keywords>html-to-docx</cp:keywords>
  <dc:description/>
  <cp:lastModifiedBy>html-to-docx</cp:lastModifiedBy>
  <cp:revision>1</cp:revision>
  <dcterms:created xsi:type="dcterms:W3CDTF">2026-09-18T02:06:33.993Z</dcterms:created>
  <dcterms:modified xsi:type="dcterms:W3CDTF">2026-09-18T02:06:33.993Z</dcterms:modified>
</cp:coreProperties>
</file>