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74442" w14:textId="12704680" w:rsidR="00E938BA" w:rsidRDefault="00000000" w:rsidP="00E938BA">
      <w:pPr>
        <w:spacing w:after="200"/>
        <w:rPr>
          <w:b/>
          <w:bCs/>
          <w:color w:val="2E75B6"/>
          <w:sz w:val="44"/>
          <w:szCs w:val="44"/>
        </w:rPr>
      </w:pPr>
      <w:r>
        <w:rPr>
          <w:b/>
          <w:bCs/>
          <w:color w:val="2E75B6"/>
          <w:sz w:val="44"/>
          <w:szCs w:val="44"/>
        </w:rPr>
        <w:t>Prediction &amp; Analys</w:t>
      </w:r>
      <w:r w:rsidR="00EE4E96">
        <w:rPr>
          <w:b/>
          <w:bCs/>
          <w:color w:val="2E75B6"/>
          <w:sz w:val="44"/>
          <w:szCs w:val="44"/>
        </w:rPr>
        <w:t>is</w:t>
      </w:r>
    </w:p>
    <w:p w14:paraId="432B4D03" w14:textId="12A53DFA" w:rsidR="00182C98" w:rsidRDefault="00000000" w:rsidP="00E938BA">
      <w:pPr>
        <w:spacing w:after="200"/>
      </w:pPr>
      <w:r>
        <w:rPr>
          <w:b/>
          <w:bCs/>
          <w:color w:val="1F5C99"/>
          <w:sz w:val="32"/>
          <w:szCs w:val="32"/>
        </w:rPr>
        <w:t>1. Summary</w:t>
      </w:r>
    </w:p>
    <w:p w14:paraId="40510C75" w14:textId="77777777" w:rsidR="00860869" w:rsidRDefault="00000000" w:rsidP="00860869">
      <w:pPr>
        <w:spacing w:before="80" w:after="80"/>
      </w:pPr>
      <w:r>
        <w:t>This report presents insights derived from an end-to-end data science project that analyzed global electric vehicle (EV) adoption trends across 10 countries and 5 regions between 2010 and 2025. The project encompassed exploratory data analysis feature engineering, machine learning classification and interactive Power BI dashboards.</w:t>
      </w:r>
    </w:p>
    <w:p w14:paraId="2020AD79" w14:textId="24893F60" w:rsidR="00182C98" w:rsidRDefault="00000000" w:rsidP="00860869">
      <w:pPr>
        <w:spacing w:before="80" w:after="80"/>
      </w:pPr>
      <w:r>
        <w:rPr>
          <w:b/>
          <w:bCs/>
          <w:color w:val="1F5C99"/>
          <w:sz w:val="32"/>
          <w:szCs w:val="32"/>
        </w:rPr>
        <w:t>2. Dataset Overview</w:t>
      </w:r>
    </w:p>
    <w:p w14:paraId="7A3AB159" w14:textId="32E705F9" w:rsidR="00182C98" w:rsidRDefault="00000000" w:rsidP="00EE4E96">
      <w:pPr>
        <w:spacing w:before="80" w:after="80"/>
      </w:pPr>
      <w:r>
        <w:t>The dataset contains 1,200 rows and 22 features covering vehicle sales data across 10 countries, 3 vehicle segments (commercial, mass market, premium) and 16 years (2010-2025).</w:t>
      </w:r>
    </w:p>
    <w:p w14:paraId="38B2A123" w14:textId="77777777" w:rsidR="00182C98" w:rsidRDefault="00000000">
      <w:pPr>
        <w:pStyle w:val="Heading2"/>
      </w:pPr>
      <w:r>
        <w:t>2.1 Dataset Statistics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82C98" w14:paraId="3C14D8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C94A8" w14:textId="77777777" w:rsidR="00182C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FBBD0" w14:textId="77777777" w:rsidR="00182C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182C98" w14:paraId="621F8E9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954F2" w14:textId="77777777" w:rsidR="00182C98" w:rsidRDefault="00000000">
            <w:r>
              <w:rPr>
                <w:sz w:val="20"/>
                <w:szCs w:val="20"/>
              </w:rPr>
              <w:t>Total rows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C7132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1,200</w:t>
            </w:r>
          </w:p>
        </w:tc>
      </w:tr>
      <w:tr w:rsidR="00182C98" w14:paraId="1684B11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E0168" w14:textId="77777777" w:rsidR="00182C98" w:rsidRDefault="00000000">
            <w:r>
              <w:rPr>
                <w:sz w:val="20"/>
                <w:szCs w:val="20"/>
              </w:rPr>
              <w:t>Total features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8E8B9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</w:tr>
      <w:tr w:rsidR="00182C98" w14:paraId="7794AD8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A7574" w14:textId="77777777" w:rsidR="00182C98" w:rsidRDefault="00000000">
            <w:r>
              <w:rPr>
                <w:sz w:val="20"/>
                <w:szCs w:val="20"/>
              </w:rPr>
              <w:t>Countries covered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8CE08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</w:tr>
      <w:tr w:rsidR="00182C98" w14:paraId="2F01715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2A6E2" w14:textId="77777777" w:rsidR="00182C98" w:rsidRDefault="00000000">
            <w:r>
              <w:rPr>
                <w:sz w:val="20"/>
                <w:szCs w:val="20"/>
              </w:rPr>
              <w:t>Regions covered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8E978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182C98" w14:paraId="77466F3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6F5A4" w14:textId="77777777" w:rsidR="00182C98" w:rsidRDefault="00000000">
            <w:r>
              <w:rPr>
                <w:sz w:val="20"/>
                <w:szCs w:val="20"/>
              </w:rPr>
              <w:t>Vehicle segments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A9442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3 (commercial, mass market, premium)</w:t>
            </w:r>
          </w:p>
        </w:tc>
      </w:tr>
      <w:tr w:rsidR="00182C98" w14:paraId="59541A2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620AB" w14:textId="77777777" w:rsidR="00182C98" w:rsidRDefault="00000000">
            <w:r>
              <w:rPr>
                <w:sz w:val="20"/>
                <w:szCs w:val="20"/>
              </w:rPr>
              <w:t>Year range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0323D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2010 – 2025</w:t>
            </w:r>
          </w:p>
        </w:tc>
      </w:tr>
      <w:tr w:rsidR="00182C98" w14:paraId="69EC0E1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B919A" w14:textId="77777777" w:rsidR="00182C98" w:rsidRDefault="00000000">
            <w:r>
              <w:rPr>
                <w:sz w:val="20"/>
                <w:szCs w:val="20"/>
              </w:rPr>
              <w:t>Target variable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D6F1A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is_ev_dominant (binary: 0 or 1)</w:t>
            </w:r>
          </w:p>
        </w:tc>
      </w:tr>
      <w:tr w:rsidR="00182C98" w14:paraId="1B8C13A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55370" w14:textId="77777777" w:rsidR="00182C98" w:rsidRDefault="00000000">
            <w:r>
              <w:rPr>
                <w:sz w:val="20"/>
                <w:szCs w:val="20"/>
              </w:rPr>
              <w:t>Class imbalance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EA350" w14:textId="63DCE3EB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~98% class 0 ~2% class 1</w:t>
            </w:r>
          </w:p>
        </w:tc>
      </w:tr>
    </w:tbl>
    <w:p w14:paraId="693B8EEE" w14:textId="77777777" w:rsidR="00182C98" w:rsidRDefault="00000000">
      <w:pPr>
        <w:pStyle w:val="Heading1"/>
        <w:pBdr>
          <w:bottom w:val="single" w:sz="6" w:space="1" w:color="1F5C99"/>
        </w:pBdr>
      </w:pPr>
      <w:r>
        <w:t>3. Exploratory Data Analysis Insights</w:t>
      </w:r>
    </w:p>
    <w:p w14:paraId="2CE73F51" w14:textId="77777777" w:rsidR="00182C98" w:rsidRDefault="00000000">
      <w:pPr>
        <w:pStyle w:val="Heading2"/>
      </w:pPr>
      <w:r>
        <w:t>3.1 EV Market Share Growth Over Time</w:t>
      </w:r>
    </w:p>
    <w:p w14:paraId="3E74CDC2" w14:textId="2C208CA2" w:rsidR="00182C98" w:rsidRDefault="00000000">
      <w:pPr>
        <w:spacing w:before="80" w:after="80"/>
      </w:pPr>
      <w:r>
        <w:t>EV market share has grown consistently from near zero in 2010 to a global average of over 12% by 2025. The growth curve is exponential rather than linear with the most significant acceleration observed post-2018. This inflection point aligns with major government policy changes and the mass-market launch of affordable EVs.</w:t>
      </w:r>
    </w:p>
    <w:p w14:paraId="22066252" w14:textId="77777777" w:rsidR="00182C98" w:rsidRDefault="00182C98">
      <w:pPr>
        <w:spacing w:before="100" w:after="100"/>
      </w:pPr>
    </w:p>
    <w:p w14:paraId="69F6AB45" w14:textId="77777777" w:rsidR="00182C98" w:rsidRDefault="00000000">
      <w:pPr>
        <w:pStyle w:val="ListParagraph"/>
        <w:numPr>
          <w:ilvl w:val="0"/>
          <w:numId w:val="2"/>
        </w:numPr>
        <w:spacing w:before="60" w:after="60"/>
      </w:pPr>
      <w:r>
        <w:t>2010: Average EV market share &lt; 0.1% globally</w:t>
      </w:r>
    </w:p>
    <w:p w14:paraId="37155AD9" w14:textId="77777777" w:rsidR="00182C98" w:rsidRDefault="00000000">
      <w:pPr>
        <w:pStyle w:val="ListParagraph"/>
        <w:numPr>
          <w:ilvl w:val="0"/>
          <w:numId w:val="2"/>
        </w:numPr>
        <w:spacing w:before="60" w:after="60"/>
      </w:pPr>
      <w:r>
        <w:t>2015: Crossed 1% average in Europe for the first time</w:t>
      </w:r>
    </w:p>
    <w:p w14:paraId="494AF612" w14:textId="77777777" w:rsidR="00182C98" w:rsidRDefault="00000000">
      <w:pPr>
        <w:pStyle w:val="ListParagraph"/>
        <w:numPr>
          <w:ilvl w:val="0"/>
          <w:numId w:val="2"/>
        </w:numPr>
        <w:spacing w:before="60" w:after="60"/>
      </w:pPr>
      <w:r>
        <w:t>2020: Pandemic year saw a dip in overall vehicle sales but EV share increased due to lower petrol car demand</w:t>
      </w:r>
    </w:p>
    <w:p w14:paraId="5BCEF611" w14:textId="77777777" w:rsidR="00182C98" w:rsidRDefault="00000000">
      <w:pPr>
        <w:pStyle w:val="ListParagraph"/>
        <w:numPr>
          <w:ilvl w:val="0"/>
          <w:numId w:val="2"/>
        </w:numPr>
        <w:spacing w:before="60" w:after="60"/>
      </w:pPr>
      <w:r>
        <w:t>2022: First year where multiple market segments crossed 10% EV share</w:t>
      </w:r>
    </w:p>
    <w:p w14:paraId="249BB6FB" w14:textId="6AF81F85" w:rsidR="00182C98" w:rsidRDefault="00000000" w:rsidP="00860869">
      <w:pPr>
        <w:pStyle w:val="ListParagraph"/>
        <w:numPr>
          <w:ilvl w:val="0"/>
          <w:numId w:val="2"/>
        </w:numPr>
        <w:spacing w:before="60" w:after="60"/>
      </w:pPr>
      <w:r>
        <w:t>2025: Premium segment consistently shows the highest EV adoption across all regions</w:t>
      </w:r>
    </w:p>
    <w:p w14:paraId="1F4C0592" w14:textId="77777777" w:rsidR="00E938BA" w:rsidRDefault="00000000" w:rsidP="00E938BA">
      <w:pPr>
        <w:pStyle w:val="Heading2"/>
      </w:pPr>
      <w:r>
        <w:t>3.2 Regional Performance</w:t>
      </w:r>
    </w:p>
    <w:p w14:paraId="7331EC73" w14:textId="77BFE9A8" w:rsidR="00182C98" w:rsidRPr="00E938BA" w:rsidRDefault="00000000" w:rsidP="00E938BA">
      <w:pPr>
        <w:pStyle w:val="Heading2"/>
        <w:rPr>
          <w:b w:val="0"/>
          <w:bCs w:val="0"/>
          <w:color w:val="000000" w:themeColor="text1"/>
        </w:rPr>
      </w:pPr>
      <w:r w:rsidRPr="00E938BA">
        <w:rPr>
          <w:b w:val="0"/>
          <w:bCs w:val="0"/>
          <w:color w:val="000000" w:themeColor="text1"/>
          <w:sz w:val="22"/>
          <w:szCs w:val="22"/>
        </w:rPr>
        <w:t>Europe dominates total EV adoption in absolute terms but APAC (led by China) shows the fastest year-on-year growth rate.</w:t>
      </w:r>
    </w:p>
    <w:p w14:paraId="5D48F235" w14:textId="77777777" w:rsidR="00182C98" w:rsidRDefault="00182C98">
      <w:pPr>
        <w:spacing w:before="100" w:after="100"/>
      </w:pP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2860"/>
      </w:tblGrid>
      <w:tr w:rsidR="00182C98" w14:paraId="31C498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0D3F6" w14:textId="77777777" w:rsidR="00182C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Region</w:t>
            </w:r>
          </w:p>
        </w:tc>
        <w:tc>
          <w:tcPr>
            <w:tcW w:w="35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0761C" w14:textId="77777777" w:rsidR="00182C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EV Market Share (2010-2025)</w:t>
            </w:r>
          </w:p>
        </w:tc>
        <w:tc>
          <w:tcPr>
            <w:tcW w:w="28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FDFAC" w14:textId="77777777" w:rsidR="00182C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Growth Rate</w:t>
            </w:r>
          </w:p>
        </w:tc>
      </w:tr>
      <w:tr w:rsidR="00182C98" w14:paraId="079BBC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F6B51" w14:textId="77777777" w:rsidR="00182C98" w:rsidRDefault="00000000">
            <w:r>
              <w:rPr>
                <w:sz w:val="20"/>
                <w:szCs w:val="20"/>
              </w:rPr>
              <w:t>Europe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4E9AD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6,234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5773A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Highest absolute volume</w:t>
            </w:r>
          </w:p>
        </w:tc>
      </w:tr>
      <w:tr w:rsidR="00182C98" w14:paraId="641DDD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59D17" w14:textId="77777777" w:rsidR="00182C98" w:rsidRDefault="00000000">
            <w:r>
              <w:rPr>
                <w:sz w:val="20"/>
                <w:szCs w:val="20"/>
              </w:rPr>
              <w:t>APAC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87F27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845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2E87D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Fastest YoY growth post-2020</w:t>
            </w:r>
          </w:p>
        </w:tc>
      </w:tr>
      <w:tr w:rsidR="00182C98" w14:paraId="5DC16A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4B0E3" w14:textId="77777777" w:rsidR="00182C98" w:rsidRDefault="00000000">
            <w:r>
              <w:rPr>
                <w:sz w:val="20"/>
                <w:szCs w:val="20"/>
              </w:rPr>
              <w:t>North America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2D340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367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F0F7A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Steady consistent growth</w:t>
            </w:r>
          </w:p>
        </w:tc>
      </w:tr>
      <w:tr w:rsidR="00182C98" w14:paraId="05A818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EE081" w14:textId="77777777" w:rsidR="00182C98" w:rsidRDefault="00000000">
            <w:r>
              <w:rPr>
                <w:sz w:val="20"/>
                <w:szCs w:val="20"/>
              </w:rPr>
              <w:t>Oceania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7A4BC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119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77B0B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Accelerating since 2022</w:t>
            </w:r>
          </w:p>
        </w:tc>
      </w:tr>
      <w:tr w:rsidR="00182C98" w14:paraId="6ABDFC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FCC3B" w14:textId="77777777" w:rsidR="00182C98" w:rsidRDefault="00000000">
            <w:r>
              <w:rPr>
                <w:sz w:val="20"/>
                <w:szCs w:val="20"/>
              </w:rPr>
              <w:t>South America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ABA2A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49B13" w14:textId="1873C4D3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Emerging market early stage</w:t>
            </w:r>
          </w:p>
        </w:tc>
      </w:tr>
    </w:tbl>
    <w:p w14:paraId="5E5520B7" w14:textId="77777777" w:rsidR="00182C98" w:rsidRDefault="00000000">
      <w:pPr>
        <w:pStyle w:val="Heading1"/>
        <w:pBdr>
          <w:bottom w:val="single" w:sz="6" w:space="1" w:color="1F5C99"/>
        </w:pBdr>
      </w:pPr>
      <w:r>
        <w:t>4. Feature Engineering</w:t>
      </w:r>
    </w:p>
    <w:p w14:paraId="02D4E234" w14:textId="77777777" w:rsidR="00182C98" w:rsidRDefault="00000000">
      <w:pPr>
        <w:spacing w:before="80" w:after="80"/>
      </w:pPr>
      <w:r>
        <w:t>Three new features were engineered from existing columns to provide more signal to the machine learning models:</w:t>
      </w:r>
    </w:p>
    <w:p w14:paraId="3BF69093" w14:textId="77777777" w:rsidR="00182C98" w:rsidRDefault="00182C98">
      <w:pPr>
        <w:spacing w:before="100" w:after="100"/>
      </w:pP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4"/>
        <w:gridCol w:w="3346"/>
        <w:gridCol w:w="2750"/>
      </w:tblGrid>
      <w:tr w:rsidR="00182C98" w14:paraId="63CE03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52D45" w14:textId="77777777" w:rsidR="00182C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5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6A70E" w14:textId="77777777" w:rsidR="00182C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28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388A5" w14:textId="77777777" w:rsidR="00182C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Insight</w:t>
            </w:r>
          </w:p>
        </w:tc>
      </w:tr>
      <w:tr w:rsidR="00182C98" w14:paraId="4382FB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90C01" w14:textId="77777777" w:rsidR="00182C98" w:rsidRDefault="00000000">
            <w:r>
              <w:rPr>
                <w:sz w:val="20"/>
                <w:szCs w:val="20"/>
              </w:rPr>
              <w:t>calculated_ev_share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E7FA4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ev_sales / total_vehicle_sales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3AB64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More precise EV penetration ratio than the reported ev_market_share</w:t>
            </w:r>
          </w:p>
        </w:tc>
      </w:tr>
      <w:tr w:rsidR="00182C98" w14:paraId="1387F2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9D8AD" w14:textId="77777777" w:rsidR="00182C98" w:rsidRDefault="00000000">
            <w:r>
              <w:rPr>
                <w:sz w:val="20"/>
                <w:szCs w:val="20"/>
              </w:rPr>
              <w:t>chargers_per_100l_sales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A2E6D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(charging_stations / total_vehicle_sales) x 100,000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3F3AD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Captures infrastructure density relative to market size</w:t>
            </w:r>
          </w:p>
        </w:tc>
      </w:tr>
      <w:tr w:rsidR="00182C98" w14:paraId="18FC1D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CD8E8" w14:textId="77777777" w:rsidR="00182C98" w:rsidRDefault="00000000">
            <w:r>
              <w:rPr>
                <w:sz w:val="20"/>
                <w:szCs w:val="20"/>
              </w:rPr>
              <w:t>fuel_to_electricity_cost_ratio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A2735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fuel_price / electricity_price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ED772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Higher ratio = EVs are more cost-competitive; key adoption driver</w:t>
            </w:r>
          </w:p>
        </w:tc>
      </w:tr>
    </w:tbl>
    <w:p w14:paraId="1AFC5084" w14:textId="77777777" w:rsidR="00182C98" w:rsidRDefault="00182C98">
      <w:pPr>
        <w:spacing w:before="100" w:after="100"/>
      </w:pPr>
    </w:p>
    <w:p w14:paraId="6EAD3443" w14:textId="6CB29708" w:rsidR="00182C98" w:rsidRDefault="00000000" w:rsidP="00860869">
      <w:pPr>
        <w:spacing w:before="80" w:after="80"/>
      </w:pPr>
      <w:r>
        <w:t>The fuel_to_electricity_cost_ratio is particularly insightful  countries with ratios above 6.0 consistently show faster EV adoption, suggesting that running cost parity is a tipping point for consumer decisions.</w:t>
      </w:r>
    </w:p>
    <w:p w14:paraId="5D8E189E" w14:textId="3970047D" w:rsidR="00182C98" w:rsidRDefault="00000000" w:rsidP="00E938BA">
      <w:pPr>
        <w:pStyle w:val="Heading1"/>
        <w:pBdr>
          <w:bottom w:val="single" w:sz="6" w:space="1" w:color="1F5C99"/>
        </w:pBdr>
      </w:pPr>
      <w:r>
        <w:t>5. Machine Learning Model Insights</w:t>
      </w:r>
    </w:p>
    <w:p w14:paraId="2F535558" w14:textId="6D809A4A" w:rsidR="00182C98" w:rsidRDefault="00000000">
      <w:pPr>
        <w:pStyle w:val="Heading2"/>
      </w:pPr>
      <w:r>
        <w:t>5.</w:t>
      </w:r>
      <w:r w:rsidR="00E938BA">
        <w:t>1</w:t>
      </w:r>
      <w:r>
        <w:t xml:space="preserve"> Model Performance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180"/>
        <w:gridCol w:w="3180"/>
      </w:tblGrid>
      <w:tr w:rsidR="00182C98" w14:paraId="2334A8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DD2AF" w14:textId="77777777" w:rsidR="00182C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18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84283" w14:textId="77777777" w:rsidR="00182C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Logistic Regression</w:t>
            </w:r>
          </w:p>
        </w:tc>
        <w:tc>
          <w:tcPr>
            <w:tcW w:w="318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C8B9C" w14:textId="77777777" w:rsidR="00182C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Random Forest</w:t>
            </w:r>
          </w:p>
        </w:tc>
      </w:tr>
      <w:tr w:rsidR="00182C98" w14:paraId="6102D0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B65E1" w14:textId="77777777" w:rsidR="00182C98" w:rsidRDefault="00000000">
            <w:r>
              <w:rPr>
                <w:sz w:val="20"/>
                <w:szCs w:val="20"/>
              </w:rPr>
              <w:t>Accuracy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032C5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97.2%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874BA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98.3%</w:t>
            </w:r>
          </w:p>
        </w:tc>
      </w:tr>
      <w:tr w:rsidR="00182C98" w14:paraId="1F2B68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80DB5" w14:textId="77777777" w:rsidR="00182C98" w:rsidRDefault="00000000">
            <w:r>
              <w:rPr>
                <w:sz w:val="20"/>
                <w:szCs w:val="20"/>
              </w:rPr>
              <w:t>ROC-AUC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2B2AC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0.49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D22C4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0.66</w:t>
            </w:r>
          </w:p>
        </w:tc>
      </w:tr>
      <w:tr w:rsidR="00182C98" w14:paraId="33EEB9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5C8C5" w14:textId="77777777" w:rsidR="00182C98" w:rsidRDefault="00000000">
            <w:r>
              <w:rPr>
                <w:sz w:val="20"/>
                <w:szCs w:val="20"/>
              </w:rPr>
              <w:t>F1 Score (macro)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41C2A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0.49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92EA1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0.70</w:t>
            </w:r>
          </w:p>
        </w:tc>
      </w:tr>
      <w:tr w:rsidR="00182C98" w14:paraId="38682C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568CC" w14:textId="77777777" w:rsidR="00182C98" w:rsidRDefault="00000000">
            <w:r>
              <w:rPr>
                <w:sz w:val="20"/>
                <w:szCs w:val="20"/>
              </w:rPr>
              <w:t>F1 Score (class 1)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23BD1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0.00 (before fix)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D955F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0.40 (after fix)</w:t>
            </w:r>
          </w:p>
        </w:tc>
      </w:tr>
      <w:tr w:rsidR="00182C98" w14:paraId="48515B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3FCA4" w14:textId="77777777" w:rsidR="00182C98" w:rsidRDefault="00000000">
            <w:r>
              <w:rPr>
                <w:sz w:val="20"/>
                <w:szCs w:val="20"/>
              </w:rPr>
              <w:t>Precision (class 1)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FD2D4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0.00 (before fix)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7F225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0.50 (after fix)</w:t>
            </w:r>
          </w:p>
        </w:tc>
      </w:tr>
      <w:tr w:rsidR="00182C98" w14:paraId="53257B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73A22" w14:textId="77777777" w:rsidR="00182C98" w:rsidRDefault="00000000">
            <w:r>
              <w:rPr>
                <w:sz w:val="20"/>
                <w:szCs w:val="20"/>
              </w:rPr>
              <w:t>Recall (class 1)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E22EA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0.00 (before fix)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E2887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0.33 (after fix)</w:t>
            </w:r>
          </w:p>
        </w:tc>
      </w:tr>
    </w:tbl>
    <w:p w14:paraId="5FFB7595" w14:textId="77777777" w:rsidR="00182C98" w:rsidRDefault="00182C98">
      <w:pPr>
        <w:spacing w:before="100" w:after="100"/>
      </w:pPr>
    </w:p>
    <w:p w14:paraId="7C7FD160" w14:textId="4686FF38" w:rsidR="00182C98" w:rsidRDefault="00000000" w:rsidP="00860869">
      <w:pPr>
        <w:spacing w:before="80" w:after="80"/>
      </w:pPr>
      <w:r>
        <w:t xml:space="preserve">Random Forest significantly outperforms Logistic Regression on all meaningful metrics. The ROC-AUC of 0.66 vs 0.49 is the most telling comparison Logistic Regression performed worse than random guessing on the positive </w:t>
      </w:r>
      <w:r w:rsidR="00903376">
        <w:t>,</w:t>
      </w:r>
      <w:r>
        <w:t>class before the class balancing fix.</w:t>
      </w:r>
    </w:p>
    <w:p w14:paraId="0A257547" w14:textId="79ABF719" w:rsidR="00182C98" w:rsidRDefault="00000000" w:rsidP="00E938BA">
      <w:pPr>
        <w:pStyle w:val="Heading2"/>
      </w:pPr>
      <w:r>
        <w:lastRenderedPageBreak/>
        <w:t>5.3 Feature Importance (Random Forest)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0"/>
        <w:gridCol w:w="2920"/>
        <w:gridCol w:w="2129"/>
        <w:gridCol w:w="3581"/>
      </w:tblGrid>
      <w:tr w:rsidR="00182C98" w14:paraId="6F0469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0D951" w14:textId="77777777" w:rsidR="00182C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Rank</w:t>
            </w:r>
          </w:p>
        </w:tc>
        <w:tc>
          <w:tcPr>
            <w:tcW w:w="28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DDEED" w14:textId="77777777" w:rsidR="00182C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E1685" w14:textId="77777777" w:rsidR="00182C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Importance Score</w:t>
            </w:r>
          </w:p>
        </w:tc>
        <w:tc>
          <w:tcPr>
            <w:tcW w:w="37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2BFC9" w14:textId="77777777" w:rsidR="00182C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 w:rsidR="00182C98" w14:paraId="046A3C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481A7" w14:textId="77777777" w:rsidR="00182C9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E9918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emission_regulation_score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3F4C1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0.326 (32.6%)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14B16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Strictest driver — policy matters most</w:t>
            </w:r>
          </w:p>
        </w:tc>
      </w:tr>
      <w:tr w:rsidR="00182C98" w14:paraId="552E41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3767F" w14:textId="77777777" w:rsidR="00182C98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5D9D3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gdp_per_capita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25EE0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0.198 (19.8%)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E8E85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Wealth enables EV adoption</w:t>
            </w:r>
          </w:p>
        </w:tc>
      </w:tr>
      <w:tr w:rsidR="00182C98" w14:paraId="0BD3E1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C47FE" w14:textId="77777777" w:rsidR="00182C98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2C260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fuel_price_usd_per_liter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7B451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0.127 (12.7%)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D604A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Higher petrol cost boosts EV appeal</w:t>
            </w:r>
          </w:p>
        </w:tc>
      </w:tr>
      <w:tr w:rsidR="00182C98" w14:paraId="622FDD6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DBEC2" w14:textId="77777777" w:rsidR="00182C9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C0F2A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electricity_price_usd_per_kwh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E8D4E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0.115 (11.5%)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FDB60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Lower electricity = cheaper to run EVs</w:t>
            </w:r>
          </w:p>
        </w:tc>
      </w:tr>
      <w:tr w:rsidR="00182C98" w14:paraId="0F8156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D5EB4" w14:textId="77777777" w:rsidR="00182C98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7189F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charging_stations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887EC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0.107 (10.7%)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31B77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Infrastructure is a prerequisite</w:t>
            </w:r>
          </w:p>
        </w:tc>
      </w:tr>
      <w:tr w:rsidR="00182C98" w14:paraId="651812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36E5D" w14:textId="77777777" w:rsidR="00182C98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DD6A2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urban_population_percent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FA73E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0.070 (7.0%)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FDDAD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Urban density supports EV use</w:t>
            </w:r>
          </w:p>
        </w:tc>
      </w:tr>
      <w:tr w:rsidR="00182C98" w14:paraId="1228721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47F4E" w14:textId="77777777" w:rsidR="00182C98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4C394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ev_subsidy_usd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FE25A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0.057 (5.7%)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B6B84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Subsidies help but are least critical</w:t>
            </w:r>
          </w:p>
        </w:tc>
      </w:tr>
    </w:tbl>
    <w:p w14:paraId="32F23D1B" w14:textId="77777777" w:rsidR="00182C98" w:rsidRDefault="00000000">
      <w:pPr>
        <w:pStyle w:val="Heading2"/>
      </w:pPr>
      <w:r>
        <w:t>5.4 Confusion Matrix Analysis</w:t>
      </w:r>
    </w:p>
    <w:p w14:paraId="4C034DAB" w14:textId="34068756" w:rsidR="00182C98" w:rsidRDefault="00000000" w:rsidP="00E938BA">
      <w:pPr>
        <w:spacing w:before="80" w:after="80"/>
      </w:pPr>
      <w:r>
        <w:t>Random Forest Confusion Matrix (test set: 2023-2025):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80"/>
        <w:gridCol w:w="3080"/>
      </w:tblGrid>
      <w:tr w:rsidR="00182C98" w14:paraId="1C1EEC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76806" w14:textId="77777777" w:rsidR="00182C98" w:rsidRDefault="00182C98">
            <w:pPr>
              <w:jc w:val="center"/>
            </w:pPr>
          </w:p>
        </w:tc>
        <w:tc>
          <w:tcPr>
            <w:tcW w:w="308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E6BEC" w14:textId="77777777" w:rsidR="00182C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Predicted: Not Dominant</w:t>
            </w:r>
          </w:p>
        </w:tc>
        <w:tc>
          <w:tcPr>
            <w:tcW w:w="308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F09FB" w14:textId="77777777" w:rsidR="00182C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Predicted: EV Dominant</w:t>
            </w:r>
          </w:p>
        </w:tc>
      </w:tr>
      <w:tr w:rsidR="00182C98" w14:paraId="686E87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F4FCF" w14:textId="77777777" w:rsidR="00182C98" w:rsidRDefault="00000000">
            <w:r>
              <w:rPr>
                <w:sz w:val="20"/>
                <w:szCs w:val="20"/>
              </w:rPr>
              <w:t>Actual: Not Dominant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5A225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352 (True Negative)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A5F7F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2 (False Positive)</w:t>
            </w:r>
          </w:p>
        </w:tc>
      </w:tr>
      <w:tr w:rsidR="00182C98" w14:paraId="351983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92142" w14:textId="77777777" w:rsidR="00182C98" w:rsidRDefault="00000000">
            <w:r>
              <w:rPr>
                <w:sz w:val="20"/>
                <w:szCs w:val="20"/>
              </w:rPr>
              <w:t>Actual: EV Dominant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DD916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4 (False Negative)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E016C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2 (True Positive)</w:t>
            </w:r>
          </w:p>
        </w:tc>
      </w:tr>
    </w:tbl>
    <w:p w14:paraId="3060A5D9" w14:textId="7982B220" w:rsidR="00182C98" w:rsidRDefault="00000000" w:rsidP="00E938BA">
      <w:pPr>
        <w:spacing w:before="80" w:after="80"/>
      </w:pPr>
      <w:r>
        <w:t>The model correctly identified 2 out of 6 actual EV-dominant cases (33% recall). Given the extreme rarity of positive cases in the test period (2023-2025 is still early for full dominance), this represents a meaningful improvement over the baseline model which detected zero positive cases.</w:t>
      </w:r>
    </w:p>
    <w:p w14:paraId="06C73872" w14:textId="77777777" w:rsidR="00182C98" w:rsidRDefault="00000000">
      <w:pPr>
        <w:pStyle w:val="Heading1"/>
        <w:pBdr>
          <w:bottom w:val="single" w:sz="6" w:space="1" w:color="1F5C99"/>
        </w:pBdr>
      </w:pPr>
      <w:r>
        <w:t>6. Power BI Dashboard Insights</w:t>
      </w:r>
    </w:p>
    <w:p w14:paraId="1233DCD1" w14:textId="25F86532" w:rsidR="00182C98" w:rsidRDefault="00000000" w:rsidP="00E938BA">
      <w:pPr>
        <w:spacing w:before="80" w:after="80"/>
      </w:pPr>
      <w:r>
        <w:t>The 5-page interactive Power BI dashboard revealed several additional insights not immediately visible from raw model outputs:</w:t>
      </w:r>
    </w:p>
    <w:p w14:paraId="6AAB0B1A" w14:textId="77777777" w:rsidR="00182C98" w:rsidRDefault="00000000">
      <w:pPr>
        <w:pStyle w:val="Heading2"/>
      </w:pPr>
      <w:r>
        <w:t>6.1 Geographic Concentration</w:t>
      </w:r>
    </w:p>
    <w:p w14:paraId="3ED5C1BB" w14:textId="77777777" w:rsidR="00182C98" w:rsidRDefault="00000000">
      <w:pPr>
        <w:pStyle w:val="ListParagraph"/>
        <w:numPr>
          <w:ilvl w:val="0"/>
          <w:numId w:val="2"/>
        </w:numPr>
        <w:spacing w:before="60" w:after="60"/>
      </w:pPr>
      <w:r>
        <w:t>EV sales are heavily concentrated in Europe and East Asia — North America shows surprisingly slow adoption relative to its GDP per capita</w:t>
      </w:r>
    </w:p>
    <w:p w14:paraId="2F40E029" w14:textId="59B584B6" w:rsidR="00182C98" w:rsidRDefault="00000000" w:rsidP="00860869">
      <w:pPr>
        <w:pStyle w:val="ListParagraph"/>
        <w:numPr>
          <w:ilvl w:val="0"/>
          <w:numId w:val="2"/>
        </w:numPr>
        <w:spacing w:before="60" w:after="60"/>
      </w:pPr>
      <w:r>
        <w:t>South America and Africa have negligible EV presence, driven by low emission regulation scores and limited charging infrastructure</w:t>
      </w:r>
    </w:p>
    <w:p w14:paraId="66E4645A" w14:textId="77777777" w:rsidR="00182C98" w:rsidRDefault="00000000">
      <w:pPr>
        <w:pStyle w:val="Heading2"/>
      </w:pPr>
      <w:r>
        <w:t>6.2 CO2 Emissions Trend</w:t>
      </w:r>
    </w:p>
    <w:p w14:paraId="62EABA44" w14:textId="77777777" w:rsidR="00182C98" w:rsidRDefault="00000000">
      <w:pPr>
        <w:pStyle w:val="ListParagraph"/>
        <w:numPr>
          <w:ilvl w:val="0"/>
          <w:numId w:val="2"/>
        </w:numPr>
        <w:spacing w:before="60" w:after="60"/>
      </w:pPr>
      <w:r>
        <w:t>Despite growing EV adoption, total CO2 emissions from transport fluctuate between 13K-15K MT with no clear downward trend yet</w:t>
      </w:r>
    </w:p>
    <w:p w14:paraId="1EF5747B" w14:textId="59F90FF6" w:rsidR="00182C98" w:rsidRDefault="00000000" w:rsidP="00860869">
      <w:pPr>
        <w:pStyle w:val="ListParagraph"/>
        <w:numPr>
          <w:ilvl w:val="0"/>
          <w:numId w:val="2"/>
        </w:numPr>
        <w:spacing w:before="60" w:after="60"/>
      </w:pPr>
      <w:r>
        <w:t>This lag suggests the EV fleet is still too small to materially impact total transport emissions — the transition is still early stage</w:t>
      </w:r>
    </w:p>
    <w:p w14:paraId="498262DB" w14:textId="77777777" w:rsidR="00182C98" w:rsidRDefault="00000000">
      <w:pPr>
        <w:pStyle w:val="Heading2"/>
      </w:pPr>
      <w:r>
        <w:t>6.3 Charging Infrastructure vs Fuel Price</w:t>
      </w:r>
    </w:p>
    <w:p w14:paraId="2A175309" w14:textId="77777777" w:rsidR="00182C98" w:rsidRDefault="00000000">
      <w:pPr>
        <w:pStyle w:val="ListParagraph"/>
        <w:numPr>
          <w:ilvl w:val="0"/>
          <w:numId w:val="2"/>
        </w:numPr>
        <w:spacing w:before="60" w:after="60"/>
      </w:pPr>
      <w:r>
        <w:t>Countries with both high fuel prices AND high charging station density show the steepest EV adoption curves</w:t>
      </w:r>
    </w:p>
    <w:p w14:paraId="3B7FA010" w14:textId="03664078" w:rsidR="00182C98" w:rsidRDefault="00000000" w:rsidP="00860869">
      <w:pPr>
        <w:pStyle w:val="ListParagraph"/>
        <w:numPr>
          <w:ilvl w:val="0"/>
          <w:numId w:val="2"/>
        </w:numPr>
        <w:spacing w:before="60" w:after="60"/>
      </w:pPr>
      <w:r>
        <w:t>Fuel price alone without infrastructure does not drive dominance — both are needed simultaneously</w:t>
      </w:r>
    </w:p>
    <w:p w14:paraId="2A2C4B7F" w14:textId="77777777" w:rsidR="00182C98" w:rsidRDefault="00000000">
      <w:pPr>
        <w:pStyle w:val="Heading2"/>
      </w:pPr>
      <w:r>
        <w:t>6.4 EV Dominance Distribution</w:t>
      </w:r>
    </w:p>
    <w:p w14:paraId="00591E22" w14:textId="77777777" w:rsidR="00182C98" w:rsidRDefault="00000000">
      <w:pPr>
        <w:pStyle w:val="ListParagraph"/>
        <w:numPr>
          <w:ilvl w:val="0"/>
          <w:numId w:val="2"/>
        </w:numPr>
        <w:spacing w:before="60" w:after="60"/>
      </w:pPr>
      <w:r>
        <w:t>92.5% of all market-segment-year combinations are non-dominant (is_ev_dominant = 0)</w:t>
      </w:r>
    </w:p>
    <w:p w14:paraId="073A4B53" w14:textId="2AEEB46C" w:rsidR="00182C98" w:rsidRDefault="00000000" w:rsidP="00860869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This directly explains the class imbalance problem in the ML models and validates the need for balanced class weights</w:t>
      </w:r>
    </w:p>
    <w:p w14:paraId="57E79FD1" w14:textId="228C5CBE" w:rsidR="00182C98" w:rsidRDefault="00000000" w:rsidP="00860869">
      <w:pPr>
        <w:pStyle w:val="Heading1"/>
        <w:pBdr>
          <w:bottom w:val="single" w:sz="6" w:space="1" w:color="1F5C99"/>
        </w:pBdr>
      </w:pPr>
      <w:r>
        <w:t>7. Key Conclusions &amp; Recommendations</w:t>
      </w:r>
    </w:p>
    <w:p w14:paraId="6BEAFAE7" w14:textId="77777777" w:rsidR="00182C98" w:rsidRDefault="00000000">
      <w:pPr>
        <w:pStyle w:val="Heading2"/>
      </w:pPr>
      <w:r>
        <w:t>7.1 What Drives EV Adoption</w:t>
      </w:r>
    </w:p>
    <w:p w14:paraId="445BBB0D" w14:textId="04C3F73E" w:rsidR="00182C98" w:rsidRDefault="00000000" w:rsidP="00860869">
      <w:pPr>
        <w:spacing w:before="80" w:after="80"/>
      </w:pPr>
      <w:r>
        <w:t>Based on the combined analysis from EDA, feature importance, and dashboard insights, the hierarchy of EV adoption drivers is:</w:t>
      </w:r>
    </w:p>
    <w:p w14:paraId="0E23C648" w14:textId="77777777" w:rsidR="00182C98" w:rsidRDefault="00000000">
      <w:pPr>
        <w:pStyle w:val="ListParagraph"/>
        <w:numPr>
          <w:ilvl w:val="0"/>
          <w:numId w:val="2"/>
        </w:numPr>
        <w:spacing w:before="60" w:after="60"/>
      </w:pPr>
      <w:r>
        <w:t>1st — Government policy (emission regulations): The most powerful lever. Countries with strict emission standards consistently lead adoption.</w:t>
      </w:r>
    </w:p>
    <w:p w14:paraId="0D7A627F" w14:textId="77777777" w:rsidR="00182C98" w:rsidRDefault="00000000">
      <w:pPr>
        <w:pStyle w:val="ListParagraph"/>
        <w:numPr>
          <w:ilvl w:val="0"/>
          <w:numId w:val="2"/>
        </w:numPr>
        <w:spacing w:before="60" w:after="60"/>
      </w:pPr>
      <w:r>
        <w:t>2nd — Economic wealth (GDP per capita): Wealthier populations can absorb the price premium of EVs.</w:t>
      </w:r>
    </w:p>
    <w:p w14:paraId="2B21474E" w14:textId="77777777" w:rsidR="00182C98" w:rsidRDefault="00000000">
      <w:pPr>
        <w:pStyle w:val="ListParagraph"/>
        <w:numPr>
          <w:ilvl w:val="0"/>
          <w:numId w:val="2"/>
        </w:numPr>
        <w:spacing w:before="60" w:after="60"/>
      </w:pPr>
      <w:r>
        <w:t>3rd — Running cost economics (fuel vs electricity price ratio): When petrol costs significantly more than electricity to run equivalent distance, consumers switch.</w:t>
      </w:r>
    </w:p>
    <w:p w14:paraId="36B93269" w14:textId="77777777" w:rsidR="00182C98" w:rsidRDefault="00000000">
      <w:pPr>
        <w:pStyle w:val="ListParagraph"/>
        <w:numPr>
          <w:ilvl w:val="0"/>
          <w:numId w:val="2"/>
        </w:numPr>
        <w:spacing w:before="60" w:after="60"/>
      </w:pPr>
      <w:r>
        <w:t>4th — Infrastructure (charging stations): A prerequisite threshold — adoption stalls without adequate charging networks.</w:t>
      </w:r>
    </w:p>
    <w:p w14:paraId="2F2DB8F1" w14:textId="1077B285" w:rsidR="00182C98" w:rsidRDefault="00000000" w:rsidP="00860869">
      <w:pPr>
        <w:pStyle w:val="ListParagraph"/>
        <w:numPr>
          <w:ilvl w:val="0"/>
          <w:numId w:val="2"/>
        </w:numPr>
        <w:spacing w:before="60" w:after="60"/>
      </w:pPr>
      <w:r>
        <w:t>5th — Subsidies: Helpful but insufficient alone. They accelerate adoption but cannot substitute for policy and infrastructure.</w:t>
      </w:r>
    </w:p>
    <w:p w14:paraId="7D90C736" w14:textId="2EE6F307" w:rsidR="00182C98" w:rsidRDefault="00000000">
      <w:pPr>
        <w:pStyle w:val="Heading2"/>
      </w:pPr>
      <w:r>
        <w:t>7.</w:t>
      </w:r>
      <w:r w:rsidR="00B73F54">
        <w:t>2</w:t>
      </w:r>
      <w:r>
        <w:t xml:space="preserve"> Business &amp; Policy Implications</w:t>
      </w:r>
    </w:p>
    <w:p w14:paraId="36374B5E" w14:textId="4C1B1D34" w:rsidR="00182C98" w:rsidRDefault="00000000">
      <w:pPr>
        <w:pStyle w:val="ListParagraph"/>
        <w:numPr>
          <w:ilvl w:val="0"/>
          <w:numId w:val="2"/>
        </w:numPr>
        <w:spacing w:before="60" w:after="60"/>
      </w:pPr>
      <w:r>
        <w:t>Automakers should prioritize premium segment EV launches first  highest adoption probability and margin</w:t>
      </w:r>
    </w:p>
    <w:p w14:paraId="02532C98" w14:textId="77777777" w:rsidR="00182C98" w:rsidRDefault="00000000">
      <w:pPr>
        <w:pStyle w:val="ListParagraph"/>
        <w:numPr>
          <w:ilvl w:val="0"/>
          <w:numId w:val="2"/>
        </w:numPr>
        <w:spacing w:before="60" w:after="60"/>
      </w:pPr>
      <w:r>
        <w:t>Governments seeking to accelerate EV adoption should focus on emission regulation tightening over pure subsidy programs</w:t>
      </w:r>
    </w:p>
    <w:p w14:paraId="4BE275B8" w14:textId="6794A216" w:rsidR="00182C98" w:rsidRDefault="00000000">
      <w:pPr>
        <w:pStyle w:val="ListParagraph"/>
        <w:numPr>
          <w:ilvl w:val="0"/>
          <w:numId w:val="2"/>
        </w:numPr>
        <w:spacing w:before="60" w:after="60"/>
      </w:pPr>
      <w:r>
        <w:t>Infrastructure investment in charging networks is a prerequisite markets with &lt; 500 chargers show near-zero dominance probability</w:t>
      </w:r>
    </w:p>
    <w:p w14:paraId="64ACFEB2" w14:textId="38A939F7" w:rsidR="00182C98" w:rsidRDefault="00E938BA">
      <w:pPr>
        <w:pStyle w:val="Heading1"/>
        <w:pBdr>
          <w:bottom w:val="single" w:sz="6" w:space="1" w:color="1F5C99"/>
        </w:pBdr>
      </w:pPr>
      <w:r>
        <w:t>8</w:t>
      </w:r>
      <w:r w:rsidR="00000000">
        <w:t>. Tools &amp; Technologies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82C98" w14:paraId="347894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3E5E7" w14:textId="77777777" w:rsidR="00182C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6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7B6B2" w14:textId="77777777" w:rsidR="00182C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182C98" w14:paraId="6D179D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636DC" w14:textId="10B425A4" w:rsidR="00182C98" w:rsidRDefault="00000000">
            <w:r>
              <w:rPr>
                <w:sz w:val="20"/>
                <w:szCs w:val="20"/>
              </w:rPr>
              <w:t xml:space="preserve">Python 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35D1C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Core data processing and machine learning</w:t>
            </w:r>
          </w:p>
        </w:tc>
      </w:tr>
      <w:tr w:rsidR="00182C98" w14:paraId="498887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A4534" w14:textId="77777777" w:rsidR="00182C98" w:rsidRDefault="00000000">
            <w:r>
              <w:rPr>
                <w:sz w:val="20"/>
                <w:szCs w:val="20"/>
              </w:rPr>
              <w:t>Pandas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DBFEC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Data cleaning, transformation, feature engineering</w:t>
            </w:r>
          </w:p>
        </w:tc>
      </w:tr>
      <w:tr w:rsidR="00182C98" w14:paraId="6CF653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08CD5" w14:textId="77777777" w:rsidR="00182C98" w:rsidRDefault="00000000">
            <w:r>
              <w:rPr>
                <w:sz w:val="20"/>
                <w:szCs w:val="20"/>
              </w:rPr>
              <w:t>Scikit-learn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77BD4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Logistic Regression, Random Forest, evaluation metrics</w:t>
            </w:r>
          </w:p>
        </w:tc>
      </w:tr>
      <w:tr w:rsidR="00182C98" w14:paraId="4DFE68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01267" w14:textId="77777777" w:rsidR="00182C98" w:rsidRDefault="00000000">
            <w:r>
              <w:rPr>
                <w:sz w:val="20"/>
                <w:szCs w:val="20"/>
              </w:rPr>
              <w:t>Matplotlib &amp; Seaborn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ECCAA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EDA visualizations (line charts, heatmaps, confusion matrices)</w:t>
            </w:r>
          </w:p>
        </w:tc>
      </w:tr>
      <w:tr w:rsidR="00182C98" w14:paraId="7D544D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9BF51" w14:textId="77777777" w:rsidR="00182C98" w:rsidRDefault="00000000">
            <w:r>
              <w:rPr>
                <w:sz w:val="20"/>
                <w:szCs w:val="20"/>
              </w:rPr>
              <w:t>Power BI Desktop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D5A0C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Interactive 5-page dashboard with slicers and maps</w:t>
            </w:r>
          </w:p>
        </w:tc>
      </w:tr>
      <w:tr w:rsidR="00182C98" w14:paraId="5BAB2E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F0157" w14:textId="77777777" w:rsidR="00182C98" w:rsidRDefault="00000000">
            <w:r>
              <w:rPr>
                <w:sz w:val="20"/>
                <w:szCs w:val="20"/>
              </w:rPr>
              <w:t>Jupyter Notebook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33C40" w14:textId="77777777" w:rsidR="00182C98" w:rsidRDefault="00000000">
            <w:pPr>
              <w:jc w:val="center"/>
            </w:pPr>
            <w:r>
              <w:rPr>
                <w:sz w:val="20"/>
                <w:szCs w:val="20"/>
              </w:rPr>
              <w:t>End-to-end project documentation and execution</w:t>
            </w:r>
          </w:p>
        </w:tc>
      </w:tr>
    </w:tbl>
    <w:p w14:paraId="194FB3C9" w14:textId="79A38331" w:rsidR="00182C98" w:rsidRDefault="00182C98" w:rsidP="00E938BA">
      <w:pPr>
        <w:jc w:val="center"/>
      </w:pPr>
    </w:p>
    <w:sectPr w:rsidR="00182C98" w:rsidSect="00E938BA">
      <w:footerReference w:type="default" r:id="rId7"/>
      <w:pgSz w:w="12240" w:h="15840"/>
      <w:pgMar w:top="720" w:right="720" w:bottom="284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A0F31" w14:textId="77777777" w:rsidR="00296C07" w:rsidRDefault="00296C07">
      <w:r>
        <w:separator/>
      </w:r>
    </w:p>
  </w:endnote>
  <w:endnote w:type="continuationSeparator" w:id="0">
    <w:p w14:paraId="31EDA65F" w14:textId="77777777" w:rsidR="00296C07" w:rsidRDefault="00296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E6943" w14:textId="77777777" w:rsidR="00182C98" w:rsidRDefault="00000000">
    <w:pPr>
      <w:jc w:val="center"/>
    </w:pPr>
    <w:r>
      <w:rPr>
        <w:color w:val="888888"/>
        <w:sz w:val="18"/>
        <w:szCs w:val="18"/>
      </w:rPr>
      <w:t xml:space="preserve">EV vs Petrol Prediction Project  |  Sai Deepak Patil  |  Page </w:t>
    </w:r>
    <w:r>
      <w:fldChar w:fldCharType="begin"/>
    </w:r>
    <w:r>
      <w:instrText>PAGE</w:instrText>
    </w:r>
    <w:r>
      <w:fldChar w:fldCharType="separate"/>
    </w:r>
    <w:r w:rsidR="00E938B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C4030" w14:textId="77777777" w:rsidR="00296C07" w:rsidRDefault="00296C07">
      <w:r>
        <w:separator/>
      </w:r>
    </w:p>
  </w:footnote>
  <w:footnote w:type="continuationSeparator" w:id="0">
    <w:p w14:paraId="1C44984F" w14:textId="77777777" w:rsidR="00296C07" w:rsidRDefault="00296C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1F32"/>
    <w:multiLevelType w:val="hybridMultilevel"/>
    <w:tmpl w:val="EA5676EE"/>
    <w:lvl w:ilvl="0" w:tplc="13AACEE2">
      <w:start w:val="1"/>
      <w:numFmt w:val="bullet"/>
      <w:lvlText w:val="●"/>
      <w:lvlJc w:val="left"/>
      <w:pPr>
        <w:ind w:left="720" w:hanging="360"/>
      </w:pPr>
    </w:lvl>
    <w:lvl w:ilvl="1" w:tplc="3D7C077A">
      <w:start w:val="1"/>
      <w:numFmt w:val="bullet"/>
      <w:lvlText w:val="○"/>
      <w:lvlJc w:val="left"/>
      <w:pPr>
        <w:ind w:left="1440" w:hanging="360"/>
      </w:pPr>
    </w:lvl>
    <w:lvl w:ilvl="2" w:tplc="482C19AC">
      <w:start w:val="1"/>
      <w:numFmt w:val="bullet"/>
      <w:lvlText w:val="■"/>
      <w:lvlJc w:val="left"/>
      <w:pPr>
        <w:ind w:left="2160" w:hanging="360"/>
      </w:pPr>
    </w:lvl>
    <w:lvl w:ilvl="3" w:tplc="1AA21EF2">
      <w:start w:val="1"/>
      <w:numFmt w:val="bullet"/>
      <w:lvlText w:val="●"/>
      <w:lvlJc w:val="left"/>
      <w:pPr>
        <w:ind w:left="2880" w:hanging="360"/>
      </w:pPr>
    </w:lvl>
    <w:lvl w:ilvl="4" w:tplc="B2EA3112">
      <w:start w:val="1"/>
      <w:numFmt w:val="bullet"/>
      <w:lvlText w:val="○"/>
      <w:lvlJc w:val="left"/>
      <w:pPr>
        <w:ind w:left="3600" w:hanging="360"/>
      </w:pPr>
    </w:lvl>
    <w:lvl w:ilvl="5" w:tplc="E68E7824">
      <w:start w:val="1"/>
      <w:numFmt w:val="bullet"/>
      <w:lvlText w:val="■"/>
      <w:lvlJc w:val="left"/>
      <w:pPr>
        <w:ind w:left="4320" w:hanging="360"/>
      </w:pPr>
    </w:lvl>
    <w:lvl w:ilvl="6" w:tplc="A3AC8EE4">
      <w:start w:val="1"/>
      <w:numFmt w:val="bullet"/>
      <w:lvlText w:val="●"/>
      <w:lvlJc w:val="left"/>
      <w:pPr>
        <w:ind w:left="5040" w:hanging="360"/>
      </w:pPr>
    </w:lvl>
    <w:lvl w:ilvl="7" w:tplc="66589C48">
      <w:start w:val="1"/>
      <w:numFmt w:val="bullet"/>
      <w:lvlText w:val="●"/>
      <w:lvlJc w:val="left"/>
      <w:pPr>
        <w:ind w:left="5760" w:hanging="360"/>
      </w:pPr>
    </w:lvl>
    <w:lvl w:ilvl="8" w:tplc="225230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2A7693"/>
    <w:multiLevelType w:val="hybridMultilevel"/>
    <w:tmpl w:val="6050398A"/>
    <w:lvl w:ilvl="0" w:tplc="F112D934">
      <w:start w:val="1"/>
      <w:numFmt w:val="bullet"/>
      <w:lvlText w:val="•"/>
      <w:lvlJc w:val="left"/>
      <w:pPr>
        <w:ind w:left="720" w:hanging="360"/>
      </w:pPr>
    </w:lvl>
    <w:lvl w:ilvl="1" w:tplc="401259EE">
      <w:numFmt w:val="decimal"/>
      <w:lvlText w:val=""/>
      <w:lvlJc w:val="left"/>
    </w:lvl>
    <w:lvl w:ilvl="2" w:tplc="7DAA73E0">
      <w:numFmt w:val="decimal"/>
      <w:lvlText w:val=""/>
      <w:lvlJc w:val="left"/>
    </w:lvl>
    <w:lvl w:ilvl="3" w:tplc="B344C912">
      <w:numFmt w:val="decimal"/>
      <w:lvlText w:val=""/>
      <w:lvlJc w:val="left"/>
    </w:lvl>
    <w:lvl w:ilvl="4" w:tplc="71CE4D16">
      <w:numFmt w:val="decimal"/>
      <w:lvlText w:val=""/>
      <w:lvlJc w:val="left"/>
    </w:lvl>
    <w:lvl w:ilvl="5" w:tplc="A9747BA6">
      <w:numFmt w:val="decimal"/>
      <w:lvlText w:val=""/>
      <w:lvlJc w:val="left"/>
    </w:lvl>
    <w:lvl w:ilvl="6" w:tplc="18E0AFE0">
      <w:numFmt w:val="decimal"/>
      <w:lvlText w:val=""/>
      <w:lvlJc w:val="left"/>
    </w:lvl>
    <w:lvl w:ilvl="7" w:tplc="B0042AC4">
      <w:numFmt w:val="decimal"/>
      <w:lvlText w:val=""/>
      <w:lvlJc w:val="left"/>
    </w:lvl>
    <w:lvl w:ilvl="8" w:tplc="2FC87E44">
      <w:numFmt w:val="decimal"/>
      <w:lvlText w:val=""/>
      <w:lvlJc w:val="left"/>
    </w:lvl>
  </w:abstractNum>
  <w:num w:numId="1" w16cid:durableId="446513588">
    <w:abstractNumId w:val="0"/>
    <w:lvlOverride w:ilvl="0">
      <w:startOverride w:val="1"/>
    </w:lvlOverride>
  </w:num>
  <w:num w:numId="2" w16cid:durableId="12793394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C98"/>
    <w:rsid w:val="00182C98"/>
    <w:rsid w:val="00296C07"/>
    <w:rsid w:val="003567BF"/>
    <w:rsid w:val="00860869"/>
    <w:rsid w:val="00903376"/>
    <w:rsid w:val="00A210D4"/>
    <w:rsid w:val="00B73F54"/>
    <w:rsid w:val="00E938BA"/>
    <w:rsid w:val="00EE4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478C4"/>
  <w15:docId w15:val="{0F8031F4-209A-4480-BF19-6B7A91C30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5C9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1106</Words>
  <Characters>6306</Characters>
  <Application>Microsoft Office Word</Application>
  <DocSecurity>0</DocSecurity>
  <Lines>52</Lines>
  <Paragraphs>14</Paragraphs>
  <ScaleCrop>false</ScaleCrop>
  <Company/>
  <LinksUpToDate>false</LinksUpToDate>
  <CharactersWithSpaces>7398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 Patil</cp:lastModifiedBy>
  <cp:revision>7</cp:revision>
  <dcterms:created xsi:type="dcterms:W3CDTF">2026-03-15T14:39:00Z</dcterms:created>
  <dcterms:modified xsi:type="dcterms:W3CDTF">2026-03-15T14:52:00Z</dcterms:modified>
</cp:coreProperties>
</file>