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Gloss Genius Detailed Feature Matrix</w:t>
      </w:r>
    </w:p>
    <w:p>
      <w:pPr>
        <w:pStyle w:val="Subtitle"/>
      </w:pPr>
      <w:r>
        <w:t>Competitive research and a buildable product plan</w:t>
      </w:r>
    </w:p>
    <w:p>
      <w:r>
        <w:t>Prepared 25 October 2026</w:t>
      </w:r>
    </w:p>
    <w:p>
      <w:r>
        <w:t>This report combines a current review of beauty and wellness software, dated user feedback, patterns from other industries and every substantive idea in the supplied workbook. It is intended to guide product design, recruitment and development of a distinctive GlossGenius competitor.</w:t>
      </w:r>
    </w:p>
    <w:p>
      <w:r>
        <w:rPr>
          <w:b/>
        </w:rPr>
        <w:t>Recommendation:</w:t>
      </w:r>
      <w:r>
        <w:t xml:space="preserve"> start with a complete, exceptionally simple workflow for independent beauty professionals and small teams. Make a business look coherent, help clients finish booking and preparation, preserve trust in money and records, and give the owner a useful next action. Expand into clinical services, networks and financial products only as separate, validated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880"/>
        <w:gridCol w:w="7344"/>
      </w:tblGrid>
      <w:tr>
        <w:trPr>
          <w:tblHeader/>
        </w:trPr>
        <w:tc>
          <w:tcPr>
            <w:tcW w:type="dxa" w:w="2880"/>
            <w:vAlign w:val="top"/>
            <w:shd w:fill="173F50"/>
          </w:tcPr>
          <w:p>
            <w:pPr>
              <w:keepNext/>
              <w:spacing w:after="50" w:before="20" w:line="250" w:lineRule="auto"/>
            </w:pPr>
            <w:r>
              <w:rPr>
                <w:rFonts w:ascii="Arial" w:hAnsi="Arial"/>
                <w:b/>
                <w:color w:val="FFFFFF"/>
                <w:sz w:val="20"/>
              </w:rPr>
              <w:t>What is included</w:t>
            </w:r>
          </w:p>
        </w:tc>
        <w:tc>
          <w:tcPr>
            <w:tcW w:type="dxa" w:w="7344"/>
            <w:vAlign w:val="top"/>
            <w:shd w:fill="173F50"/>
          </w:tcPr>
          <w:p>
            <w:pPr>
              <w:keepNext/>
              <w:spacing w:after="50" w:before="20" w:line="250" w:lineRule="auto"/>
            </w:pPr>
            <w:r>
              <w:rPr>
                <w:rFonts w:ascii="Arial" w:hAnsi="Arial"/>
                <w:b/>
                <w:color w:val="FFFFFF"/>
                <w:sz w:val="20"/>
              </w:rPr>
              <w:t>Coverage</w:t>
            </w:r>
          </w:p>
        </w:tc>
      </w:tr>
      <w:tr>
        <w:trPr>
          <w:cantSplit/>
        </w:trPr>
        <w:tc>
          <w:tcPr>
            <w:tcW w:type="dxa" w:w="2880"/>
            <w:vAlign w:val="top"/>
          </w:tcPr>
          <w:p>
            <w:pPr>
              <w:keepNext w:val="0"/>
              <w:spacing w:after="50" w:before="20" w:line="250" w:lineRule="auto"/>
            </w:pPr>
            <w:r>
              <w:rPr>
                <w:rFonts w:ascii="Arial" w:hAnsi="Arial"/>
                <w:sz w:val="20"/>
              </w:rPr>
              <w:t>Prioritized product inventory</w:t>
            </w:r>
          </w:p>
        </w:tc>
        <w:tc>
          <w:tcPr>
            <w:tcW w:type="dxa" w:w="7344"/>
            <w:vAlign w:val="top"/>
          </w:tcPr>
          <w:p>
            <w:pPr>
              <w:keepNext w:val="0"/>
              <w:spacing w:after="50" w:before="20" w:line="250" w:lineRule="auto"/>
            </w:pPr>
            <w:r>
              <w:rPr>
                <w:rFonts w:ascii="Arial" w:hAnsi="Arial"/>
                <w:sz w:val="20"/>
              </w:rPr>
              <w:t>199 features sorted by build difficulty, with release stage, dependencies, acceptance checks and specialist needs</w:t>
            </w:r>
          </w:p>
        </w:tc>
      </w:tr>
      <w:tr>
        <w:trPr>
          <w:cantSplit/>
        </w:trPr>
        <w:tc>
          <w:tcPr>
            <w:tcW w:type="dxa" w:w="2880"/>
            <w:vAlign w:val="top"/>
            <w:shd w:fill="F3F6F7"/>
          </w:tcPr>
          <w:p>
            <w:pPr>
              <w:keepNext w:val="0"/>
              <w:spacing w:after="50" w:before="20" w:line="250" w:lineRule="auto"/>
            </w:pPr>
            <w:r>
              <w:rPr>
                <w:rFonts w:ascii="Arial" w:hAnsi="Arial"/>
                <w:sz w:val="20"/>
              </w:rPr>
              <w:t>Competitive review</w:t>
            </w:r>
          </w:p>
        </w:tc>
        <w:tc>
          <w:tcPr>
            <w:tcW w:type="dxa" w:w="7344"/>
            <w:vAlign w:val="top"/>
            <w:shd w:fill="F3F6F7"/>
          </w:tcPr>
          <w:p>
            <w:pPr>
              <w:keepNext w:val="0"/>
              <w:spacing w:after="50" w:before="20" w:line="250" w:lineRule="auto"/>
            </w:pPr>
            <w:r>
              <w:rPr>
                <w:rFonts w:ascii="Arial" w:hAnsi="Arial"/>
                <w:sz w:val="20"/>
              </w:rPr>
              <w:t>GlossGenius and Vagaro across 80 capability rows; 14 additional main profiles including the Schedulicity transition</w:t>
            </w:r>
          </w:p>
        </w:tc>
      </w:tr>
      <w:tr>
        <w:trPr>
          <w:cantSplit/>
        </w:trPr>
        <w:tc>
          <w:tcPr>
            <w:tcW w:type="dxa" w:w="2880"/>
            <w:vAlign w:val="top"/>
          </w:tcPr>
          <w:p>
            <w:pPr>
              <w:keepNext w:val="0"/>
              <w:spacing w:after="50" w:before="20" w:line="250" w:lineRule="auto"/>
            </w:pPr>
            <w:r>
              <w:rPr>
                <w:rFonts w:ascii="Arial" w:hAnsi="Arial"/>
                <w:sz w:val="20"/>
              </w:rPr>
              <w:t>User evidence</w:t>
            </w:r>
          </w:p>
        </w:tc>
        <w:tc>
          <w:tcPr>
            <w:tcW w:type="dxa" w:w="7344"/>
            <w:vAlign w:val="top"/>
          </w:tcPr>
          <w:p>
            <w:pPr>
              <w:keepNext w:val="0"/>
              <w:spacing w:after="50" w:before="20" w:line="250" w:lineRule="auto"/>
            </w:pPr>
            <w:r>
              <w:rPr>
                <w:rFonts w:ascii="Arial" w:hAnsi="Arial"/>
                <w:sz w:val="20"/>
              </w:rPr>
              <w:t>29 reports, requests or documented boundaries, dated where available; workbook themes and surprise wins</w:t>
            </w:r>
          </w:p>
        </w:tc>
      </w:tr>
      <w:tr>
        <w:trPr>
          <w:cantSplit/>
        </w:trPr>
        <w:tc>
          <w:tcPr>
            <w:tcW w:type="dxa" w:w="2880"/>
            <w:vAlign w:val="top"/>
            <w:shd w:fill="F3F6F7"/>
          </w:tcPr>
          <w:p>
            <w:pPr>
              <w:keepNext w:val="0"/>
              <w:spacing w:after="50" w:before="20" w:line="250" w:lineRule="auto"/>
            </w:pPr>
            <w:r>
              <w:rPr>
                <w:rFonts w:ascii="Arial" w:hAnsi="Arial"/>
                <w:sz w:val="20"/>
              </w:rPr>
              <w:t>Cross industry research</w:t>
            </w:r>
          </w:p>
        </w:tc>
        <w:tc>
          <w:tcPr>
            <w:tcW w:type="dxa" w:w="7344"/>
            <w:vAlign w:val="top"/>
            <w:shd w:fill="F3F6F7"/>
          </w:tcPr>
          <w:p>
            <w:pPr>
              <w:keepNext w:val="0"/>
              <w:spacing w:after="50" w:before="20" w:line="250" w:lineRule="auto"/>
            </w:pPr>
            <w:r>
              <w:rPr>
                <w:rFonts w:ascii="Arial" w:hAnsi="Arial"/>
                <w:sz w:val="20"/>
              </w:rPr>
              <w:t>20 transfer examples, including feature usage or experiment evidence where available</w:t>
            </w:r>
          </w:p>
        </w:tc>
      </w:tr>
      <w:tr>
        <w:trPr>
          <w:cantSplit/>
        </w:trPr>
        <w:tc>
          <w:tcPr>
            <w:tcW w:type="dxa" w:w="2880"/>
            <w:vAlign w:val="top"/>
          </w:tcPr>
          <w:p>
            <w:pPr>
              <w:keepNext w:val="0"/>
              <w:spacing w:after="50" w:before="20" w:line="250" w:lineRule="auto"/>
            </w:pPr>
            <w:r>
              <w:rPr>
                <w:rFonts w:ascii="Arial" w:hAnsi="Arial"/>
                <w:sz w:val="20"/>
              </w:rPr>
              <w:t>Analytics</w:t>
            </w:r>
          </w:p>
        </w:tc>
        <w:tc>
          <w:tcPr>
            <w:tcW w:type="dxa" w:w="7344"/>
            <w:vAlign w:val="top"/>
          </w:tcPr>
          <w:p>
            <w:pPr>
              <w:keepNext w:val="0"/>
              <w:spacing w:after="50" w:before="20" w:line="250" w:lineRule="auto"/>
            </w:pPr>
            <w:r>
              <w:rPr>
                <w:rFonts w:ascii="Arial" w:hAnsi="Arial"/>
                <w:sz w:val="20"/>
              </w:rPr>
              <w:t>65 defined metrics, 30 canonical events, 14 shared definitions and 12 acceptance gates</w:t>
            </w:r>
          </w:p>
        </w:tc>
      </w:tr>
      <w:tr>
        <w:trPr>
          <w:cantSplit/>
        </w:trPr>
        <w:tc>
          <w:tcPr>
            <w:tcW w:type="dxa" w:w="2880"/>
            <w:vAlign w:val="top"/>
            <w:shd w:fill="F3F6F7"/>
          </w:tcPr>
          <w:p>
            <w:pPr>
              <w:keepNext w:val="0"/>
              <w:spacing w:after="50" w:before="20" w:line="250" w:lineRule="auto"/>
            </w:pPr>
            <w:r>
              <w:rPr>
                <w:rFonts w:ascii="Arial" w:hAnsi="Arial"/>
                <w:sz w:val="20"/>
              </w:rPr>
              <w:t>Workbook merge</w:t>
            </w:r>
          </w:p>
        </w:tc>
        <w:tc>
          <w:tcPr>
            <w:tcW w:type="dxa" w:w="7344"/>
            <w:vAlign w:val="top"/>
            <w:shd w:fill="F3F6F7"/>
          </w:tcPr>
          <w:p>
            <w:pPr>
              <w:keepNext w:val="0"/>
              <w:spacing w:after="50" w:before="20" w:line="250" w:lineRule="auto"/>
            </w:pPr>
            <w:r>
              <w:rPr>
                <w:rFonts w:ascii="Arial" w:hAnsi="Arial"/>
                <w:sz w:val="20"/>
              </w:rPr>
              <w:t>All 111 idea rows reconciled, plus 15 pricing notes and 13 application review notes</w:t>
            </w:r>
          </w:p>
        </w:tc>
      </w:tr>
    </w:tbl>
    <w:p>
      <w:pPr>
        <w:spacing w:after="40" w:before="0" w:line="240" w:lineRule="auto"/>
      </w:pPr>
      <w:r>
        <w:rPr>
          <w:sz w:val="4"/>
        </w:rPr>
      </w:r>
    </w:p>
    <w:p>
      <w:r>
        <w:rPr>
          <w:b/>
        </w:rPr>
        <w:t>Evidence boundary:</w:t>
      </w:r>
      <w:r>
        <w:t xml:space="preserve"> this is a desk research and product specification exercise, not hands-on certification of every vendor, a representative customer survey or a delivery estimate. “Not established” means the reviewed evidence was insufficient. Proposed features and validation gates are clearly identified.</w:t>
      </w:r>
    </w:p>
    <w:p>
      <w:r>
        <w:br w:type="page"/>
      </w:r>
    </w:p>
    <w:p>
      <w:bookmarkStart w:id="1" w:name="contents"/>
      <w:pPr>
        <w:pStyle w:val="Heading1"/>
      </w:pPr>
      <w:r>
        <w:t>Contents</w:t>
      </w:r>
      <w:bookmarkEnd w:id="1"/>
    </w:p>
    <w:p>
      <w:r/>
      <w:hyperlink w:anchor="direction">
        <w:r>
          <w:rPr>
            <w:color w:val="1B5278"/>
            <w:u w:val="single"/>
          </w:rPr>
          <w:t>1  Product direction and research method</w:t>
        </w:r>
      </w:hyperlink>
    </w:p>
    <w:p>
      <w:r/>
      <w:hyperlink w:anchor="competition">
        <w:r>
          <w:rPr>
            <w:color w:val="1B5278"/>
            <w:u w:val="single"/>
          </w:rPr>
          <w:t>2  Competitive review</w:t>
        </w:r>
      </w:hyperlink>
    </w:p>
    <w:p>
      <w:r/>
      <w:hyperlink w:anchor="complaints">
        <w:r>
          <w:rPr>
            <w:color w:val="1B5278"/>
            <w:u w:val="single"/>
          </w:rPr>
          <w:t>3  User complaints and unmet needs</w:t>
        </w:r>
      </w:hyperlink>
    </w:p>
    <w:p>
      <w:r/>
      <w:hyperlink w:anchor="transfers">
        <w:r>
          <w:rPr>
            <w:color w:val="1B5278"/>
            <w:u w:val="single"/>
          </w:rPr>
          <w:t>4  Ideas from other industries</w:t>
        </w:r>
      </w:hyperlink>
    </w:p>
    <w:p>
      <w:r/>
      <w:hyperlink w:anchor="branding">
        <w:r>
          <w:rPr>
            <w:color w:val="1B5278"/>
            <w:u w:val="single"/>
          </w:rPr>
          <w:t>5  Custom branding and document generation</w:t>
        </w:r>
      </w:hyperlink>
    </w:p>
    <w:p>
      <w:r/>
      <w:hyperlink w:anchor="matrix">
        <w:r>
          <w:rPr>
            <w:color w:val="1B5278"/>
            <w:u w:val="single"/>
          </w:rPr>
          <w:t>6  Feature matrix from easy to hard</w:t>
        </w:r>
      </w:hyperlink>
    </w:p>
    <w:p>
      <w:r/>
      <w:hyperlink w:anchor="analytics">
        <w:r>
          <w:rPr>
            <w:color w:val="1B5278"/>
            <w:u w:val="single"/>
          </w:rPr>
          <w:t>7  Detailed analytics specification</w:t>
        </w:r>
      </w:hyperlink>
    </w:p>
    <w:p>
      <w:r/>
      <w:hyperlink w:anchor="people">
        <w:r>
          <w:rPr>
            <w:color w:val="1B5278"/>
            <w:u w:val="single"/>
          </w:rPr>
          <w:t>8  Recruitment and partner requirements</w:t>
        </w:r>
      </w:hyperlink>
    </w:p>
    <w:p>
      <w:r/>
      <w:hyperlink w:anchor="sequence">
        <w:r>
          <w:rPr>
            <w:color w:val="1B5278"/>
            <w:u w:val="single"/>
          </w:rPr>
          <w:t>9  Build sequence and validation</w:t>
        </w:r>
      </w:hyperlink>
    </w:p>
    <w:p>
      <w:r/>
      <w:hyperlink w:anchor="workbook">
        <w:r>
          <w:rPr>
            <w:color w:val="1B5278"/>
            <w:u w:val="single"/>
          </w:rPr>
          <w:t>10  Workbook reconciliation</w:t>
        </w:r>
      </w:hyperlink>
    </w:p>
    <w:p>
      <w:r/>
      <w:hyperlink w:anchor="sources">
        <w:r>
          <w:rPr>
            <w:color w:val="1B5278"/>
            <w:u w:val="single"/>
          </w:rPr>
          <w:t>11  Sources</w:t>
        </w:r>
      </w:hyperlink>
    </w:p>
    <w:p>
      <w:pPr>
        <w:pStyle w:val="Heading2"/>
      </w:pPr>
      <w:r>
        <w:t>How to use this document</w:t>
      </w:r>
    </w:p>
    <w:p>
      <w:r>
        <w:t>Read Chapters 1, 3 and 9 for decisions. Use Chapter 6 as the development backlog, Chapter 7 as the measurement contract, and Chapter 10 to trace the supplied workbook. Source codes in square brackets resolve to linked references in Chapter 11. Stable feature IDs stay the same even when difficulty changes.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592"/>
        <w:gridCol w:w="7632"/>
      </w:tblGrid>
      <w:tr>
        <w:trPr>
          <w:tblHeader/>
        </w:trPr>
        <w:tc>
          <w:tcPr>
            <w:tcW w:type="dxa" w:w="2592"/>
            <w:vAlign w:val="top"/>
            <w:shd w:fill="173F50"/>
          </w:tcPr>
          <w:p>
            <w:pPr>
              <w:keepNext/>
              <w:spacing w:after="50" w:before="20" w:line="250" w:lineRule="auto"/>
            </w:pPr>
            <w:r>
              <w:rPr>
                <w:rFonts w:ascii="Arial" w:hAnsi="Arial"/>
                <w:b/>
                <w:color w:val="FFFFFF"/>
                <w:sz w:val="20"/>
              </w:rPr>
              <w:t>Label</w:t>
            </w:r>
          </w:p>
        </w:tc>
        <w:tc>
          <w:tcPr>
            <w:tcW w:type="dxa" w:w="7632"/>
            <w:vAlign w:val="top"/>
            <w:shd w:fill="173F50"/>
          </w:tcPr>
          <w:p>
            <w:pPr>
              <w:keepNext/>
              <w:spacing w:after="50" w:before="20" w:line="250" w:lineRule="auto"/>
            </w:pPr>
            <w:r>
              <w:rPr>
                <w:rFonts w:ascii="Arial" w:hAnsi="Arial"/>
                <w:b/>
                <w:color w:val="FFFFFF"/>
                <w:sz w:val="20"/>
              </w:rPr>
              <w:t>Meaning</w:t>
            </w:r>
          </w:p>
        </w:tc>
      </w:tr>
      <w:tr>
        <w:trPr>
          <w:cantSplit/>
        </w:trPr>
        <w:tc>
          <w:tcPr>
            <w:tcW w:type="dxa" w:w="2592"/>
            <w:vAlign w:val="top"/>
          </w:tcPr>
          <w:p>
            <w:pPr>
              <w:keepNext w:val="0"/>
              <w:spacing w:after="50" w:before="20" w:line="250" w:lineRule="auto"/>
            </w:pPr>
            <w:r>
              <w:rPr>
                <w:rFonts w:ascii="Arial" w:hAnsi="Arial"/>
                <w:sz w:val="20"/>
              </w:rPr>
              <w:t>Documented / advertised</w:t>
            </w:r>
          </w:p>
        </w:tc>
        <w:tc>
          <w:tcPr>
            <w:tcW w:type="dxa" w:w="7632"/>
            <w:vAlign w:val="top"/>
          </w:tcPr>
          <w:p>
            <w:pPr>
              <w:keepNext w:val="0"/>
              <w:spacing w:after="50" w:before="20" w:line="250" w:lineRule="auto"/>
            </w:pPr>
            <w:r>
              <w:rPr>
                <w:rFonts w:ascii="Arial" w:hAnsi="Arial"/>
                <w:sz w:val="20"/>
              </w:rPr>
              <w:t>A current official page describes the capability. Entitlement, country, platform and contract still need confirmation.</w:t>
            </w:r>
          </w:p>
        </w:tc>
      </w:tr>
      <w:tr>
        <w:trPr>
          <w:cantSplit/>
        </w:trPr>
        <w:tc>
          <w:tcPr>
            <w:tcW w:type="dxa" w:w="2592"/>
            <w:vAlign w:val="top"/>
            <w:shd w:fill="F3F6F7"/>
          </w:tcPr>
          <w:p>
            <w:pPr>
              <w:keepNext w:val="0"/>
              <w:spacing w:after="50" w:before="20" w:line="250" w:lineRule="auto"/>
            </w:pPr>
            <w:r>
              <w:rPr>
                <w:rFonts w:ascii="Arial" w:hAnsi="Arial"/>
                <w:sz w:val="20"/>
              </w:rPr>
              <w:t>User report / request</w:t>
            </w:r>
          </w:p>
        </w:tc>
        <w:tc>
          <w:tcPr>
            <w:tcW w:type="dxa" w:w="7632"/>
            <w:vAlign w:val="top"/>
            <w:shd w:fill="F3F6F7"/>
          </w:tcPr>
          <w:p>
            <w:pPr>
              <w:keepNext w:val="0"/>
              <w:spacing w:after="50" w:before="20" w:line="250" w:lineRule="auto"/>
            </w:pPr>
            <w:r>
              <w:rPr>
                <w:rFonts w:ascii="Arial" w:hAnsi="Arial"/>
                <w:sz w:val="20"/>
              </w:rPr>
              <w:t>A dated individual account or requested improvement. It is not a verified product defect or a prevalence estimate.</w:t>
            </w:r>
          </w:p>
        </w:tc>
      </w:tr>
      <w:tr>
        <w:trPr>
          <w:cantSplit/>
        </w:trPr>
        <w:tc>
          <w:tcPr>
            <w:tcW w:type="dxa" w:w="2592"/>
            <w:vAlign w:val="top"/>
          </w:tcPr>
          <w:p>
            <w:pPr>
              <w:keepNext w:val="0"/>
              <w:spacing w:after="50" w:before="20" w:line="250" w:lineRule="auto"/>
            </w:pPr>
            <w:r>
              <w:rPr>
                <w:rFonts w:ascii="Arial" w:hAnsi="Arial"/>
                <w:sz w:val="20"/>
              </w:rPr>
              <w:t>Proposed requirement</w:t>
            </w:r>
          </w:p>
        </w:tc>
        <w:tc>
          <w:tcPr>
            <w:tcW w:type="dxa" w:w="7632"/>
            <w:vAlign w:val="top"/>
          </w:tcPr>
          <w:p>
            <w:pPr>
              <w:keepNext w:val="0"/>
              <w:spacing w:after="50" w:before="20" w:line="250" w:lineRule="auto"/>
            </w:pPr>
            <w:r>
              <w:rPr>
                <w:rFonts w:ascii="Arial" w:hAnsi="Arial"/>
                <w:sz w:val="20"/>
              </w:rPr>
              <w:t>An original product decision for this app; acceptance checks describe what must be demonstrated before release.</w:t>
            </w:r>
          </w:p>
        </w:tc>
      </w:tr>
      <w:tr>
        <w:trPr>
          <w:cantSplit/>
        </w:trPr>
        <w:tc>
          <w:tcPr>
            <w:tcW w:type="dxa" w:w="2592"/>
            <w:vAlign w:val="top"/>
            <w:shd w:fill="F3F6F7"/>
          </w:tcPr>
          <w:p>
            <w:pPr>
              <w:keepNext w:val="0"/>
              <w:spacing w:after="50" w:before="20" w:line="250" w:lineRule="auto"/>
            </w:pPr>
            <w:r>
              <w:rPr>
                <w:rFonts w:ascii="Arial" w:hAnsi="Arial"/>
                <w:sz w:val="20"/>
              </w:rPr>
              <w:t>Transfer / hypothesis</w:t>
            </w:r>
          </w:p>
        </w:tc>
        <w:tc>
          <w:tcPr>
            <w:tcW w:type="dxa" w:w="7632"/>
            <w:vAlign w:val="top"/>
            <w:shd w:fill="F3F6F7"/>
          </w:tcPr>
          <w:p>
            <w:pPr>
              <w:keepNext w:val="0"/>
              <w:spacing w:after="50" w:before="20" w:line="250" w:lineRule="auto"/>
            </w:pPr>
            <w:r>
              <w:rPr>
                <w:rFonts w:ascii="Arial" w:hAnsi="Arial"/>
                <w:sz w:val="20"/>
              </w:rPr>
              <w:t>An adaptation worth testing. Success in another industry does not establish demand or effect in beauty.</w:t>
            </w:r>
          </w:p>
        </w:tc>
      </w:tr>
      <w:tr>
        <w:trPr>
          <w:cantSplit/>
        </w:trPr>
        <w:tc>
          <w:tcPr>
            <w:tcW w:type="dxa" w:w="2592"/>
            <w:vAlign w:val="top"/>
          </w:tcPr>
          <w:p>
            <w:pPr>
              <w:keepNext w:val="0"/>
              <w:spacing w:after="50" w:before="20" w:line="250" w:lineRule="auto"/>
            </w:pPr>
            <w:r>
              <w:rPr>
                <w:rFonts w:ascii="Arial" w:hAnsi="Arial"/>
                <w:sz w:val="20"/>
              </w:rPr>
              <w:t>Workbook provenance</w:t>
            </w:r>
          </w:p>
        </w:tc>
        <w:tc>
          <w:tcPr>
            <w:tcW w:type="dxa" w:w="7632"/>
            <w:vAlign w:val="top"/>
          </w:tcPr>
          <w:p>
            <w:pPr>
              <w:keepNext w:val="0"/>
              <w:spacing w:after="50" w:before="20" w:line="250" w:lineRule="auto"/>
            </w:pPr>
            <w:r>
              <w:rPr>
                <w:rFonts w:ascii="Arial" w:hAnsi="Arial"/>
                <w:sz w:val="20"/>
              </w:rPr>
              <w:t>An inherited idea or historical claim. Merged as a requirement where useful; factual claims are requalified separately.</w:t>
            </w:r>
          </w:p>
        </w:tc>
      </w:tr>
    </w:tbl>
    <w:p>
      <w:bookmarkStart w:id="2" w:name="direction"/>
      <w:pPr>
        <w:pStyle w:val="Heading1"/>
        <w:pageBreakBefore/>
      </w:pPr>
      <w:r>
        <w:t>1 Product direction and research method</w:t>
      </w:r>
      <w:bookmarkEnd w:id="2"/>
    </w:p>
    <w:p>
      <w:pPr>
        <w:pStyle w:val="Heading2"/>
      </w:pPr>
      <w:r>
        <w:t>1 1 A focused entry point</w:t>
      </w:r>
    </w:p>
    <w:p>
      <w:r>
        <w:t>Working assumption: begin in the United States with independent estheticians, hair, lash, brow and other nonmedical beauty providers, then small teams. Geography and specialty were not specified, so this is a sequencing recommendation rather than a confirmed market choice. Keep classes, complex multi-location operations, independent renter payments and clinical care as separately enabled modules.</w:t>
      </w:r>
    </w:p>
    <w:p>
      <w:r>
        <w:t>The product promise should be concrete: a client can choose the right service, see the full expected cost, book without an unnecessary account, complete the right documents and pay without repetition. An owner can prepare tomorrow, understand what money is available, resolve exceptions and leave work on time. A large backlog supports that promise only if the visible interface remains small.</w:t>
      </w:r>
    </w:p>
    <w:p>
      <w:pPr>
        <w:pStyle w:val="Heading2"/>
      </w:pPr>
      <w:r>
        <w:t>1 2 The competitive bar has moved</w:t>
      </w:r>
    </w:p>
    <w:p>
      <w:r>
        <w:t>GlossGenius documents a Receptionist, brand-aware Marketing Assistant and Growth Analyst, alongside custom reporting and charting. Vagaro offers broad scheduling, commerce, messaging, branding and integration capabilities. Generic AI, forms, dashboards and reminders therefore cannot carry a uniqueness claim. The proposed advantage is the quality and continuity of the entire workflow. [GG06, GG09, GG10, VG01, VG02, VG07, VG11]</w:t>
      </w:r>
    </w:p>
    <w:p>
      <w:r>
        <w:t>The strongest current evidence supports migration, money clarity, discoverability, reliable records and workflow flexibility as problems worth investigating. It does not prove an empty market. The report translates those signals into explicit product hypotheses and small tests instead of promising that every proposed feature is revolutionary.</w:t>
      </w:r>
    </w:p>
    <w:p>
      <w:pPr>
        <w:pStyle w:val="Heading2"/>
      </w:pPr>
      <w:r>
        <w:t>1 3 Design principles that are testable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592"/>
        <w:gridCol w:w="7632"/>
      </w:tblGrid>
      <w:tr>
        <w:trPr>
          <w:tblHeader/>
        </w:trPr>
        <w:tc>
          <w:tcPr>
            <w:tcW w:type="dxa" w:w="2592"/>
            <w:vAlign w:val="top"/>
            <w:shd w:fill="173F50"/>
          </w:tcPr>
          <w:p>
            <w:pPr>
              <w:keepNext/>
              <w:spacing w:after="50" w:before="20" w:line="250" w:lineRule="auto"/>
            </w:pPr>
            <w:r>
              <w:rPr>
                <w:rFonts w:ascii="Arial" w:hAnsi="Arial"/>
                <w:b/>
                <w:color w:val="FFFFFF"/>
                <w:sz w:val="18"/>
              </w:rPr>
              <w:t>Principle</w:t>
            </w:r>
          </w:p>
        </w:tc>
        <w:tc>
          <w:tcPr>
            <w:tcW w:type="dxa" w:w="7632"/>
            <w:vAlign w:val="top"/>
            <w:shd w:fill="173F50"/>
          </w:tcPr>
          <w:p>
            <w:pPr>
              <w:keepNext/>
              <w:spacing w:after="50" w:before="20" w:line="250" w:lineRule="auto"/>
            </w:pPr>
            <w:r>
              <w:rPr>
                <w:rFonts w:ascii="Arial" w:hAnsi="Arial"/>
                <w:b/>
                <w:color w:val="FFFFFF"/>
                <w:sz w:val="18"/>
              </w:rPr>
              <w:t>Required behavior and measure</w:t>
            </w:r>
          </w:p>
        </w:tc>
      </w:tr>
      <w:tr>
        <w:trPr>
          <w:cantSplit/>
        </w:trPr>
        <w:tc>
          <w:tcPr>
            <w:tcW w:type="dxa" w:w="2592"/>
            <w:vAlign w:val="top"/>
          </w:tcPr>
          <w:p>
            <w:pPr>
              <w:keepNext w:val="0"/>
              <w:spacing w:after="50" w:before="20" w:line="250" w:lineRule="auto"/>
            </w:pPr>
            <w:r>
              <w:rPr>
                <w:rFonts w:ascii="Arial" w:hAnsi="Arial"/>
                <w:sz w:val="18"/>
              </w:rPr>
              <w:t>One coherent business identity</w:t>
            </w:r>
          </w:p>
        </w:tc>
        <w:tc>
          <w:tcPr>
            <w:tcW w:type="dxa" w:w="7632"/>
            <w:vAlign w:val="top"/>
          </w:tcPr>
          <w:p>
            <w:pPr>
              <w:keepNext w:val="0"/>
              <w:spacing w:after="50" w:before="20" w:line="250" w:lineRule="auto"/>
            </w:pPr>
            <w:r>
              <w:rPr>
                <w:rFonts w:ascii="Arial" w:hAnsi="Arial"/>
                <w:sz w:val="18"/>
              </w:rPr>
              <w:t>The owner previews site, forms, messages and generated documents together. Measure setup time and inconsistent outputs; preserve previously issued records.</w:t>
            </w:r>
          </w:p>
        </w:tc>
      </w:tr>
      <w:tr>
        <w:trPr>
          <w:cantSplit/>
        </w:trPr>
        <w:tc>
          <w:tcPr>
            <w:tcW w:type="dxa" w:w="2592"/>
            <w:vAlign w:val="top"/>
            <w:shd w:fill="F3F6F7"/>
          </w:tcPr>
          <w:p>
            <w:pPr>
              <w:keepNext w:val="0"/>
              <w:spacing w:after="50" w:before="20" w:line="250" w:lineRule="auto"/>
            </w:pPr>
            <w:r>
              <w:rPr>
                <w:rFonts w:ascii="Arial" w:hAnsi="Arial"/>
                <w:sz w:val="18"/>
              </w:rPr>
              <w:t>Show the next useful action</w:t>
            </w:r>
          </w:p>
        </w:tc>
        <w:tc>
          <w:tcPr>
            <w:tcW w:type="dxa" w:w="7632"/>
            <w:vAlign w:val="top"/>
            <w:shd w:fill="F3F6F7"/>
          </w:tcPr>
          <w:p>
            <w:pPr>
              <w:keepNext w:val="0"/>
              <w:spacing w:after="50" w:before="20" w:line="250" w:lineRule="auto"/>
            </w:pPr>
            <w:r>
              <w:rPr>
                <w:rFonts w:ascii="Arial" w:hAnsi="Arial"/>
                <w:sz w:val="18"/>
              </w:rPr>
              <w:t>Role-specific home screens prioritize booking, checkout, preparation and exceptions. Measure critical-task completion, correction rate and observed administration time.</w:t>
            </w:r>
          </w:p>
        </w:tc>
      </w:tr>
      <w:tr>
        <w:trPr>
          <w:cantSplit/>
        </w:trPr>
        <w:tc>
          <w:tcPr>
            <w:tcW w:type="dxa" w:w="2592"/>
            <w:vAlign w:val="top"/>
          </w:tcPr>
          <w:p>
            <w:pPr>
              <w:keepNext w:val="0"/>
              <w:spacing w:after="50" w:before="20" w:line="250" w:lineRule="auto"/>
            </w:pPr>
            <w:r>
              <w:rPr>
                <w:rFonts w:ascii="Arial" w:hAnsi="Arial"/>
                <w:sz w:val="18"/>
              </w:rPr>
              <w:t>Ask only for needed information</w:t>
            </w:r>
          </w:p>
        </w:tc>
        <w:tc>
          <w:tcPr>
            <w:tcW w:type="dxa" w:w="7632"/>
            <w:vAlign w:val="top"/>
          </w:tcPr>
          <w:p>
            <w:pPr>
              <w:keepNext w:val="0"/>
              <w:spacing w:after="50" w:before="20" w:line="250" w:lineRule="auto"/>
            </w:pPr>
            <w:r>
              <w:rPr>
                <w:rFonts w:ascii="Arial" w:hAnsi="Arial"/>
                <w:sz w:val="18"/>
              </w:rPr>
              <w:t>Guest booking, progressive intake and returning-client change confirmation. Measure abandonment and assisted completion without treating privacy-invasive tracking as necessary.</w:t>
            </w:r>
          </w:p>
        </w:tc>
      </w:tr>
      <w:tr>
        <w:trPr>
          <w:cantSplit/>
        </w:trPr>
        <w:tc>
          <w:tcPr>
            <w:tcW w:type="dxa" w:w="2592"/>
            <w:vAlign w:val="top"/>
            <w:shd w:fill="F3F6F7"/>
          </w:tcPr>
          <w:p>
            <w:pPr>
              <w:keepNext w:val="0"/>
              <w:spacing w:after="50" w:before="20" w:line="250" w:lineRule="auto"/>
            </w:pPr>
            <w:r>
              <w:rPr>
                <w:rFonts w:ascii="Arial" w:hAnsi="Arial"/>
                <w:sz w:val="18"/>
              </w:rPr>
              <w:t>Explain consequences before committing</w:t>
            </w:r>
          </w:p>
        </w:tc>
        <w:tc>
          <w:tcPr>
            <w:tcW w:type="dxa" w:w="7632"/>
            <w:vAlign w:val="top"/>
            <w:shd w:fill="F3F6F7"/>
          </w:tcPr>
          <w:p>
            <w:pPr>
              <w:keepNext w:val="0"/>
              <w:spacing w:after="50" w:before="20" w:line="250" w:lineRule="auto"/>
            </w:pPr>
            <w:r>
              <w:rPr>
                <w:rFonts w:ascii="Arial" w:hAnsi="Arial"/>
                <w:sz w:val="18"/>
              </w:rPr>
              <w:t>Display who will be contacted, what will change, total cost and irreversible effects. Rehearsals never send real messages or move money.</w:t>
            </w:r>
          </w:p>
        </w:tc>
      </w:tr>
      <w:tr>
        <w:trPr>
          <w:cantSplit/>
        </w:trPr>
        <w:tc>
          <w:tcPr>
            <w:tcW w:type="dxa" w:w="2592"/>
            <w:vAlign w:val="top"/>
          </w:tcPr>
          <w:p>
            <w:pPr>
              <w:keepNext w:val="0"/>
              <w:spacing w:after="50" w:before="20" w:line="250" w:lineRule="auto"/>
            </w:pPr>
            <w:r>
              <w:rPr>
                <w:rFonts w:ascii="Arial" w:hAnsi="Arial"/>
                <w:sz w:val="18"/>
              </w:rPr>
              <w:t>Make money understandable</w:t>
            </w:r>
          </w:p>
        </w:tc>
        <w:tc>
          <w:tcPr>
            <w:tcW w:type="dxa" w:w="7632"/>
            <w:vAlign w:val="top"/>
          </w:tcPr>
          <w:p>
            <w:pPr>
              <w:keepNext w:val="0"/>
              <w:spacing w:after="50" w:before="20" w:line="250" w:lineRule="auto"/>
            </w:pPr>
            <w:r>
              <w:rPr>
                <w:rFonts w:ascii="Arial" w:hAnsi="Arial"/>
                <w:sz w:val="18"/>
              </w:rPr>
              <w:t>Separate earned revenue, cash, liabilities, fees and payouts. Let an owner trace a total to the underlying visit and ledger movements.</w:t>
            </w:r>
          </w:p>
        </w:tc>
      </w:tr>
      <w:tr>
        <w:trPr>
          <w:cantSplit/>
        </w:trPr>
        <w:tc>
          <w:tcPr>
            <w:tcW w:type="dxa" w:w="2592"/>
            <w:vAlign w:val="top"/>
            <w:shd w:fill="F3F6F7"/>
          </w:tcPr>
          <w:p>
            <w:pPr>
              <w:keepNext w:val="0"/>
              <w:spacing w:after="50" w:before="20" w:line="250" w:lineRule="auto"/>
            </w:pPr>
            <w:r>
              <w:rPr>
                <w:rFonts w:ascii="Arial" w:hAnsi="Arial"/>
                <w:sz w:val="18"/>
              </w:rPr>
              <w:t>Support a better working week</w:t>
            </w:r>
          </w:p>
        </w:tc>
        <w:tc>
          <w:tcPr>
            <w:tcW w:type="dxa" w:w="7632"/>
            <w:vAlign w:val="top"/>
            <w:shd w:fill="F3F6F7"/>
          </w:tcPr>
          <w:p>
            <w:pPr>
              <w:keepNext w:val="0"/>
              <w:spacing w:after="50" w:before="20" w:line="250" w:lineRule="auto"/>
            </w:pPr>
            <w:r>
              <w:rPr>
                <w:rFonts w:ascii="Arial" w:hAnsi="Arial"/>
                <w:sz w:val="18"/>
              </w:rPr>
              <w:t>Offer protected breaks, time off and deadline-aware client options. Optimize contribution and owner goals together, with assumptions visible.</w:t>
            </w:r>
          </w:p>
        </w:tc>
      </w:tr>
      <w:tr>
        <w:trPr>
          <w:cantSplit/>
        </w:trPr>
        <w:tc>
          <w:tcPr>
            <w:tcW w:type="dxa" w:w="2592"/>
            <w:vAlign w:val="top"/>
          </w:tcPr>
          <w:p>
            <w:pPr>
              <w:keepNext w:val="0"/>
              <w:spacing w:after="50" w:before="20" w:line="250" w:lineRule="auto"/>
            </w:pPr>
            <w:r>
              <w:rPr>
                <w:rFonts w:ascii="Arial" w:hAnsi="Arial"/>
                <w:sz w:val="18"/>
              </w:rPr>
              <w:t>Include clients with different needs</w:t>
            </w:r>
          </w:p>
        </w:tc>
        <w:tc>
          <w:tcPr>
            <w:tcW w:type="dxa" w:w="7632"/>
            <w:vAlign w:val="top"/>
          </w:tcPr>
          <w:p>
            <w:pPr>
              <w:keepNext w:val="0"/>
              <w:spacing w:after="50" w:before="20" w:line="250" w:lineRule="auto"/>
            </w:pPr>
            <w:r>
              <w:rPr>
                <w:rFonts w:ascii="Arial" w:hAnsi="Arial"/>
                <w:sz w:val="18"/>
              </w:rPr>
              <w:t>Keyboard and screen reader support, plain language, quiet-visit preferences, delegated payers and staff-assisted alternatives. Test accessibility against the chosen WCAG 2.2 target. [R04]</w:t>
            </w:r>
          </w:p>
        </w:tc>
      </w:tr>
      <w:tr>
        <w:trPr>
          <w:cantSplit/>
        </w:trPr>
        <w:tc>
          <w:tcPr>
            <w:tcW w:type="dxa" w:w="2592"/>
            <w:vAlign w:val="top"/>
            <w:shd w:fill="F3F6F7"/>
          </w:tcPr>
          <w:p>
            <w:pPr>
              <w:keepNext w:val="0"/>
              <w:spacing w:after="50" w:before="20" w:line="250" w:lineRule="auto"/>
            </w:pPr>
            <w:r>
              <w:rPr>
                <w:rFonts w:ascii="Arial" w:hAnsi="Arial"/>
                <w:sz w:val="18"/>
              </w:rPr>
              <w:t>Preserve ownership and continuity</w:t>
            </w:r>
          </w:p>
        </w:tc>
        <w:tc>
          <w:tcPr>
            <w:tcW w:type="dxa" w:w="7632"/>
            <w:vAlign w:val="top"/>
            <w:shd w:fill="F3F6F7"/>
          </w:tcPr>
          <w:p>
            <w:pPr>
              <w:keepNext w:val="0"/>
              <w:spacing w:after="50" w:before="20" w:line="250" w:lineRule="auto"/>
            </w:pPr>
            <w:r>
              <w:rPr>
                <w:rFonts w:ascii="Arial" w:hAnsi="Arial"/>
                <w:sz w:val="18"/>
              </w:rPr>
              <w:t>Provide supported export, historical read access, consent-aware sharing and a rehearsed switching process. An active entitlement must remain usable through cutover.</w:t>
            </w:r>
          </w:p>
        </w:tc>
      </w:tr>
    </w:tbl>
    <w:p>
      <w:pPr>
        <w:spacing w:after="40" w:before="0" w:line="240" w:lineRule="auto"/>
      </w:pPr>
      <w:r>
        <w:rPr>
          <w:sz w:val="4"/>
        </w:rPr>
      </w:r>
    </w:p>
    <w:p>
      <w:pPr>
        <w:pStyle w:val="Heading2"/>
      </w:pPr>
      <w:r>
        <w:t>1 4 Research method and limitations</w:t>
      </w:r>
    </w:p>
    <w:p>
      <w:r>
        <w:t>Official product, pricing and help pages establish capabilities and documented boundaries. Dated app-store, Trustpilot and community reports supply problem examples. Cross-industry research separates feature-level usage or experimental outcomes from general platform popularity. The supplied workbook was read across all seven sheets and reconciled row by row.</w:t>
      </w:r>
    </w:p>
    <w:p>
      <w:r>
        <w:t>Review sites are self-selected; some reviews are invited. Business and consumer reviews describe different tasks. Historical reviews may predate a fix, and an alleged limitation may actually be a configuration or plan issue. No review score, complaint mention count or market-share ranking is treated as representative. Prices are not copied into a timeless comparison where country, billing period, add-ons or conflicting official pages make that misleading.</w:t>
      </w:r>
    </w:p>
    <w:p>
      <w:r>
        <w:t>Clinical and financial expansion requires its own product and operating decisions. HIPAA applicability depends on the entity and relationship; a beauty business is not automatically a covered entity. Payment dispute responsibilities also depend on the processor/platform architecture. These are reasons to recruit qualified advisers when enabling those workflows. [R01, R02]</w:t>
      </w:r>
    </w:p>
    <w:p>
      <w:bookmarkStart w:id="3" w:name="competition"/>
      <w:pPr>
        <w:pStyle w:val="Heading1"/>
        <w:pageBreakBefore/>
      </w:pPr>
      <w:r>
        <w:t>2 Competitive review</w:t>
      </w:r>
      <w:bookmarkEnd w:id="3"/>
    </w:p>
    <w:p>
      <w:pPr>
        <w:pStyle w:val="Heading2"/>
      </w:pPr>
      <w:r>
        <w:t>2 1 GlossGenius and Vagaro positioning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1584"/>
        <w:gridCol w:w="4320"/>
        <w:gridCol w:w="4320"/>
      </w:tblGrid>
      <w:tr>
        <w:trPr>
          <w:tblHeader/>
        </w:trPr>
        <w:tc>
          <w:tcPr>
            <w:tcW w:type="dxa" w:w="1584"/>
            <w:vAlign w:val="top"/>
            <w:shd w:fill="173F50"/>
          </w:tcPr>
          <w:p>
            <w:pPr>
              <w:keepNext/>
              <w:spacing w:after="50" w:before="20" w:line="250" w:lineRule="auto"/>
            </w:pPr>
            <w:r>
              <w:rPr>
                <w:rFonts w:ascii="Arial" w:hAnsi="Arial"/>
                <w:b/>
                <w:color w:val="FFFFFF"/>
                <w:sz w:val="18"/>
              </w:rPr>
              <w:t>Product</w:t>
            </w:r>
          </w:p>
        </w:tc>
        <w:tc>
          <w:tcPr>
            <w:tcW w:type="dxa" w:w="4320"/>
            <w:vAlign w:val="top"/>
            <w:shd w:fill="173F50"/>
          </w:tcPr>
          <w:p>
            <w:pPr>
              <w:keepNext/>
              <w:spacing w:after="50" w:before="20" w:line="250" w:lineRule="auto"/>
            </w:pPr>
            <w:r>
              <w:rPr>
                <w:rFonts w:ascii="Arial" w:hAnsi="Arial"/>
                <w:b/>
                <w:color w:val="FFFFFF"/>
                <w:sz w:val="18"/>
              </w:rPr>
              <w:t>Current positioning</w:t>
            </w:r>
          </w:p>
        </w:tc>
        <w:tc>
          <w:tcPr>
            <w:tcW w:type="dxa" w:w="4320"/>
            <w:vAlign w:val="top"/>
            <w:shd w:fill="173F50"/>
          </w:tcPr>
          <w:p>
            <w:pPr>
              <w:keepNext/>
              <w:spacing w:after="50" w:before="20" w:line="250" w:lineRule="auto"/>
            </w:pPr>
            <w:r>
              <w:rPr>
                <w:rFonts w:ascii="Arial" w:hAnsi="Arial"/>
                <w:b/>
                <w:color w:val="FFFFFF"/>
                <w:sz w:val="18"/>
              </w:rPr>
              <w:t>Implication for this app</w:t>
            </w:r>
          </w:p>
        </w:tc>
      </w:tr>
      <w:tr>
        <w:trPr>
          <w:cantSplit/>
        </w:trPr>
        <w:tc>
          <w:tcPr>
            <w:tcW w:type="dxa" w:w="1584"/>
            <w:vAlign w:val="top"/>
          </w:tcPr>
          <w:p>
            <w:pPr>
              <w:keepNext w:val="0"/>
              <w:spacing w:after="50" w:before="20" w:line="250" w:lineRule="auto"/>
            </w:pPr>
            <w:r>
              <w:rPr>
                <w:rFonts w:ascii="Arial" w:hAnsi="Arial"/>
                <w:sz w:val="18"/>
              </w:rPr>
              <w:t>GlossGenius</w:t>
            </w:r>
          </w:p>
        </w:tc>
        <w:tc>
          <w:tcPr>
            <w:tcW w:type="dxa" w:w="4320"/>
            <w:vAlign w:val="top"/>
          </w:tcPr>
          <w:p>
            <w:pPr>
              <w:keepNext w:val="0"/>
              <w:spacing w:after="50" w:before="20" w:line="250" w:lineRule="auto"/>
            </w:pPr>
            <w:r>
              <w:rPr>
                <w:rFonts w:ascii="Arial" w:hAnsi="Arial"/>
                <w:sz w:val="18"/>
              </w:rPr>
              <w:t>Branded direct booking and integrated client, money and growth tools; AI and clinical extensions are advertised. [GG01, GG02, GG09, GG10]</w:t>
            </w:r>
          </w:p>
        </w:tc>
        <w:tc>
          <w:tcPr>
            <w:tcW w:type="dxa" w:w="4320"/>
            <w:vAlign w:val="top"/>
          </w:tcPr>
          <w:p>
            <w:pPr>
              <w:keepNext w:val="0"/>
              <w:spacing w:after="50" w:before="20" w:line="250" w:lineRule="auto"/>
            </w:pPr>
            <w:r>
              <w:rPr>
                <w:rFonts w:ascii="Arial" w:hAnsi="Arial"/>
                <w:sz w:val="18"/>
              </w:rPr>
              <w:t>Match the ease and visual coherence, then prove better switching, document continuity and action completion.</w:t>
            </w:r>
          </w:p>
        </w:tc>
      </w:tr>
      <w:tr>
        <w:trPr>
          <w:cantSplit/>
        </w:trPr>
        <w:tc>
          <w:tcPr>
            <w:tcW w:type="dxa" w:w="1584"/>
            <w:vAlign w:val="top"/>
            <w:shd w:fill="F3F6F7"/>
          </w:tcPr>
          <w:p>
            <w:pPr>
              <w:keepNext w:val="0"/>
              <w:spacing w:after="50" w:before="20" w:line="250" w:lineRule="auto"/>
            </w:pPr>
            <w:r>
              <w:rPr>
                <w:rFonts w:ascii="Arial" w:hAnsi="Arial"/>
                <w:sz w:val="18"/>
              </w:rPr>
              <w:t>Vagaro</w:t>
            </w:r>
          </w:p>
        </w:tc>
        <w:tc>
          <w:tcPr>
            <w:tcW w:type="dxa" w:w="4320"/>
            <w:vAlign w:val="top"/>
            <w:shd w:fill="F3F6F7"/>
          </w:tcPr>
          <w:p>
            <w:pPr>
              <w:keepNext w:val="0"/>
              <w:spacing w:after="50" w:before="20" w:line="250" w:lineRule="auto"/>
            </w:pPr>
            <w:r>
              <w:rPr>
                <w:rFonts w:ascii="Arial" w:hAnsi="Arial"/>
                <w:sz w:val="18"/>
              </w:rPr>
              <w:t>Broad salon, spa, fitness and medspa suite with optional branding, messaging, commerce and integrations. [VG01, VG02]</w:t>
            </w:r>
          </w:p>
        </w:tc>
        <w:tc>
          <w:tcPr>
            <w:tcW w:type="dxa" w:w="4320"/>
            <w:vAlign w:val="top"/>
            <w:shd w:fill="F3F6F7"/>
          </w:tcPr>
          <w:p>
            <w:pPr>
              <w:keepNext w:val="0"/>
              <w:spacing w:after="50" w:before="20" w:line="250" w:lineRule="auto"/>
            </w:pPr>
            <w:r>
              <w:rPr>
                <w:rFonts w:ascii="Arial" w:hAnsi="Arial"/>
                <w:sz w:val="18"/>
              </w:rPr>
              <w:t>Use progressive setup so the right specialty gets depth without exposing every module to every user.</w:t>
            </w:r>
          </w:p>
        </w:tc>
      </w:tr>
    </w:tbl>
    <w:p>
      <w:pPr>
        <w:spacing w:after="40" w:before="0" w:line="240" w:lineRule="auto"/>
      </w:pPr>
      <w:r>
        <w:rPr>
          <w:sz w:val="4"/>
        </w:rPr>
      </w:r>
    </w:p>
    <w:p>
      <w:r>
        <w:t>The next table reports selected evidence, not tested parity. “Advertised” and “documented” mean an official source describes the capability; no claim is made that every tier includes it. Unverified scope should become a demo or contract question, not a marketing statement that the competitor lacks the feature.</w:t>
      </w:r>
    </w:p>
    <w:p>
      <w:pPr>
        <w:pStyle w:val="Heading3"/>
      </w:pPr>
      <w:r>
        <w:t>Branding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3960"/>
        <w:gridCol w:w="2664"/>
        <w:gridCol w:w="3600"/>
      </w:tblGrid>
      <w:tr>
        <w:trPr>
          <w:tblHeader/>
        </w:trPr>
        <w:tc>
          <w:tcPr>
            <w:tcW w:type="dxa" w:w="3960"/>
            <w:vAlign w:val="top"/>
            <w:shd w:fill="173F50"/>
          </w:tcPr>
          <w:p>
            <w:pPr>
              <w:keepNext/>
              <w:spacing w:after="50" w:before="20" w:line="250" w:lineRule="auto"/>
            </w:pPr>
            <w:r>
              <w:rPr>
                <w:rFonts w:ascii="Arial" w:hAnsi="Arial"/>
                <w:b/>
                <w:color w:val="FFFFFF"/>
                <w:sz w:val="18"/>
              </w:rPr>
              <w:t>Capability</w:t>
            </w:r>
          </w:p>
        </w:tc>
        <w:tc>
          <w:tcPr>
            <w:tcW w:type="dxa" w:w="2664"/>
            <w:vAlign w:val="top"/>
            <w:shd w:fill="173F50"/>
          </w:tcPr>
          <w:p>
            <w:pPr>
              <w:keepNext/>
              <w:spacing w:after="50" w:before="20" w:line="250" w:lineRule="auto"/>
            </w:pPr>
            <w:r>
              <w:rPr>
                <w:rFonts w:ascii="Arial" w:hAnsi="Arial"/>
                <w:b/>
                <w:color w:val="FFFFFF"/>
                <w:sz w:val="18"/>
              </w:rPr>
              <w:t>GlossGenius</w:t>
            </w:r>
          </w:p>
        </w:tc>
        <w:tc>
          <w:tcPr>
            <w:tcW w:type="dxa" w:w="3600"/>
            <w:vAlign w:val="top"/>
            <w:shd w:fill="173F50"/>
          </w:tcPr>
          <w:p>
            <w:pPr>
              <w:keepNext/>
              <w:spacing w:after="50" w:before="20" w:line="250" w:lineRule="auto"/>
            </w:pPr>
            <w:r>
              <w:rPr>
                <w:rFonts w:ascii="Arial" w:hAnsi="Arial"/>
                <w:b/>
                <w:color w:val="FFFFFF"/>
                <w:sz w:val="18"/>
              </w:rPr>
              <w:t>Vagaro and sources</w:t>
            </w:r>
          </w:p>
        </w:tc>
      </w:tr>
      <w:tr>
        <w:trPr>
          <w:cantSplit/>
        </w:trPr>
        <w:tc>
          <w:tcPr>
            <w:tcW w:type="dxa" w:w="3960"/>
            <w:vAlign w:val="top"/>
          </w:tcPr>
          <w:p>
            <w:pPr>
              <w:keepNext w:val="0"/>
              <w:spacing w:after="50" w:before="20" w:line="250" w:lineRule="auto"/>
            </w:pPr>
            <w:r>
              <w:rPr>
                <w:rFonts w:ascii="Arial" w:hAnsi="Arial"/>
                <w:sz w:val="18"/>
              </w:rPr>
              <w:t>Website colors, fonts and templates</w:t>
            </w:r>
          </w:p>
        </w:tc>
        <w:tc>
          <w:tcPr>
            <w:tcW w:type="dxa" w:w="2664"/>
            <w:vAlign w:val="top"/>
          </w:tcPr>
          <w:p>
            <w:pPr>
              <w:keepNext w:val="0"/>
              <w:spacing w:after="50" w:before="20" w:line="250" w:lineRule="auto"/>
            </w:pPr>
            <w:r>
              <w:rPr>
                <w:rFonts w:ascii="Arial" w:hAnsi="Arial"/>
                <w:sz w:val="18"/>
              </w:rPr>
              <w:t>Advertised</w:t>
            </w:r>
          </w:p>
        </w:tc>
        <w:tc>
          <w:tcPr>
            <w:tcW w:type="dxa" w:w="3600"/>
            <w:vAlign w:val="top"/>
          </w:tcPr>
          <w:p>
            <w:pPr>
              <w:keepNext w:val="0"/>
              <w:spacing w:after="50" w:before="20" w:line="250" w:lineRule="auto"/>
            </w:pPr>
            <w:r>
              <w:rPr>
                <w:rFonts w:ascii="Arial" w:hAnsi="Arial"/>
                <w:sz w:val="18"/>
              </w:rPr>
              <w:t>MySite add-on [GG02, VG09]</w:t>
            </w:r>
          </w:p>
        </w:tc>
      </w:tr>
      <w:tr>
        <w:trPr>
          <w:cantSplit/>
        </w:trPr>
        <w:tc>
          <w:tcPr>
            <w:tcW w:type="dxa" w:w="3960"/>
            <w:vAlign w:val="top"/>
            <w:shd w:fill="F3F6F7"/>
          </w:tcPr>
          <w:p>
            <w:pPr>
              <w:keepNext w:val="0"/>
              <w:spacing w:after="50" w:before="20" w:line="250" w:lineRule="auto"/>
            </w:pPr>
            <w:r>
              <w:rPr>
                <w:rFonts w:ascii="Arial" w:hAnsi="Arial"/>
                <w:sz w:val="18"/>
              </w:rPr>
              <w:t>Portfolios, service images, team profiles</w:t>
            </w:r>
          </w:p>
        </w:tc>
        <w:tc>
          <w:tcPr>
            <w:tcW w:type="dxa" w:w="2664"/>
            <w:vAlign w:val="top"/>
            <w:shd w:fill="F3F6F7"/>
          </w:tcPr>
          <w:p>
            <w:pPr>
              <w:keepNext w:val="0"/>
              <w:spacing w:after="50" w:before="20" w:line="250" w:lineRule="auto"/>
            </w:pPr>
            <w:r>
              <w:rPr>
                <w:rFonts w:ascii="Arial" w:hAnsi="Arial"/>
                <w:sz w:val="18"/>
              </w:rPr>
              <w:t>Advertised</w:t>
            </w:r>
          </w:p>
        </w:tc>
        <w:tc>
          <w:tcPr>
            <w:tcW w:type="dxa" w:w="3600"/>
            <w:vAlign w:val="top"/>
            <w:shd w:fill="F3F6F7"/>
          </w:tcPr>
          <w:p>
            <w:pPr>
              <w:keepNext w:val="0"/>
              <w:spacing w:after="50" w:before="20" w:line="250" w:lineRule="auto"/>
            </w:pPr>
            <w:r>
              <w:rPr>
                <w:rFonts w:ascii="Arial" w:hAnsi="Arial"/>
                <w:sz w:val="18"/>
              </w:rPr>
              <w:t>MySite custom content [GG02, VG09]</w:t>
            </w:r>
          </w:p>
        </w:tc>
      </w:tr>
      <w:tr>
        <w:trPr>
          <w:cantSplit/>
        </w:trPr>
        <w:tc>
          <w:tcPr>
            <w:tcW w:type="dxa" w:w="3960"/>
            <w:vAlign w:val="top"/>
          </w:tcPr>
          <w:p>
            <w:pPr>
              <w:keepNext w:val="0"/>
              <w:spacing w:after="50" w:before="20" w:line="250" w:lineRule="auto"/>
            </w:pPr>
            <w:r>
              <w:rPr>
                <w:rFonts w:ascii="Arial" w:hAnsi="Arial"/>
                <w:sz w:val="18"/>
              </w:rPr>
              <w:t>Custom domain, preview and site restore</w:t>
            </w:r>
          </w:p>
        </w:tc>
        <w:tc>
          <w:tcPr>
            <w:tcW w:type="dxa" w:w="2664"/>
            <w:vAlign w:val="top"/>
          </w:tcPr>
          <w:p>
            <w:pPr>
              <w:keepNext w:val="0"/>
              <w:spacing w:after="50" w:before="20" w:line="250" w:lineRule="auto"/>
            </w:pPr>
            <w:r>
              <w:rPr>
                <w:rFonts w:ascii="Arial" w:hAnsi="Arial"/>
                <w:sz w:val="18"/>
              </w:rPr>
              <w:t>Domain scope unverified</w:t>
            </w:r>
          </w:p>
        </w:tc>
        <w:tc>
          <w:tcPr>
            <w:tcW w:type="dxa" w:w="3600"/>
            <w:vAlign w:val="top"/>
          </w:tcPr>
          <w:p>
            <w:pPr>
              <w:keepNext w:val="0"/>
              <w:spacing w:after="50" w:before="20" w:line="250" w:lineRule="auto"/>
            </w:pPr>
            <w:r>
              <w:rPr>
                <w:rFonts w:ascii="Arial" w:hAnsi="Arial"/>
                <w:sz w:val="18"/>
              </w:rPr>
              <w:t>MySite supports these [VG09]</w:t>
            </w:r>
          </w:p>
        </w:tc>
      </w:tr>
      <w:tr>
        <w:trPr>
          <w:cantSplit/>
        </w:trPr>
        <w:tc>
          <w:tcPr>
            <w:tcW w:type="dxa" w:w="3960"/>
            <w:vAlign w:val="top"/>
            <w:shd w:fill="F3F6F7"/>
          </w:tcPr>
          <w:p>
            <w:pPr>
              <w:keepNext w:val="0"/>
              <w:spacing w:after="50" w:before="20" w:line="250" w:lineRule="auto"/>
            </w:pPr>
            <w:r>
              <w:rPr>
                <w:rFonts w:ascii="Arial" w:hAnsi="Arial"/>
                <w:sz w:val="18"/>
              </w:rPr>
              <w:t>Dedicated branded native client app</w:t>
            </w:r>
          </w:p>
        </w:tc>
        <w:tc>
          <w:tcPr>
            <w:tcW w:type="dxa" w:w="2664"/>
            <w:vAlign w:val="top"/>
            <w:shd w:fill="F3F6F7"/>
          </w:tcPr>
          <w:p>
            <w:pPr>
              <w:keepNext w:val="0"/>
              <w:spacing w:after="50" w:before="20" w:line="250" w:lineRule="auto"/>
            </w:pPr>
            <w:r>
              <w:rPr>
                <w:rFonts w:ascii="Arial" w:hAnsi="Arial"/>
                <w:sz w:val="18"/>
              </w:rPr>
              <w:t>Not established</w:t>
            </w:r>
          </w:p>
        </w:tc>
        <w:tc>
          <w:tcPr>
            <w:tcW w:type="dxa" w:w="3600"/>
            <w:vAlign w:val="top"/>
            <w:shd w:fill="F3F6F7"/>
          </w:tcPr>
          <w:p>
            <w:pPr>
              <w:keepNext w:val="0"/>
              <w:spacing w:after="50" w:before="20" w:line="250" w:lineRule="auto"/>
            </w:pPr>
            <w:r>
              <w:rPr>
                <w:rFonts w:ascii="Arial" w:hAnsi="Arial"/>
                <w:sz w:val="18"/>
              </w:rPr>
              <w:t>Paid add-on [VG10]</w:t>
            </w:r>
          </w:p>
        </w:tc>
      </w:tr>
    </w:tbl>
    <w:p>
      <w:pPr>
        <w:spacing w:after="40" w:before="0" w:line="240" w:lineRule="auto"/>
      </w:pPr>
      <w:r>
        <w:rPr>
          <w:sz w:val="4"/>
        </w:rPr>
      </w:r>
    </w:p>
    <w:p>
      <w:pPr>
        <w:pStyle w:val="Heading3"/>
      </w:pPr>
      <w:r>
        <w:t>Booking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3960"/>
        <w:gridCol w:w="2664"/>
        <w:gridCol w:w="3600"/>
      </w:tblGrid>
      <w:tr>
        <w:trPr>
          <w:tblHeader/>
        </w:trPr>
        <w:tc>
          <w:tcPr>
            <w:tcW w:type="dxa" w:w="3960"/>
            <w:vAlign w:val="top"/>
            <w:shd w:fill="173F50"/>
          </w:tcPr>
          <w:p>
            <w:pPr>
              <w:keepNext/>
              <w:spacing w:after="50" w:before="20" w:line="250" w:lineRule="auto"/>
            </w:pPr>
            <w:r>
              <w:rPr>
                <w:rFonts w:ascii="Arial" w:hAnsi="Arial"/>
                <w:b/>
                <w:color w:val="FFFFFF"/>
                <w:sz w:val="18"/>
              </w:rPr>
              <w:t>Capability</w:t>
            </w:r>
          </w:p>
        </w:tc>
        <w:tc>
          <w:tcPr>
            <w:tcW w:type="dxa" w:w="2664"/>
            <w:vAlign w:val="top"/>
            <w:shd w:fill="173F50"/>
          </w:tcPr>
          <w:p>
            <w:pPr>
              <w:keepNext/>
              <w:spacing w:after="50" w:before="20" w:line="250" w:lineRule="auto"/>
            </w:pPr>
            <w:r>
              <w:rPr>
                <w:rFonts w:ascii="Arial" w:hAnsi="Arial"/>
                <w:b/>
                <w:color w:val="FFFFFF"/>
                <w:sz w:val="18"/>
              </w:rPr>
              <w:t>GlossGenius</w:t>
            </w:r>
          </w:p>
        </w:tc>
        <w:tc>
          <w:tcPr>
            <w:tcW w:type="dxa" w:w="3600"/>
            <w:vAlign w:val="top"/>
            <w:shd w:fill="173F50"/>
          </w:tcPr>
          <w:p>
            <w:pPr>
              <w:keepNext/>
              <w:spacing w:after="50" w:before="20" w:line="250" w:lineRule="auto"/>
            </w:pPr>
            <w:r>
              <w:rPr>
                <w:rFonts w:ascii="Arial" w:hAnsi="Arial"/>
                <w:b/>
                <w:color w:val="FFFFFF"/>
                <w:sz w:val="18"/>
              </w:rPr>
              <w:t>Vagaro and sources</w:t>
            </w:r>
          </w:p>
        </w:tc>
      </w:tr>
      <w:tr>
        <w:trPr>
          <w:cantSplit/>
        </w:trPr>
        <w:tc>
          <w:tcPr>
            <w:tcW w:type="dxa" w:w="3960"/>
            <w:vAlign w:val="top"/>
          </w:tcPr>
          <w:p>
            <w:pPr>
              <w:keepNext w:val="0"/>
              <w:spacing w:after="50" w:before="20" w:line="250" w:lineRule="auto"/>
            </w:pPr>
            <w:r>
              <w:rPr>
                <w:rFonts w:ascii="Arial" w:hAnsi="Arial"/>
                <w:sz w:val="18"/>
              </w:rPr>
              <w:t>Service menu</w:t>
            </w:r>
          </w:p>
        </w:tc>
        <w:tc>
          <w:tcPr>
            <w:tcW w:type="dxa" w:w="2664"/>
            <w:vAlign w:val="top"/>
          </w:tcPr>
          <w:p>
            <w:pPr>
              <w:keepNext w:val="0"/>
              <w:spacing w:after="50" w:before="20" w:line="250" w:lineRule="auto"/>
            </w:pPr>
            <w:r>
              <w:rPr>
                <w:rFonts w:ascii="Arial" w:hAnsi="Arial"/>
                <w:sz w:val="18"/>
              </w:rPr>
              <w:t>Advertised</w:t>
            </w:r>
          </w:p>
        </w:tc>
        <w:tc>
          <w:tcPr>
            <w:tcW w:type="dxa" w:w="3600"/>
            <w:vAlign w:val="top"/>
          </w:tcPr>
          <w:p>
            <w:pPr>
              <w:keepNext w:val="0"/>
              <w:spacing w:after="50" w:before="20" w:line="250" w:lineRule="auto"/>
            </w:pPr>
            <w:r>
              <w:rPr>
                <w:rFonts w:ascii="Arial" w:hAnsi="Arial"/>
                <w:sz w:val="18"/>
              </w:rPr>
              <w:t>Advertised [GG04, VG01]</w:t>
            </w:r>
          </w:p>
        </w:tc>
      </w:tr>
      <w:tr>
        <w:trPr>
          <w:cantSplit/>
        </w:trPr>
        <w:tc>
          <w:tcPr>
            <w:tcW w:type="dxa" w:w="3960"/>
            <w:vAlign w:val="top"/>
            <w:shd w:fill="F3F6F7"/>
          </w:tcPr>
          <w:p>
            <w:pPr>
              <w:keepNext w:val="0"/>
              <w:spacing w:after="50" w:before="20" w:line="250" w:lineRule="auto"/>
            </w:pPr>
            <w:r>
              <w:rPr>
                <w:rFonts w:ascii="Arial" w:hAnsi="Arial"/>
                <w:sz w:val="18"/>
              </w:rPr>
              <w:t>Calendar views</w:t>
            </w:r>
          </w:p>
        </w:tc>
        <w:tc>
          <w:tcPr>
            <w:tcW w:type="dxa" w:w="2664"/>
            <w:vAlign w:val="top"/>
            <w:shd w:fill="F3F6F7"/>
          </w:tcPr>
          <w:p>
            <w:pPr>
              <w:keepNext w:val="0"/>
              <w:spacing w:after="50" w:before="20" w:line="250" w:lineRule="auto"/>
            </w:pPr>
            <w:r>
              <w:rPr>
                <w:rFonts w:ascii="Arial" w:hAnsi="Arial"/>
                <w:sz w:val="18"/>
              </w:rPr>
              <w:t>Advertised</w:t>
            </w:r>
          </w:p>
        </w:tc>
        <w:tc>
          <w:tcPr>
            <w:tcW w:type="dxa" w:w="3600"/>
            <w:vAlign w:val="top"/>
            <w:shd w:fill="F3F6F7"/>
          </w:tcPr>
          <w:p>
            <w:pPr>
              <w:keepNext w:val="0"/>
              <w:spacing w:after="50" w:before="20" w:line="250" w:lineRule="auto"/>
            </w:pPr>
            <w:r>
              <w:rPr>
                <w:rFonts w:ascii="Arial" w:hAnsi="Arial"/>
                <w:sz w:val="18"/>
              </w:rPr>
              <w:t>Advertised [GG04, VG01]</w:t>
            </w:r>
          </w:p>
        </w:tc>
      </w:tr>
      <w:tr>
        <w:trPr>
          <w:cantSplit/>
        </w:trPr>
        <w:tc>
          <w:tcPr>
            <w:tcW w:type="dxa" w:w="3960"/>
            <w:vAlign w:val="top"/>
          </w:tcPr>
          <w:p>
            <w:pPr>
              <w:keepNext w:val="0"/>
              <w:spacing w:after="50" w:before="20" w:line="250" w:lineRule="auto"/>
            </w:pPr>
            <w:r>
              <w:rPr>
                <w:rFonts w:ascii="Arial" w:hAnsi="Arial"/>
                <w:sz w:val="18"/>
              </w:rPr>
              <w:t>Calendar drag and resize</w:t>
            </w:r>
          </w:p>
        </w:tc>
        <w:tc>
          <w:tcPr>
            <w:tcW w:type="dxa" w:w="2664"/>
            <w:vAlign w:val="top"/>
          </w:tcPr>
          <w:p>
            <w:pPr>
              <w:keepNext w:val="0"/>
              <w:spacing w:after="50" w:before="20" w:line="250" w:lineRule="auto"/>
            </w:pPr>
            <w:r>
              <w:rPr>
                <w:rFonts w:ascii="Arial" w:hAnsi="Arial"/>
                <w:sz w:val="18"/>
              </w:rPr>
              <w:t>Desktop advertised</w:t>
            </w:r>
          </w:p>
        </w:tc>
        <w:tc>
          <w:tcPr>
            <w:tcW w:type="dxa" w:w="3600"/>
            <w:vAlign w:val="top"/>
          </w:tcPr>
          <w:p>
            <w:pPr>
              <w:keepNext w:val="0"/>
              <w:spacing w:after="50" w:before="20" w:line="250" w:lineRule="auto"/>
            </w:pPr>
            <w:r>
              <w:rPr>
                <w:rFonts w:ascii="Arial" w:hAnsi="Arial"/>
                <w:sz w:val="18"/>
              </w:rPr>
              <w:t>Calendar capability [GG04, VG01]</w:t>
            </w:r>
          </w:p>
        </w:tc>
      </w:tr>
      <w:tr>
        <w:trPr>
          <w:cantSplit/>
        </w:trPr>
        <w:tc>
          <w:tcPr>
            <w:tcW w:type="dxa" w:w="3960"/>
            <w:vAlign w:val="top"/>
            <w:shd w:fill="F3F6F7"/>
          </w:tcPr>
          <w:p>
            <w:pPr>
              <w:keepNext w:val="0"/>
              <w:spacing w:after="50" w:before="20" w:line="250" w:lineRule="auto"/>
            </w:pPr>
            <w:r>
              <w:rPr>
                <w:rFonts w:ascii="Arial" w:hAnsi="Arial"/>
                <w:sz w:val="18"/>
              </w:rPr>
              <w:t>Availability and blocks</w:t>
            </w:r>
          </w:p>
        </w:tc>
        <w:tc>
          <w:tcPr>
            <w:tcW w:type="dxa" w:w="2664"/>
            <w:vAlign w:val="top"/>
            <w:shd w:fill="F3F6F7"/>
          </w:tcPr>
          <w:p>
            <w:pPr>
              <w:keepNext w:val="0"/>
              <w:spacing w:after="50" w:before="20" w:line="250" w:lineRule="auto"/>
            </w:pPr>
            <w:r>
              <w:rPr>
                <w:rFonts w:ascii="Arial" w:hAnsi="Arial"/>
                <w:sz w:val="18"/>
              </w:rPr>
              <w:t>Calendar settings</w:t>
            </w:r>
          </w:p>
        </w:tc>
        <w:tc>
          <w:tcPr>
            <w:tcW w:type="dxa" w:w="3600"/>
            <w:vAlign w:val="top"/>
            <w:shd w:fill="F3F6F7"/>
          </w:tcPr>
          <w:p>
            <w:pPr>
              <w:keepNext w:val="0"/>
              <w:spacing w:after="50" w:before="20" w:line="250" w:lineRule="auto"/>
            </w:pPr>
            <w:r>
              <w:rPr>
                <w:rFonts w:ascii="Arial" w:hAnsi="Arial"/>
                <w:sz w:val="18"/>
              </w:rPr>
              <w:t>Recurring tasks advertised [GG04, VG01]</w:t>
            </w:r>
          </w:p>
        </w:tc>
      </w:tr>
      <w:tr>
        <w:trPr>
          <w:cantSplit/>
        </w:trPr>
        <w:tc>
          <w:tcPr>
            <w:tcW w:type="dxa" w:w="3960"/>
            <w:vAlign w:val="top"/>
          </w:tcPr>
          <w:p>
            <w:pPr>
              <w:keepNext w:val="0"/>
              <w:spacing w:after="50" w:before="20" w:line="250" w:lineRule="auto"/>
            </w:pPr>
            <w:r>
              <w:rPr>
                <w:rFonts w:ascii="Arial" w:hAnsi="Arial"/>
                <w:sz w:val="18"/>
              </w:rPr>
              <w:t>Lead times, intervals and booking rules</w:t>
            </w:r>
          </w:p>
        </w:tc>
        <w:tc>
          <w:tcPr>
            <w:tcW w:type="dxa" w:w="2664"/>
            <w:vAlign w:val="top"/>
          </w:tcPr>
          <w:p>
            <w:pPr>
              <w:keepNext w:val="0"/>
              <w:spacing w:after="50" w:before="20" w:line="250" w:lineRule="auto"/>
            </w:pPr>
            <w:r>
              <w:rPr>
                <w:rFonts w:ascii="Arial" w:hAnsi="Arial"/>
                <w:sz w:val="18"/>
              </w:rPr>
              <w:t>Custom rules advertised</w:t>
            </w:r>
          </w:p>
        </w:tc>
        <w:tc>
          <w:tcPr>
            <w:tcW w:type="dxa" w:w="3600"/>
            <w:vAlign w:val="top"/>
          </w:tcPr>
          <w:p>
            <w:pPr>
              <w:keepNext w:val="0"/>
              <w:spacing w:after="50" w:before="20" w:line="250" w:lineRule="auto"/>
            </w:pPr>
            <w:r>
              <w:rPr>
                <w:rFonts w:ascii="Arial" w:hAnsi="Arial"/>
                <w:sz w:val="18"/>
              </w:rPr>
              <w:t>Explicit settings [GG02, VG04]</w:t>
            </w:r>
          </w:p>
        </w:tc>
      </w:tr>
      <w:tr>
        <w:trPr>
          <w:cantSplit/>
        </w:trPr>
        <w:tc>
          <w:tcPr>
            <w:tcW w:type="dxa" w:w="3960"/>
            <w:vAlign w:val="top"/>
            <w:shd w:fill="F3F6F7"/>
          </w:tcPr>
          <w:p>
            <w:pPr>
              <w:keepNext w:val="0"/>
              <w:spacing w:after="50" w:before="20" w:line="250" w:lineRule="auto"/>
            </w:pPr>
            <w:r>
              <w:rPr>
                <w:rFonts w:ascii="Arial" w:hAnsi="Arial"/>
                <w:sz w:val="18"/>
              </w:rPr>
              <w:t>Processing gaps for parallel services</w:t>
            </w:r>
          </w:p>
        </w:tc>
        <w:tc>
          <w:tcPr>
            <w:tcW w:type="dxa" w:w="2664"/>
            <w:vAlign w:val="top"/>
            <w:shd w:fill="F3F6F7"/>
          </w:tcPr>
          <w:p>
            <w:pPr>
              <w:keepNext w:val="0"/>
              <w:spacing w:after="50" w:before="20" w:line="250" w:lineRule="auto"/>
            </w:pPr>
            <w:r>
              <w:rPr>
                <w:rFonts w:ascii="Arial" w:hAnsi="Arial"/>
                <w:sz w:val="18"/>
              </w:rPr>
              <w:t>Documented</w:t>
            </w:r>
          </w:p>
        </w:tc>
        <w:tc>
          <w:tcPr>
            <w:tcW w:type="dxa" w:w="3600"/>
            <w:vAlign w:val="top"/>
            <w:shd w:fill="F3F6F7"/>
          </w:tcPr>
          <w:p>
            <w:pPr>
              <w:keepNext w:val="0"/>
              <w:spacing w:after="50" w:before="20" w:line="250" w:lineRule="auto"/>
            </w:pPr>
            <w:r>
              <w:rPr>
                <w:rFonts w:ascii="Arial" w:hAnsi="Arial"/>
                <w:sz w:val="18"/>
              </w:rPr>
              <w:t>Explicit capability [R12, VG05]</w:t>
            </w:r>
          </w:p>
        </w:tc>
      </w:tr>
      <w:tr>
        <w:trPr>
          <w:cantSplit/>
        </w:trPr>
        <w:tc>
          <w:tcPr>
            <w:tcW w:type="dxa" w:w="3960"/>
            <w:vAlign w:val="top"/>
          </w:tcPr>
          <w:p>
            <w:pPr>
              <w:keepNext w:val="0"/>
              <w:spacing w:after="50" w:before="20" w:line="250" w:lineRule="auto"/>
            </w:pPr>
            <w:r>
              <w:rPr>
                <w:rFonts w:ascii="Arial" w:hAnsi="Arial"/>
                <w:sz w:val="18"/>
              </w:rPr>
              <w:t>Rooms, chairs and equipment reservations</w:t>
            </w:r>
          </w:p>
        </w:tc>
        <w:tc>
          <w:tcPr>
            <w:tcW w:type="dxa" w:w="2664"/>
            <w:vAlign w:val="top"/>
          </w:tcPr>
          <w:p>
            <w:pPr>
              <w:keepNext w:val="0"/>
              <w:spacing w:after="50" w:before="20" w:line="250" w:lineRule="auto"/>
            </w:pPr>
            <w:r>
              <w:rPr>
                <w:rFonts w:ascii="Arial" w:hAnsi="Arial"/>
                <w:sz w:val="18"/>
              </w:rPr>
              <w:t>Advertised; plan-dependent</w:t>
            </w:r>
          </w:p>
        </w:tc>
        <w:tc>
          <w:tcPr>
            <w:tcW w:type="dxa" w:w="3600"/>
            <w:vAlign w:val="top"/>
          </w:tcPr>
          <w:p>
            <w:pPr>
              <w:keepNext w:val="0"/>
              <w:spacing w:after="50" w:before="20" w:line="250" w:lineRule="auto"/>
            </w:pPr>
            <w:r>
              <w:rPr>
                <w:rFonts w:ascii="Arial" w:hAnsi="Arial"/>
                <w:sz w:val="18"/>
              </w:rPr>
              <w:t>Resource management advertised [GG04, VG16]</w:t>
            </w:r>
          </w:p>
        </w:tc>
      </w:tr>
      <w:tr>
        <w:trPr>
          <w:cantSplit/>
        </w:trPr>
        <w:tc>
          <w:tcPr>
            <w:tcW w:type="dxa" w:w="3960"/>
            <w:vAlign w:val="top"/>
            <w:shd w:fill="F3F6F7"/>
          </w:tcPr>
          <w:p>
            <w:pPr>
              <w:keepNext w:val="0"/>
              <w:spacing w:after="50" w:before="20" w:line="250" w:lineRule="auto"/>
            </w:pPr>
            <w:r>
              <w:rPr>
                <w:rFonts w:ascii="Arial" w:hAnsi="Arial"/>
                <w:sz w:val="18"/>
              </w:rPr>
              <w:t>Multi-service and provider journeys</w:t>
            </w:r>
          </w:p>
        </w:tc>
        <w:tc>
          <w:tcPr>
            <w:tcW w:type="dxa" w:w="2664"/>
            <w:vAlign w:val="top"/>
            <w:shd w:fill="F3F6F7"/>
          </w:tcPr>
          <w:p>
            <w:pPr>
              <w:keepNext w:val="0"/>
              <w:spacing w:after="50" w:before="20" w:line="250" w:lineRule="auto"/>
            </w:pPr>
            <w:r>
              <w:rPr>
                <w:rFonts w:ascii="Arial" w:hAnsi="Arial"/>
                <w:sz w:val="18"/>
              </w:rPr>
              <w:t>Add-ons advertised; full scope unverified</w:t>
            </w:r>
          </w:p>
        </w:tc>
        <w:tc>
          <w:tcPr>
            <w:tcW w:type="dxa" w:w="3600"/>
            <w:vAlign w:val="top"/>
            <w:shd w:fill="F3F6F7"/>
          </w:tcPr>
          <w:p>
            <w:pPr>
              <w:keepNext w:val="0"/>
              <w:spacing w:after="50" w:before="20" w:line="250" w:lineRule="auto"/>
            </w:pPr>
            <w:r>
              <w:rPr>
                <w:rFonts w:ascii="Arial" w:hAnsi="Arial"/>
                <w:sz w:val="18"/>
              </w:rPr>
              <w:t>Bundles/multiple providers [GG16, VG01]</w:t>
            </w:r>
          </w:p>
        </w:tc>
      </w:tr>
      <w:tr>
        <w:trPr>
          <w:cantSplit/>
        </w:trPr>
        <w:tc>
          <w:tcPr>
            <w:tcW w:type="dxa" w:w="3960"/>
            <w:vAlign w:val="top"/>
          </w:tcPr>
          <w:p>
            <w:pPr>
              <w:keepNext w:val="0"/>
              <w:spacing w:after="50" w:before="20" w:line="250" w:lineRule="auto"/>
            </w:pPr>
            <w:r>
              <w:rPr>
                <w:rFonts w:ascii="Arial" w:hAnsi="Arial"/>
                <w:sz w:val="18"/>
              </w:rPr>
              <w:t>No-login or no-download booking</w:t>
            </w:r>
          </w:p>
        </w:tc>
        <w:tc>
          <w:tcPr>
            <w:tcW w:type="dxa" w:w="2664"/>
            <w:vAlign w:val="top"/>
          </w:tcPr>
          <w:p>
            <w:pPr>
              <w:keepNext w:val="0"/>
              <w:spacing w:after="50" w:before="20" w:line="250" w:lineRule="auto"/>
            </w:pPr>
            <w:r>
              <w:rPr>
                <w:rFonts w:ascii="Arial" w:hAnsi="Arial"/>
                <w:sz w:val="18"/>
              </w:rPr>
              <w:t>Explicitly advertised</w:t>
            </w:r>
          </w:p>
        </w:tc>
        <w:tc>
          <w:tcPr>
            <w:tcW w:type="dxa" w:w="3600"/>
            <w:vAlign w:val="top"/>
          </w:tcPr>
          <w:p>
            <w:pPr>
              <w:keepNext w:val="0"/>
              <w:spacing w:after="50" w:before="20" w:line="250" w:lineRule="auto"/>
            </w:pPr>
            <w:r>
              <w:rPr>
                <w:rFonts w:ascii="Arial" w:hAnsi="Arial"/>
                <w:sz w:val="18"/>
              </w:rPr>
              <w:t>Exact login requirements need testing [GG02]</w:t>
            </w:r>
          </w:p>
        </w:tc>
      </w:tr>
      <w:tr>
        <w:trPr>
          <w:cantSplit/>
        </w:trPr>
        <w:tc>
          <w:tcPr>
            <w:tcW w:type="dxa" w:w="3960"/>
            <w:vAlign w:val="top"/>
            <w:shd w:fill="F3F6F7"/>
          </w:tcPr>
          <w:p>
            <w:pPr>
              <w:keepNext w:val="0"/>
              <w:spacing w:after="50" w:before="20" w:line="250" w:lineRule="auto"/>
            </w:pPr>
            <w:r>
              <w:rPr>
                <w:rFonts w:ascii="Arial" w:hAnsi="Arial"/>
                <w:sz w:val="18"/>
              </w:rPr>
              <w:t>Client self-reschedule and cancellation</w:t>
            </w:r>
          </w:p>
        </w:tc>
        <w:tc>
          <w:tcPr>
            <w:tcW w:type="dxa" w:w="2664"/>
            <w:vAlign w:val="top"/>
            <w:shd w:fill="F3F6F7"/>
          </w:tcPr>
          <w:p>
            <w:pPr>
              <w:keepNext w:val="0"/>
              <w:spacing w:after="50" w:before="20" w:line="250" w:lineRule="auto"/>
            </w:pPr>
            <w:r>
              <w:rPr>
                <w:rFonts w:ascii="Arial" w:hAnsi="Arial"/>
                <w:sz w:val="18"/>
              </w:rPr>
              <w:t>Advertised</w:t>
            </w:r>
          </w:p>
        </w:tc>
        <w:tc>
          <w:tcPr>
            <w:tcW w:type="dxa" w:w="3600"/>
            <w:vAlign w:val="top"/>
            <w:shd w:fill="F3F6F7"/>
          </w:tcPr>
          <w:p>
            <w:pPr>
              <w:keepNext w:val="0"/>
              <w:spacing w:after="50" w:before="20" w:line="250" w:lineRule="auto"/>
            </w:pPr>
            <w:r>
              <w:rPr>
                <w:rFonts w:ascii="Arial" w:hAnsi="Arial"/>
                <w:sz w:val="18"/>
              </w:rPr>
              <w:t>Rules-supported workflow [GG11, VG04]</w:t>
            </w:r>
          </w:p>
        </w:tc>
      </w:tr>
      <w:tr>
        <w:trPr>
          <w:cantSplit/>
        </w:trPr>
        <w:tc>
          <w:tcPr>
            <w:tcW w:type="dxa" w:w="3960"/>
            <w:vAlign w:val="top"/>
          </w:tcPr>
          <w:p>
            <w:pPr>
              <w:keepNext w:val="0"/>
              <w:spacing w:after="50" w:before="20" w:line="250" w:lineRule="auto"/>
            </w:pPr>
            <w:r>
              <w:rPr>
                <w:rFonts w:ascii="Arial" w:hAnsi="Arial"/>
                <w:sz w:val="18"/>
              </w:rPr>
              <w:t>Waitlist self-join and automatic outreach</w:t>
            </w:r>
          </w:p>
        </w:tc>
        <w:tc>
          <w:tcPr>
            <w:tcW w:type="dxa" w:w="2664"/>
            <w:vAlign w:val="top"/>
          </w:tcPr>
          <w:p>
            <w:pPr>
              <w:keepNext w:val="0"/>
              <w:spacing w:after="50" w:before="20" w:line="250" w:lineRule="auto"/>
            </w:pPr>
            <w:r>
              <w:rPr>
                <w:rFonts w:ascii="Arial" w:hAnsi="Arial"/>
                <w:sz w:val="18"/>
              </w:rPr>
              <w:t>Advertised</w:t>
            </w:r>
          </w:p>
        </w:tc>
        <w:tc>
          <w:tcPr>
            <w:tcW w:type="dxa" w:w="3600"/>
            <w:vAlign w:val="top"/>
          </w:tcPr>
          <w:p>
            <w:pPr>
              <w:keepNext w:val="0"/>
              <w:spacing w:after="50" w:before="20" w:line="250" w:lineRule="auto"/>
            </w:pPr>
            <w:r>
              <w:rPr>
                <w:rFonts w:ascii="Arial" w:hAnsi="Arial"/>
                <w:sz w:val="18"/>
              </w:rPr>
              <w:t>Multiple modes [GG15, VG03]</w:t>
            </w:r>
          </w:p>
        </w:tc>
      </w:tr>
      <w:tr>
        <w:trPr>
          <w:cantSplit/>
        </w:trPr>
        <w:tc>
          <w:tcPr>
            <w:tcW w:type="dxa" w:w="3960"/>
            <w:vAlign w:val="top"/>
            <w:shd w:fill="F3F6F7"/>
          </w:tcPr>
          <w:p>
            <w:pPr>
              <w:keepNext w:val="0"/>
              <w:spacing w:after="50" w:before="20" w:line="250" w:lineRule="auto"/>
            </w:pPr>
            <w:r>
              <w:rPr>
                <w:rFonts w:ascii="Arial" w:hAnsi="Arial"/>
                <w:sz w:val="18"/>
              </w:rPr>
              <w:t>Waitlist prioritization by fit/order/value</w:t>
            </w:r>
          </w:p>
        </w:tc>
        <w:tc>
          <w:tcPr>
            <w:tcW w:type="dxa" w:w="2664"/>
            <w:vAlign w:val="top"/>
            <w:shd w:fill="F3F6F7"/>
          </w:tcPr>
          <w:p>
            <w:pPr>
              <w:keepNext w:val="0"/>
              <w:spacing w:after="50" w:before="20" w:line="250" w:lineRule="auto"/>
            </w:pPr>
            <w:r>
              <w:rPr>
                <w:rFonts w:ascii="Arial" w:hAnsi="Arial"/>
                <w:sz w:val="18"/>
              </w:rPr>
              <w:t>Matching advertised</w:t>
            </w:r>
          </w:p>
        </w:tc>
        <w:tc>
          <w:tcPr>
            <w:tcW w:type="dxa" w:w="3600"/>
            <w:vAlign w:val="top"/>
            <w:shd w:fill="F3F6F7"/>
          </w:tcPr>
          <w:p>
            <w:pPr>
              <w:keepNext w:val="0"/>
              <w:spacing w:after="50" w:before="20" w:line="250" w:lineRule="auto"/>
            </w:pPr>
            <w:r>
              <w:rPr>
                <w:rFonts w:ascii="Arial" w:hAnsi="Arial"/>
                <w:sz w:val="18"/>
              </w:rPr>
              <w:t>Explicit modes [GG15, VG03]</w:t>
            </w:r>
          </w:p>
        </w:tc>
      </w:tr>
      <w:tr>
        <w:trPr>
          <w:cantSplit/>
        </w:trPr>
        <w:tc>
          <w:tcPr>
            <w:tcW w:type="dxa" w:w="3960"/>
            <w:vAlign w:val="top"/>
          </w:tcPr>
          <w:p>
            <w:pPr>
              <w:keepNext w:val="0"/>
              <w:spacing w:after="50" w:before="20" w:line="250" w:lineRule="auto"/>
            </w:pPr>
            <w:r>
              <w:rPr>
                <w:rFonts w:ascii="Arial" w:hAnsi="Arial"/>
                <w:sz w:val="18"/>
              </w:rPr>
              <w:t>Cards on file, deposits and no-show rules</w:t>
            </w:r>
          </w:p>
        </w:tc>
        <w:tc>
          <w:tcPr>
            <w:tcW w:type="dxa" w:w="2664"/>
            <w:vAlign w:val="top"/>
          </w:tcPr>
          <w:p>
            <w:pPr>
              <w:keepNext w:val="0"/>
              <w:spacing w:after="50" w:before="20" w:line="250" w:lineRule="auto"/>
            </w:pPr>
            <w:r>
              <w:rPr>
                <w:rFonts w:ascii="Arial" w:hAnsi="Arial"/>
                <w:sz w:val="18"/>
              </w:rPr>
              <w:t>Advertised</w:t>
            </w:r>
          </w:p>
        </w:tc>
        <w:tc>
          <w:tcPr>
            <w:tcW w:type="dxa" w:w="3600"/>
            <w:vAlign w:val="top"/>
          </w:tcPr>
          <w:p>
            <w:pPr>
              <w:keepNext w:val="0"/>
              <w:spacing w:after="50" w:before="20" w:line="250" w:lineRule="auto"/>
            </w:pPr>
            <w:r>
              <w:rPr>
                <w:rFonts w:ascii="Arial" w:hAnsi="Arial"/>
                <w:sz w:val="18"/>
              </w:rPr>
              <w:t>Shopping-cart/payment dependencies [GG02, VG02]</w:t>
            </w:r>
          </w:p>
        </w:tc>
      </w:tr>
      <w:tr>
        <w:trPr>
          <w:cantSplit/>
        </w:trPr>
        <w:tc>
          <w:tcPr>
            <w:tcW w:type="dxa" w:w="3960"/>
            <w:vAlign w:val="top"/>
            <w:shd w:fill="F3F6F7"/>
          </w:tcPr>
          <w:p>
            <w:pPr>
              <w:keepNext w:val="0"/>
              <w:spacing w:after="50" w:before="20" w:line="250" w:lineRule="auto"/>
            </w:pPr>
            <w:r>
              <w:rPr>
                <w:rFonts w:ascii="Arial" w:hAnsi="Arial"/>
                <w:sz w:val="18"/>
              </w:rPr>
              <w:t>Google and social booking entry points</w:t>
            </w:r>
          </w:p>
        </w:tc>
        <w:tc>
          <w:tcPr>
            <w:tcW w:type="dxa" w:w="2664"/>
            <w:vAlign w:val="top"/>
            <w:shd w:fill="F3F6F7"/>
          </w:tcPr>
          <w:p>
            <w:pPr>
              <w:keepNext w:val="0"/>
              <w:spacing w:after="50" w:before="20" w:line="250" w:lineRule="auto"/>
            </w:pPr>
            <w:r>
              <w:rPr>
                <w:rFonts w:ascii="Arial" w:hAnsi="Arial"/>
                <w:sz w:val="18"/>
              </w:rPr>
              <w:t>Reserve with Google advertised</w:t>
            </w:r>
          </w:p>
        </w:tc>
        <w:tc>
          <w:tcPr>
            <w:tcW w:type="dxa" w:w="3600"/>
            <w:vAlign w:val="top"/>
            <w:shd w:fill="F3F6F7"/>
          </w:tcPr>
          <w:p>
            <w:pPr>
              <w:keepNext w:val="0"/>
              <w:spacing w:after="50" w:before="20" w:line="250" w:lineRule="auto"/>
            </w:pPr>
            <w:r>
              <w:rPr>
                <w:rFonts w:ascii="Arial" w:hAnsi="Arial"/>
                <w:sz w:val="18"/>
              </w:rPr>
              <w:t>Widgets and external booking [GG16, VG16]</w:t>
            </w:r>
          </w:p>
        </w:tc>
      </w:tr>
      <w:tr>
        <w:trPr>
          <w:cantSplit/>
        </w:trPr>
        <w:tc>
          <w:tcPr>
            <w:tcW w:type="dxa" w:w="3960"/>
            <w:vAlign w:val="top"/>
          </w:tcPr>
          <w:p>
            <w:pPr>
              <w:keepNext w:val="0"/>
              <w:spacing w:after="50" w:before="20" w:line="250" w:lineRule="auto"/>
            </w:pPr>
            <w:r>
              <w:rPr>
                <w:rFonts w:ascii="Arial" w:hAnsi="Arial"/>
                <w:sz w:val="18"/>
              </w:rPr>
              <w:t>Mobile travel fees</w:t>
            </w:r>
          </w:p>
        </w:tc>
        <w:tc>
          <w:tcPr>
            <w:tcW w:type="dxa" w:w="2664"/>
            <w:vAlign w:val="top"/>
          </w:tcPr>
          <w:p>
            <w:pPr>
              <w:keepNext w:val="0"/>
              <w:spacing w:after="50" w:before="20" w:line="250" w:lineRule="auto"/>
            </w:pPr>
            <w:r>
              <w:rPr>
                <w:rFonts w:ascii="Arial" w:hAnsi="Arial"/>
                <w:sz w:val="18"/>
              </w:rPr>
              <w:t>Not established</w:t>
            </w:r>
          </w:p>
        </w:tc>
        <w:tc>
          <w:tcPr>
            <w:tcW w:type="dxa" w:w="3600"/>
            <w:vAlign w:val="top"/>
          </w:tcPr>
          <w:p>
            <w:pPr>
              <w:keepNext w:val="0"/>
              <w:spacing w:after="50" w:before="20" w:line="250" w:lineRule="auto"/>
            </w:pPr>
            <w:r>
              <w:rPr>
                <w:rFonts w:ascii="Arial" w:hAnsi="Arial"/>
                <w:sz w:val="18"/>
              </w:rPr>
              <w:t>Advertised [VG01]</w:t>
            </w:r>
          </w:p>
        </w:tc>
      </w:tr>
      <w:tr>
        <w:trPr>
          <w:cantSplit/>
        </w:trPr>
        <w:tc>
          <w:tcPr>
            <w:tcW w:type="dxa" w:w="3960"/>
            <w:vAlign w:val="top"/>
            <w:shd w:fill="F3F6F7"/>
          </w:tcPr>
          <w:p>
            <w:pPr>
              <w:keepNext w:val="0"/>
              <w:spacing w:after="50" w:before="20" w:line="250" w:lineRule="auto"/>
            </w:pPr>
            <w:r>
              <w:rPr>
                <w:rFonts w:ascii="Arial" w:hAnsi="Arial"/>
                <w:sz w:val="18"/>
              </w:rPr>
              <w:t>Classes and workshops</w:t>
            </w:r>
          </w:p>
        </w:tc>
        <w:tc>
          <w:tcPr>
            <w:tcW w:type="dxa" w:w="2664"/>
            <w:vAlign w:val="top"/>
            <w:shd w:fill="F3F6F7"/>
          </w:tcPr>
          <w:p>
            <w:pPr>
              <w:keepNext w:val="0"/>
              <w:spacing w:after="50" w:before="20" w:line="250" w:lineRule="auto"/>
            </w:pPr>
            <w:r>
              <w:rPr>
                <w:rFonts w:ascii="Arial" w:hAnsi="Arial"/>
                <w:sz w:val="18"/>
              </w:rPr>
              <w:t>Not established from selected pages</w:t>
            </w:r>
          </w:p>
        </w:tc>
        <w:tc>
          <w:tcPr>
            <w:tcW w:type="dxa" w:w="3600"/>
            <w:vAlign w:val="top"/>
            <w:shd w:fill="F3F6F7"/>
          </w:tcPr>
          <w:p>
            <w:pPr>
              <w:keepNext w:val="0"/>
              <w:spacing w:after="50" w:before="20" w:line="250" w:lineRule="auto"/>
            </w:pPr>
            <w:r>
              <w:rPr>
                <w:rFonts w:ascii="Arial" w:hAnsi="Arial"/>
                <w:sz w:val="18"/>
              </w:rPr>
              <w:t>Advertised [VG01]</w:t>
            </w:r>
          </w:p>
        </w:tc>
      </w:tr>
    </w:tbl>
    <w:p>
      <w:pPr>
        <w:spacing w:after="40" w:before="0" w:line="240" w:lineRule="auto"/>
      </w:pPr>
      <w:r>
        <w:rPr>
          <w:sz w:val="4"/>
        </w:rPr>
      </w:r>
    </w:p>
    <w:p>
      <w:pPr>
        <w:pStyle w:val="Heading3"/>
      </w:pPr>
      <w:r>
        <w:t>Clients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3960"/>
        <w:gridCol w:w="2664"/>
        <w:gridCol w:w="3600"/>
      </w:tblGrid>
      <w:tr>
        <w:trPr>
          <w:tblHeader/>
        </w:trPr>
        <w:tc>
          <w:tcPr>
            <w:tcW w:type="dxa" w:w="3960"/>
            <w:vAlign w:val="top"/>
            <w:shd w:fill="173F50"/>
          </w:tcPr>
          <w:p>
            <w:pPr>
              <w:keepNext/>
              <w:spacing w:after="50" w:before="20" w:line="250" w:lineRule="auto"/>
            </w:pPr>
            <w:r>
              <w:rPr>
                <w:rFonts w:ascii="Arial" w:hAnsi="Arial"/>
                <w:b/>
                <w:color w:val="FFFFFF"/>
                <w:sz w:val="18"/>
              </w:rPr>
              <w:t>Capability</w:t>
            </w:r>
          </w:p>
        </w:tc>
        <w:tc>
          <w:tcPr>
            <w:tcW w:type="dxa" w:w="2664"/>
            <w:vAlign w:val="top"/>
            <w:shd w:fill="173F50"/>
          </w:tcPr>
          <w:p>
            <w:pPr>
              <w:keepNext/>
              <w:spacing w:after="50" w:before="20" w:line="250" w:lineRule="auto"/>
            </w:pPr>
            <w:r>
              <w:rPr>
                <w:rFonts w:ascii="Arial" w:hAnsi="Arial"/>
                <w:b/>
                <w:color w:val="FFFFFF"/>
                <w:sz w:val="18"/>
              </w:rPr>
              <w:t>GlossGenius</w:t>
            </w:r>
          </w:p>
        </w:tc>
        <w:tc>
          <w:tcPr>
            <w:tcW w:type="dxa" w:w="3600"/>
            <w:vAlign w:val="top"/>
            <w:shd w:fill="173F50"/>
          </w:tcPr>
          <w:p>
            <w:pPr>
              <w:keepNext/>
              <w:spacing w:after="50" w:before="20" w:line="250" w:lineRule="auto"/>
            </w:pPr>
            <w:r>
              <w:rPr>
                <w:rFonts w:ascii="Arial" w:hAnsi="Arial"/>
                <w:b/>
                <w:color w:val="FFFFFF"/>
                <w:sz w:val="18"/>
              </w:rPr>
              <w:t>Vagaro and sources</w:t>
            </w:r>
          </w:p>
        </w:tc>
      </w:tr>
      <w:tr>
        <w:trPr>
          <w:cantSplit/>
        </w:trPr>
        <w:tc>
          <w:tcPr>
            <w:tcW w:type="dxa" w:w="3960"/>
            <w:vAlign w:val="top"/>
          </w:tcPr>
          <w:p>
            <w:pPr>
              <w:keepNext w:val="0"/>
              <w:spacing w:after="50" w:before="20" w:line="250" w:lineRule="auto"/>
            </w:pPr>
            <w:r>
              <w:rPr>
                <w:rFonts w:ascii="Arial" w:hAnsi="Arial"/>
                <w:sz w:val="18"/>
              </w:rPr>
              <w:t>Client history and preferences</w:t>
            </w:r>
          </w:p>
        </w:tc>
        <w:tc>
          <w:tcPr>
            <w:tcW w:type="dxa" w:w="2664"/>
            <w:vAlign w:val="top"/>
          </w:tcPr>
          <w:p>
            <w:pPr>
              <w:keepNext w:val="0"/>
              <w:spacing w:after="50" w:before="20" w:line="250" w:lineRule="auto"/>
            </w:pPr>
            <w:r>
              <w:rPr>
                <w:rFonts w:ascii="Arial" w:hAnsi="Arial"/>
                <w:sz w:val="18"/>
              </w:rPr>
              <w:t>Advertised</w:t>
            </w:r>
          </w:p>
        </w:tc>
        <w:tc>
          <w:tcPr>
            <w:tcW w:type="dxa" w:w="3600"/>
            <w:vAlign w:val="top"/>
          </w:tcPr>
          <w:p>
            <w:pPr>
              <w:keepNext w:val="0"/>
              <w:spacing w:after="50" w:before="20" w:line="250" w:lineRule="auto"/>
            </w:pPr>
            <w:r>
              <w:rPr>
                <w:rFonts w:ascii="Arial" w:hAnsi="Arial"/>
                <w:sz w:val="18"/>
              </w:rPr>
              <w:t>Advertised [GG11, VG01]</w:t>
            </w:r>
          </w:p>
        </w:tc>
      </w:tr>
      <w:tr>
        <w:trPr>
          <w:cantSplit/>
        </w:trPr>
        <w:tc>
          <w:tcPr>
            <w:tcW w:type="dxa" w:w="3960"/>
            <w:vAlign w:val="top"/>
            <w:shd w:fill="F3F6F7"/>
          </w:tcPr>
          <w:p>
            <w:pPr>
              <w:keepNext w:val="0"/>
              <w:spacing w:after="50" w:before="20" w:line="250" w:lineRule="auto"/>
            </w:pPr>
            <w:r>
              <w:rPr>
                <w:rFonts w:ascii="Arial" w:hAnsi="Arial"/>
                <w:sz w:val="18"/>
              </w:rPr>
              <w:t>Client segmentation</w:t>
            </w:r>
          </w:p>
        </w:tc>
        <w:tc>
          <w:tcPr>
            <w:tcW w:type="dxa" w:w="2664"/>
            <w:vAlign w:val="top"/>
            <w:shd w:fill="F3F6F7"/>
          </w:tcPr>
          <w:p>
            <w:pPr>
              <w:keepNext w:val="0"/>
              <w:spacing w:after="50" w:before="20" w:line="250" w:lineRule="auto"/>
            </w:pPr>
            <w:r>
              <w:rPr>
                <w:rFonts w:ascii="Arial" w:hAnsi="Arial"/>
                <w:sz w:val="18"/>
              </w:rPr>
              <w:t>Advertised</w:t>
            </w:r>
          </w:p>
        </w:tc>
        <w:tc>
          <w:tcPr>
            <w:tcW w:type="dxa" w:w="3600"/>
            <w:vAlign w:val="top"/>
            <w:shd w:fill="F3F6F7"/>
          </w:tcPr>
          <w:p>
            <w:pPr>
              <w:keepNext w:val="0"/>
              <w:spacing w:after="50" w:before="20" w:line="250" w:lineRule="auto"/>
            </w:pPr>
            <w:r>
              <w:rPr>
                <w:rFonts w:ascii="Arial" w:hAnsi="Arial"/>
                <w:sz w:val="18"/>
              </w:rPr>
              <w:t>Advertised [GG11, VG01]</w:t>
            </w:r>
          </w:p>
        </w:tc>
      </w:tr>
      <w:tr>
        <w:trPr>
          <w:cantSplit/>
        </w:trPr>
        <w:tc>
          <w:tcPr>
            <w:tcW w:type="dxa" w:w="3960"/>
            <w:vAlign w:val="top"/>
          </w:tcPr>
          <w:p>
            <w:pPr>
              <w:keepNext w:val="0"/>
              <w:spacing w:after="50" w:before="20" w:line="250" w:lineRule="auto"/>
            </w:pPr>
            <w:r>
              <w:rPr>
                <w:rFonts w:ascii="Arial" w:hAnsi="Arial"/>
                <w:sz w:val="18"/>
              </w:rPr>
              <w:t>Confirmations and reminders</w:t>
            </w:r>
          </w:p>
        </w:tc>
        <w:tc>
          <w:tcPr>
            <w:tcW w:type="dxa" w:w="2664"/>
            <w:vAlign w:val="top"/>
          </w:tcPr>
          <w:p>
            <w:pPr>
              <w:keepNext w:val="0"/>
              <w:spacing w:after="50" w:before="20" w:line="250" w:lineRule="auto"/>
            </w:pPr>
            <w:r>
              <w:rPr>
                <w:rFonts w:ascii="Arial" w:hAnsi="Arial"/>
                <w:sz w:val="18"/>
              </w:rPr>
              <w:t>Advertised</w:t>
            </w:r>
          </w:p>
        </w:tc>
        <w:tc>
          <w:tcPr>
            <w:tcW w:type="dxa" w:w="3600"/>
            <w:vAlign w:val="top"/>
          </w:tcPr>
          <w:p>
            <w:pPr>
              <w:keepNext w:val="0"/>
              <w:spacing w:after="50" w:before="20" w:line="250" w:lineRule="auto"/>
            </w:pPr>
            <w:r>
              <w:rPr>
                <w:rFonts w:ascii="Arial" w:hAnsi="Arial"/>
                <w:sz w:val="18"/>
              </w:rPr>
              <w:t>Advertised [GG11, VG01]</w:t>
            </w:r>
          </w:p>
        </w:tc>
      </w:tr>
      <w:tr>
        <w:trPr>
          <w:cantSplit/>
        </w:trPr>
        <w:tc>
          <w:tcPr>
            <w:tcW w:type="dxa" w:w="3960"/>
            <w:vAlign w:val="top"/>
            <w:shd w:fill="F3F6F7"/>
          </w:tcPr>
          <w:p>
            <w:pPr>
              <w:keepNext w:val="0"/>
              <w:spacing w:after="50" w:before="20" w:line="250" w:lineRule="auto"/>
            </w:pPr>
            <w:r>
              <w:rPr>
                <w:rFonts w:ascii="Arial" w:hAnsi="Arial"/>
                <w:sz w:val="18"/>
              </w:rPr>
              <w:t>Birthday and lifecycle rebooking prompts</w:t>
            </w:r>
          </w:p>
        </w:tc>
        <w:tc>
          <w:tcPr>
            <w:tcW w:type="dxa" w:w="2664"/>
            <w:vAlign w:val="top"/>
            <w:shd w:fill="F3F6F7"/>
          </w:tcPr>
          <w:p>
            <w:pPr>
              <w:keepNext w:val="0"/>
              <w:spacing w:after="50" w:before="20" w:line="250" w:lineRule="auto"/>
            </w:pPr>
            <w:r>
              <w:rPr>
                <w:rFonts w:ascii="Arial" w:hAnsi="Arial"/>
                <w:sz w:val="18"/>
              </w:rPr>
              <w:t>Advertised</w:t>
            </w:r>
          </w:p>
        </w:tc>
        <w:tc>
          <w:tcPr>
            <w:tcW w:type="dxa" w:w="3600"/>
            <w:vAlign w:val="top"/>
            <w:shd w:fill="F3F6F7"/>
          </w:tcPr>
          <w:p>
            <w:pPr>
              <w:keepNext w:val="0"/>
              <w:spacing w:after="50" w:before="20" w:line="250" w:lineRule="auto"/>
            </w:pPr>
            <w:r>
              <w:rPr>
                <w:rFonts w:ascii="Arial" w:hAnsi="Arial"/>
                <w:sz w:val="18"/>
              </w:rPr>
              <w:t>Marketing/reporting workflows [GG11, GG08, VG02]</w:t>
            </w:r>
          </w:p>
        </w:tc>
      </w:tr>
      <w:tr>
        <w:trPr>
          <w:cantSplit/>
        </w:trPr>
        <w:tc>
          <w:tcPr>
            <w:tcW w:type="dxa" w:w="3960"/>
            <w:vAlign w:val="top"/>
          </w:tcPr>
          <w:p>
            <w:pPr>
              <w:keepNext w:val="0"/>
              <w:spacing w:after="50" w:before="20" w:line="250" w:lineRule="auto"/>
            </w:pPr>
            <w:r>
              <w:rPr>
                <w:rFonts w:ascii="Arial" w:hAnsi="Arial"/>
                <w:sz w:val="18"/>
              </w:rPr>
              <w:t>Review management</w:t>
            </w:r>
          </w:p>
        </w:tc>
        <w:tc>
          <w:tcPr>
            <w:tcW w:type="dxa" w:w="2664"/>
            <w:vAlign w:val="top"/>
          </w:tcPr>
          <w:p>
            <w:pPr>
              <w:keepNext w:val="0"/>
              <w:spacing w:after="50" w:before="20" w:line="250" w:lineRule="auto"/>
            </w:pPr>
            <w:r>
              <w:rPr>
                <w:rFonts w:ascii="Arial" w:hAnsi="Arial"/>
                <w:sz w:val="18"/>
              </w:rPr>
              <w:t>Advertised</w:t>
            </w:r>
          </w:p>
        </w:tc>
        <w:tc>
          <w:tcPr>
            <w:tcW w:type="dxa" w:w="3600"/>
            <w:vAlign w:val="top"/>
          </w:tcPr>
          <w:p>
            <w:pPr>
              <w:keepNext w:val="0"/>
              <w:spacing w:after="50" w:before="20" w:line="250" w:lineRule="auto"/>
            </w:pPr>
            <w:r>
              <w:rPr>
                <w:rFonts w:ascii="Arial" w:hAnsi="Arial"/>
                <w:sz w:val="18"/>
              </w:rPr>
              <w:t>Advertised [GG11, VG01]</w:t>
            </w:r>
          </w:p>
        </w:tc>
      </w:tr>
    </w:tbl>
    <w:p>
      <w:pPr>
        <w:spacing w:after="40" w:before="0" w:line="240" w:lineRule="auto"/>
      </w:pPr>
      <w:r>
        <w:rPr>
          <w:sz w:val="4"/>
        </w:rPr>
      </w:r>
    </w:p>
    <w:p>
      <w:pPr>
        <w:pStyle w:val="Heading3"/>
      </w:pPr>
      <w:r>
        <w:t>Documents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3960"/>
        <w:gridCol w:w="2664"/>
        <w:gridCol w:w="3600"/>
      </w:tblGrid>
      <w:tr>
        <w:trPr>
          <w:tblHeader/>
        </w:trPr>
        <w:tc>
          <w:tcPr>
            <w:tcW w:type="dxa" w:w="3960"/>
            <w:vAlign w:val="top"/>
            <w:shd w:fill="173F50"/>
          </w:tcPr>
          <w:p>
            <w:pPr>
              <w:keepNext/>
              <w:spacing w:after="50" w:before="20" w:line="250" w:lineRule="auto"/>
            </w:pPr>
            <w:r>
              <w:rPr>
                <w:rFonts w:ascii="Arial" w:hAnsi="Arial"/>
                <w:b/>
                <w:color w:val="FFFFFF"/>
                <w:sz w:val="18"/>
              </w:rPr>
              <w:t>Capability</w:t>
            </w:r>
          </w:p>
        </w:tc>
        <w:tc>
          <w:tcPr>
            <w:tcW w:type="dxa" w:w="2664"/>
            <w:vAlign w:val="top"/>
            <w:shd w:fill="173F50"/>
          </w:tcPr>
          <w:p>
            <w:pPr>
              <w:keepNext/>
              <w:spacing w:after="50" w:before="20" w:line="250" w:lineRule="auto"/>
            </w:pPr>
            <w:r>
              <w:rPr>
                <w:rFonts w:ascii="Arial" w:hAnsi="Arial"/>
                <w:b/>
                <w:color w:val="FFFFFF"/>
                <w:sz w:val="18"/>
              </w:rPr>
              <w:t>GlossGenius</w:t>
            </w:r>
          </w:p>
        </w:tc>
        <w:tc>
          <w:tcPr>
            <w:tcW w:type="dxa" w:w="3600"/>
            <w:vAlign w:val="top"/>
            <w:shd w:fill="173F50"/>
          </w:tcPr>
          <w:p>
            <w:pPr>
              <w:keepNext/>
              <w:spacing w:after="50" w:before="20" w:line="250" w:lineRule="auto"/>
            </w:pPr>
            <w:r>
              <w:rPr>
                <w:rFonts w:ascii="Arial" w:hAnsi="Arial"/>
                <w:b/>
                <w:color w:val="FFFFFF"/>
                <w:sz w:val="18"/>
              </w:rPr>
              <w:t>Vagaro and sources</w:t>
            </w:r>
          </w:p>
        </w:tc>
      </w:tr>
      <w:tr>
        <w:trPr>
          <w:cantSplit/>
        </w:trPr>
        <w:tc>
          <w:tcPr>
            <w:tcW w:type="dxa" w:w="3960"/>
            <w:vAlign w:val="top"/>
          </w:tcPr>
          <w:p>
            <w:pPr>
              <w:keepNext w:val="0"/>
              <w:spacing w:after="50" w:before="20" w:line="250" w:lineRule="auto"/>
            </w:pPr>
            <w:r>
              <w:rPr>
                <w:rFonts w:ascii="Arial" w:hAnsi="Arial"/>
                <w:sz w:val="18"/>
              </w:rPr>
              <w:t>Digital intake and reusable forms</w:t>
            </w:r>
          </w:p>
        </w:tc>
        <w:tc>
          <w:tcPr>
            <w:tcW w:type="dxa" w:w="2664"/>
            <w:vAlign w:val="top"/>
          </w:tcPr>
          <w:p>
            <w:pPr>
              <w:keepNext w:val="0"/>
              <w:spacing w:after="50" w:before="20" w:line="250" w:lineRule="auto"/>
            </w:pPr>
            <w:r>
              <w:rPr>
                <w:rFonts w:ascii="Arial" w:hAnsi="Arial"/>
                <w:sz w:val="18"/>
              </w:rPr>
              <w:t>Gold/eligible tiers</w:t>
            </w:r>
          </w:p>
        </w:tc>
        <w:tc>
          <w:tcPr>
            <w:tcW w:type="dxa" w:w="3600"/>
            <w:vAlign w:val="top"/>
          </w:tcPr>
          <w:p>
            <w:pPr>
              <w:keepNext w:val="0"/>
              <w:spacing w:after="50" w:before="20" w:line="250" w:lineRule="auto"/>
            </w:pPr>
            <w:r>
              <w:rPr>
                <w:rFonts w:ascii="Arial" w:hAnsi="Arial"/>
                <w:sz w:val="18"/>
              </w:rPr>
              <w:t>Paid Forms add-on [GG01, GG03, VG13]</w:t>
            </w:r>
          </w:p>
        </w:tc>
      </w:tr>
      <w:tr>
        <w:trPr>
          <w:cantSplit/>
        </w:trPr>
        <w:tc>
          <w:tcPr>
            <w:tcW w:type="dxa" w:w="3960"/>
            <w:vAlign w:val="top"/>
            <w:shd w:fill="F3F6F7"/>
          </w:tcPr>
          <w:p>
            <w:pPr>
              <w:keepNext w:val="0"/>
              <w:spacing w:after="50" w:before="20" w:line="250" w:lineRule="auto"/>
            </w:pPr>
            <w:r>
              <w:rPr>
                <w:rFonts w:ascii="Arial" w:hAnsi="Arial"/>
                <w:sz w:val="18"/>
              </w:rPr>
              <w:t>Questions conditional on booked service</w:t>
            </w:r>
          </w:p>
        </w:tc>
        <w:tc>
          <w:tcPr>
            <w:tcW w:type="dxa" w:w="2664"/>
            <w:vAlign w:val="top"/>
            <w:shd w:fill="F3F6F7"/>
          </w:tcPr>
          <w:p>
            <w:pPr>
              <w:keepNext w:val="0"/>
              <w:spacing w:after="50" w:before="20" w:line="250" w:lineRule="auto"/>
            </w:pPr>
            <w:r>
              <w:rPr>
                <w:rFonts w:ascii="Arial" w:hAnsi="Arial"/>
                <w:sz w:val="18"/>
              </w:rPr>
              <w:t>Advertised</w:t>
            </w:r>
          </w:p>
        </w:tc>
        <w:tc>
          <w:tcPr>
            <w:tcW w:type="dxa" w:w="3600"/>
            <w:vAlign w:val="top"/>
            <w:shd w:fill="F3F6F7"/>
          </w:tcPr>
          <w:p>
            <w:pPr>
              <w:keepNext w:val="0"/>
              <w:spacing w:after="50" w:before="20" w:line="250" w:lineRule="auto"/>
            </w:pPr>
            <w:r>
              <w:rPr>
                <w:rFonts w:ascii="Arial" w:hAnsi="Arial"/>
                <w:sz w:val="18"/>
              </w:rPr>
              <w:t>Pre-booking form requirements [GG03, VG13]</w:t>
            </w:r>
          </w:p>
        </w:tc>
      </w:tr>
      <w:tr>
        <w:trPr>
          <w:cantSplit/>
        </w:trPr>
        <w:tc>
          <w:tcPr>
            <w:tcW w:type="dxa" w:w="3960"/>
            <w:vAlign w:val="top"/>
          </w:tcPr>
          <w:p>
            <w:pPr>
              <w:keepNext w:val="0"/>
              <w:spacing w:after="50" w:before="20" w:line="250" w:lineRule="auto"/>
            </w:pPr>
            <w:r>
              <w:rPr>
                <w:rFonts w:ascii="Arial" w:hAnsi="Arial"/>
                <w:sz w:val="18"/>
              </w:rPr>
              <w:t>Electronic signatures and waiver templates</w:t>
            </w:r>
          </w:p>
        </w:tc>
        <w:tc>
          <w:tcPr>
            <w:tcW w:type="dxa" w:w="2664"/>
            <w:vAlign w:val="top"/>
          </w:tcPr>
          <w:p>
            <w:pPr>
              <w:keepNext w:val="0"/>
              <w:spacing w:after="50" w:before="20" w:line="250" w:lineRule="auto"/>
            </w:pPr>
            <w:r>
              <w:rPr>
                <w:rFonts w:ascii="Arial" w:hAnsi="Arial"/>
                <w:sz w:val="18"/>
              </w:rPr>
              <w:t>Advertised</w:t>
            </w:r>
          </w:p>
        </w:tc>
        <w:tc>
          <w:tcPr>
            <w:tcW w:type="dxa" w:w="3600"/>
            <w:vAlign w:val="top"/>
          </w:tcPr>
          <w:p>
            <w:pPr>
              <w:keepNext w:val="0"/>
              <w:spacing w:after="50" w:before="20" w:line="250" w:lineRule="auto"/>
            </w:pPr>
            <w:r>
              <w:rPr>
                <w:rFonts w:ascii="Arial" w:hAnsi="Arial"/>
                <w:sz w:val="18"/>
              </w:rPr>
              <w:t>Forms supports approvals [GG03, VG02]</w:t>
            </w:r>
          </w:p>
        </w:tc>
      </w:tr>
      <w:tr>
        <w:trPr>
          <w:cantSplit/>
        </w:trPr>
        <w:tc>
          <w:tcPr>
            <w:tcW w:type="dxa" w:w="3960"/>
            <w:vAlign w:val="top"/>
            <w:shd w:fill="F3F6F7"/>
          </w:tcPr>
          <w:p>
            <w:pPr>
              <w:keepNext w:val="0"/>
              <w:spacing w:after="50" w:before="20" w:line="250" w:lineRule="auto"/>
            </w:pPr>
            <w:r>
              <w:rPr>
                <w:rFonts w:ascii="Arial" w:hAnsi="Arial"/>
                <w:sz w:val="18"/>
              </w:rPr>
              <w:t>Form status, reminders and profile-pinned fields</w:t>
            </w:r>
          </w:p>
        </w:tc>
        <w:tc>
          <w:tcPr>
            <w:tcW w:type="dxa" w:w="2664"/>
            <w:vAlign w:val="top"/>
            <w:shd w:fill="F3F6F7"/>
          </w:tcPr>
          <w:p>
            <w:pPr>
              <w:keepNext w:val="0"/>
              <w:spacing w:after="50" w:before="20" w:line="250" w:lineRule="auto"/>
            </w:pPr>
            <w:r>
              <w:rPr>
                <w:rFonts w:ascii="Arial" w:hAnsi="Arial"/>
                <w:sz w:val="18"/>
              </w:rPr>
              <w:t>Advertised</w:t>
            </w:r>
          </w:p>
        </w:tc>
        <w:tc>
          <w:tcPr>
            <w:tcW w:type="dxa" w:w="3600"/>
            <w:vAlign w:val="top"/>
            <w:shd w:fill="F3F6F7"/>
          </w:tcPr>
          <w:p>
            <w:pPr>
              <w:keepNext w:val="0"/>
              <w:spacing w:after="50" w:before="20" w:line="250" w:lineRule="auto"/>
            </w:pPr>
            <w:r>
              <w:rPr>
                <w:rFonts w:ascii="Arial" w:hAnsi="Arial"/>
                <w:sz w:val="18"/>
              </w:rPr>
              <w:t>Forms workflows [GG03, VG13]</w:t>
            </w:r>
          </w:p>
        </w:tc>
      </w:tr>
      <w:tr>
        <w:trPr>
          <w:cantSplit/>
        </w:trPr>
        <w:tc>
          <w:tcPr>
            <w:tcW w:type="dxa" w:w="3960"/>
            <w:vAlign w:val="top"/>
          </w:tcPr>
          <w:p>
            <w:pPr>
              <w:keepNext w:val="0"/>
              <w:spacing w:after="50" w:before="20" w:line="250" w:lineRule="auto"/>
            </w:pPr>
            <w:r>
              <w:rPr>
                <w:rFonts w:ascii="Arial" w:hAnsi="Arial"/>
                <w:sz w:val="18"/>
              </w:rPr>
              <w:t>Import existing forms</w:t>
            </w:r>
          </w:p>
        </w:tc>
        <w:tc>
          <w:tcPr>
            <w:tcW w:type="dxa" w:w="2664"/>
            <w:vAlign w:val="top"/>
          </w:tcPr>
          <w:p>
            <w:pPr>
              <w:keepNext w:val="0"/>
              <w:spacing w:after="50" w:before="20" w:line="250" w:lineRule="auto"/>
            </w:pPr>
            <w:r>
              <w:rPr>
                <w:rFonts w:ascii="Arial" w:hAnsi="Arial"/>
                <w:sz w:val="18"/>
              </w:rPr>
              <w:t>Not established</w:t>
            </w:r>
          </w:p>
        </w:tc>
        <w:tc>
          <w:tcPr>
            <w:tcW w:type="dxa" w:w="3600"/>
            <w:vAlign w:val="top"/>
          </w:tcPr>
          <w:p>
            <w:pPr>
              <w:keepNext w:val="0"/>
              <w:spacing w:after="50" w:before="20" w:line="250" w:lineRule="auto"/>
            </w:pPr>
            <w:r>
              <w:rPr>
                <w:rFonts w:ascii="Arial" w:hAnsi="Arial"/>
                <w:sz w:val="18"/>
              </w:rPr>
              <w:t>Advertised [VG13]</w:t>
            </w:r>
          </w:p>
        </w:tc>
      </w:tr>
      <w:tr>
        <w:trPr>
          <w:cantSplit/>
        </w:trPr>
        <w:tc>
          <w:tcPr>
            <w:tcW w:type="dxa" w:w="3960"/>
            <w:vAlign w:val="top"/>
            <w:shd w:fill="F3F6F7"/>
          </w:tcPr>
          <w:p>
            <w:pPr>
              <w:keepNext w:val="0"/>
              <w:spacing w:after="50" w:before="20" w:line="250" w:lineRule="auto"/>
            </w:pPr>
            <w:r>
              <w:rPr>
                <w:rFonts w:ascii="Arial" w:hAnsi="Arial"/>
                <w:sz w:val="18"/>
              </w:rPr>
              <w:t>Brand design and printed collateral service</w:t>
            </w:r>
          </w:p>
        </w:tc>
        <w:tc>
          <w:tcPr>
            <w:tcW w:type="dxa" w:w="2664"/>
            <w:vAlign w:val="top"/>
            <w:shd w:fill="F3F6F7"/>
          </w:tcPr>
          <w:p>
            <w:pPr>
              <w:keepNext w:val="0"/>
              <w:spacing w:after="50" w:before="20" w:line="250" w:lineRule="auto"/>
            </w:pPr>
            <w:r>
              <w:rPr>
                <w:rFonts w:ascii="Arial" w:hAnsi="Arial"/>
                <w:sz w:val="18"/>
              </w:rPr>
              <w:t>Templates advertised; service unverified</w:t>
            </w:r>
          </w:p>
        </w:tc>
        <w:tc>
          <w:tcPr>
            <w:tcW w:type="dxa" w:w="3600"/>
            <w:vAlign w:val="top"/>
            <w:shd w:fill="F3F6F7"/>
          </w:tcPr>
          <w:p>
            <w:pPr>
              <w:keepNext w:val="0"/>
              <w:spacing w:after="50" w:before="20" w:line="250" w:lineRule="auto"/>
            </w:pPr>
            <w:r>
              <w:rPr>
                <w:rFonts w:ascii="Arial" w:hAnsi="Arial"/>
                <w:sz w:val="18"/>
              </w:rPr>
              <w:t>Designer service advertised [GG02, VG02]</w:t>
            </w:r>
          </w:p>
        </w:tc>
      </w:tr>
    </w:tbl>
    <w:p>
      <w:pPr>
        <w:spacing w:after="40" w:before="0" w:line="240" w:lineRule="auto"/>
      </w:pPr>
      <w:r>
        <w:rPr>
          <w:sz w:val="4"/>
        </w:rPr>
      </w:r>
    </w:p>
    <w:p>
      <w:pPr>
        <w:pStyle w:val="Heading3"/>
      </w:pPr>
      <w:r>
        <w:t>Clinical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3960"/>
        <w:gridCol w:w="2664"/>
        <w:gridCol w:w="3600"/>
      </w:tblGrid>
      <w:tr>
        <w:trPr>
          <w:tblHeader/>
        </w:trPr>
        <w:tc>
          <w:tcPr>
            <w:tcW w:type="dxa" w:w="3960"/>
            <w:vAlign w:val="top"/>
            <w:shd w:fill="173F50"/>
          </w:tcPr>
          <w:p>
            <w:pPr>
              <w:keepNext/>
              <w:spacing w:after="50" w:before="20" w:line="250" w:lineRule="auto"/>
            </w:pPr>
            <w:r>
              <w:rPr>
                <w:rFonts w:ascii="Arial" w:hAnsi="Arial"/>
                <w:b/>
                <w:color w:val="FFFFFF"/>
                <w:sz w:val="18"/>
              </w:rPr>
              <w:t>Capability</w:t>
            </w:r>
          </w:p>
        </w:tc>
        <w:tc>
          <w:tcPr>
            <w:tcW w:type="dxa" w:w="2664"/>
            <w:vAlign w:val="top"/>
            <w:shd w:fill="173F50"/>
          </w:tcPr>
          <w:p>
            <w:pPr>
              <w:keepNext/>
              <w:spacing w:after="50" w:before="20" w:line="250" w:lineRule="auto"/>
            </w:pPr>
            <w:r>
              <w:rPr>
                <w:rFonts w:ascii="Arial" w:hAnsi="Arial"/>
                <w:b/>
                <w:color w:val="FFFFFF"/>
                <w:sz w:val="18"/>
              </w:rPr>
              <w:t>GlossGenius</w:t>
            </w:r>
          </w:p>
        </w:tc>
        <w:tc>
          <w:tcPr>
            <w:tcW w:type="dxa" w:w="3600"/>
            <w:vAlign w:val="top"/>
            <w:shd w:fill="173F50"/>
          </w:tcPr>
          <w:p>
            <w:pPr>
              <w:keepNext/>
              <w:spacing w:after="50" w:before="20" w:line="250" w:lineRule="auto"/>
            </w:pPr>
            <w:r>
              <w:rPr>
                <w:rFonts w:ascii="Arial" w:hAnsi="Arial"/>
                <w:b/>
                <w:color w:val="FFFFFF"/>
                <w:sz w:val="18"/>
              </w:rPr>
              <w:t>Vagaro and sources</w:t>
            </w:r>
          </w:p>
        </w:tc>
      </w:tr>
      <w:tr>
        <w:trPr>
          <w:cantSplit/>
        </w:trPr>
        <w:tc>
          <w:tcPr>
            <w:tcW w:type="dxa" w:w="3960"/>
            <w:vAlign w:val="top"/>
          </w:tcPr>
          <w:p>
            <w:pPr>
              <w:keepNext w:val="0"/>
              <w:spacing w:after="50" w:before="20" w:line="250" w:lineRule="auto"/>
            </w:pPr>
            <w:r>
              <w:rPr>
                <w:rFonts w:ascii="Arial" w:hAnsi="Arial"/>
                <w:sz w:val="18"/>
              </w:rPr>
              <w:t>Client photos, before/after and markup</w:t>
            </w:r>
          </w:p>
        </w:tc>
        <w:tc>
          <w:tcPr>
            <w:tcW w:type="dxa" w:w="2664"/>
            <w:vAlign w:val="top"/>
          </w:tcPr>
          <w:p>
            <w:pPr>
              <w:keepNext w:val="0"/>
              <w:spacing w:after="50" w:before="20" w:line="250" w:lineRule="auto"/>
            </w:pPr>
            <w:r>
              <w:rPr>
                <w:rFonts w:ascii="Arial" w:hAnsi="Arial"/>
                <w:sz w:val="18"/>
              </w:rPr>
              <w:t>Advertised</w:t>
            </w:r>
          </w:p>
        </w:tc>
        <w:tc>
          <w:tcPr>
            <w:tcW w:type="dxa" w:w="3600"/>
            <w:vAlign w:val="top"/>
          </w:tcPr>
          <w:p>
            <w:pPr>
              <w:keepNext w:val="0"/>
              <w:spacing w:after="50" w:before="20" w:line="250" w:lineRule="auto"/>
            </w:pPr>
            <w:r>
              <w:rPr>
                <w:rFonts w:ascii="Arial" w:hAnsi="Arial"/>
                <w:sz w:val="18"/>
              </w:rPr>
              <w:t>Markup requires Drive [GG10, R13]</w:t>
            </w:r>
          </w:p>
        </w:tc>
      </w:tr>
      <w:tr>
        <w:trPr>
          <w:cantSplit/>
        </w:trPr>
        <w:tc>
          <w:tcPr>
            <w:tcW w:type="dxa" w:w="3960"/>
            <w:vAlign w:val="top"/>
            <w:shd w:fill="F3F6F7"/>
          </w:tcPr>
          <w:p>
            <w:pPr>
              <w:keepNext w:val="0"/>
              <w:spacing w:after="50" w:before="20" w:line="250" w:lineRule="auto"/>
            </w:pPr>
            <w:r>
              <w:rPr>
                <w:rFonts w:ascii="Arial" w:hAnsi="Arial"/>
                <w:sz w:val="18"/>
              </w:rPr>
              <w:t>SOAP notes and treatment records</w:t>
            </w:r>
          </w:p>
        </w:tc>
        <w:tc>
          <w:tcPr>
            <w:tcW w:type="dxa" w:w="2664"/>
            <w:vAlign w:val="top"/>
            <w:shd w:fill="F3F6F7"/>
          </w:tcPr>
          <w:p>
            <w:pPr>
              <w:keepNext w:val="0"/>
              <w:spacing w:after="50" w:before="20" w:line="250" w:lineRule="auto"/>
            </w:pPr>
            <w:r>
              <w:rPr>
                <w:rFonts w:ascii="Arial" w:hAnsi="Arial"/>
                <w:sz w:val="18"/>
              </w:rPr>
              <w:t>SOAP documented; advanced charting varies</w:t>
            </w:r>
          </w:p>
        </w:tc>
        <w:tc>
          <w:tcPr>
            <w:tcW w:type="dxa" w:w="3600"/>
            <w:vAlign w:val="top"/>
            <w:shd w:fill="F3F6F7"/>
          </w:tcPr>
          <w:p>
            <w:pPr>
              <w:keepNext w:val="0"/>
              <w:spacing w:after="50" w:before="20" w:line="250" w:lineRule="auto"/>
            </w:pPr>
            <w:r>
              <w:rPr>
                <w:rFonts w:ascii="Arial" w:hAnsi="Arial"/>
                <w:sz w:val="18"/>
              </w:rPr>
              <w:t>Advertised [GG01, GG10, VG15]</w:t>
            </w:r>
          </w:p>
        </w:tc>
      </w:tr>
      <w:tr>
        <w:trPr>
          <w:cantSplit/>
        </w:trPr>
        <w:tc>
          <w:tcPr>
            <w:tcW w:type="dxa" w:w="3960"/>
            <w:vAlign w:val="top"/>
          </w:tcPr>
          <w:p>
            <w:pPr>
              <w:keepNext w:val="0"/>
              <w:spacing w:after="50" w:before="20" w:line="250" w:lineRule="auto"/>
            </w:pPr>
            <w:r>
              <w:rPr>
                <w:rFonts w:ascii="Arial" w:hAnsi="Arial"/>
                <w:sz w:val="18"/>
              </w:rPr>
              <w:t>Medical-director review and signed audit trail</w:t>
            </w:r>
          </w:p>
        </w:tc>
        <w:tc>
          <w:tcPr>
            <w:tcW w:type="dxa" w:w="2664"/>
            <w:vAlign w:val="top"/>
          </w:tcPr>
          <w:p>
            <w:pPr>
              <w:keepNext w:val="0"/>
              <w:spacing w:after="50" w:before="20" w:line="250" w:lineRule="auto"/>
            </w:pPr>
            <w:r>
              <w:rPr>
                <w:rFonts w:ascii="Arial" w:hAnsi="Arial"/>
                <w:sz w:val="18"/>
              </w:rPr>
              <w:t>Advertised</w:t>
            </w:r>
          </w:p>
        </w:tc>
        <w:tc>
          <w:tcPr>
            <w:tcW w:type="dxa" w:w="3600"/>
            <w:vAlign w:val="top"/>
          </w:tcPr>
          <w:p>
            <w:pPr>
              <w:keepNext w:val="0"/>
              <w:spacing w:after="50" w:before="20" w:line="250" w:lineRule="auto"/>
            </w:pPr>
            <w:r>
              <w:rPr>
                <w:rFonts w:ascii="Arial" w:hAnsi="Arial"/>
                <w:sz w:val="18"/>
              </w:rPr>
              <w:t>Not established [GG10]</w:t>
            </w:r>
          </w:p>
        </w:tc>
      </w:tr>
      <w:tr>
        <w:trPr>
          <w:cantSplit/>
        </w:trPr>
        <w:tc>
          <w:tcPr>
            <w:tcW w:type="dxa" w:w="3960"/>
            <w:vAlign w:val="top"/>
            <w:shd w:fill="F3F6F7"/>
          </w:tcPr>
          <w:p>
            <w:pPr>
              <w:keepNext w:val="0"/>
              <w:spacing w:after="50" w:before="20" w:line="250" w:lineRule="auto"/>
            </w:pPr>
            <w:r>
              <w:rPr>
                <w:rFonts w:ascii="Arial" w:hAnsi="Arial"/>
                <w:sz w:val="18"/>
              </w:rPr>
              <w:t>Product lot, units and expiry in charts</w:t>
            </w:r>
          </w:p>
        </w:tc>
        <w:tc>
          <w:tcPr>
            <w:tcW w:type="dxa" w:w="2664"/>
            <w:vAlign w:val="top"/>
            <w:shd w:fill="F3F6F7"/>
          </w:tcPr>
          <w:p>
            <w:pPr>
              <w:keepNext w:val="0"/>
              <w:spacing w:after="50" w:before="20" w:line="250" w:lineRule="auto"/>
            </w:pPr>
            <w:r>
              <w:rPr>
                <w:rFonts w:ascii="Arial" w:hAnsi="Arial"/>
                <w:sz w:val="18"/>
              </w:rPr>
              <w:t>Advertised</w:t>
            </w:r>
          </w:p>
        </w:tc>
        <w:tc>
          <w:tcPr>
            <w:tcW w:type="dxa" w:w="3600"/>
            <w:vAlign w:val="top"/>
            <w:shd w:fill="F3F6F7"/>
          </w:tcPr>
          <w:p>
            <w:pPr>
              <w:keepNext w:val="0"/>
              <w:spacing w:after="50" w:before="20" w:line="250" w:lineRule="auto"/>
            </w:pPr>
            <w:r>
              <w:rPr>
                <w:rFonts w:ascii="Arial" w:hAnsi="Arial"/>
                <w:sz w:val="18"/>
              </w:rPr>
              <w:t>Specific scope unverified [GG10]</w:t>
            </w:r>
          </w:p>
        </w:tc>
      </w:tr>
      <w:tr>
        <w:trPr>
          <w:cantSplit/>
        </w:trPr>
        <w:tc>
          <w:tcPr>
            <w:tcW w:type="dxa" w:w="3960"/>
            <w:vAlign w:val="top"/>
          </w:tcPr>
          <w:p>
            <w:pPr>
              <w:keepNext w:val="0"/>
              <w:spacing w:after="50" w:before="20" w:line="250" w:lineRule="auto"/>
            </w:pPr>
            <w:r>
              <w:rPr>
                <w:rFonts w:ascii="Arial" w:hAnsi="Arial"/>
                <w:sz w:val="18"/>
              </w:rPr>
              <w:t>E-prescribing</w:t>
            </w:r>
          </w:p>
        </w:tc>
        <w:tc>
          <w:tcPr>
            <w:tcW w:type="dxa" w:w="2664"/>
            <w:vAlign w:val="top"/>
          </w:tcPr>
          <w:p>
            <w:pPr>
              <w:keepNext w:val="0"/>
              <w:spacing w:after="50" w:before="20" w:line="250" w:lineRule="auto"/>
            </w:pPr>
            <w:r>
              <w:rPr>
                <w:rFonts w:ascii="Arial" w:hAnsi="Arial"/>
                <w:sz w:val="18"/>
              </w:rPr>
              <w:t>Not established</w:t>
            </w:r>
          </w:p>
        </w:tc>
        <w:tc>
          <w:tcPr>
            <w:tcW w:type="dxa" w:w="3600"/>
            <w:vAlign w:val="top"/>
          </w:tcPr>
          <w:p>
            <w:pPr>
              <w:keepNext w:val="0"/>
              <w:spacing w:after="50" w:before="20" w:line="250" w:lineRule="auto"/>
            </w:pPr>
            <w:r>
              <w:rPr>
                <w:rFonts w:ascii="Arial" w:hAnsi="Arial"/>
                <w:sz w:val="18"/>
              </w:rPr>
              <w:t>ScriptSure partner; US [VG02]</w:t>
            </w:r>
          </w:p>
        </w:tc>
      </w:tr>
    </w:tbl>
    <w:p>
      <w:pPr>
        <w:spacing w:after="40" w:before="0" w:line="240" w:lineRule="auto"/>
      </w:pPr>
      <w:r>
        <w:rPr>
          <w:sz w:val="4"/>
        </w:rPr>
      </w:r>
    </w:p>
    <w:p>
      <w:pPr>
        <w:pStyle w:val="Heading3"/>
      </w:pPr>
      <w:r>
        <w:t>Payments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3960"/>
        <w:gridCol w:w="2664"/>
        <w:gridCol w:w="3600"/>
      </w:tblGrid>
      <w:tr>
        <w:trPr>
          <w:tblHeader/>
        </w:trPr>
        <w:tc>
          <w:tcPr>
            <w:tcW w:type="dxa" w:w="3960"/>
            <w:vAlign w:val="top"/>
            <w:shd w:fill="173F50"/>
          </w:tcPr>
          <w:p>
            <w:pPr>
              <w:keepNext/>
              <w:spacing w:after="50" w:before="20" w:line="250" w:lineRule="auto"/>
            </w:pPr>
            <w:r>
              <w:rPr>
                <w:rFonts w:ascii="Arial" w:hAnsi="Arial"/>
                <w:b/>
                <w:color w:val="FFFFFF"/>
                <w:sz w:val="18"/>
              </w:rPr>
              <w:t>Capability</w:t>
            </w:r>
          </w:p>
        </w:tc>
        <w:tc>
          <w:tcPr>
            <w:tcW w:type="dxa" w:w="2664"/>
            <w:vAlign w:val="top"/>
            <w:shd w:fill="173F50"/>
          </w:tcPr>
          <w:p>
            <w:pPr>
              <w:keepNext/>
              <w:spacing w:after="50" w:before="20" w:line="250" w:lineRule="auto"/>
            </w:pPr>
            <w:r>
              <w:rPr>
                <w:rFonts w:ascii="Arial" w:hAnsi="Arial"/>
                <w:b/>
                <w:color w:val="FFFFFF"/>
                <w:sz w:val="18"/>
              </w:rPr>
              <w:t>GlossGenius</w:t>
            </w:r>
          </w:p>
        </w:tc>
        <w:tc>
          <w:tcPr>
            <w:tcW w:type="dxa" w:w="3600"/>
            <w:vAlign w:val="top"/>
            <w:shd w:fill="173F50"/>
          </w:tcPr>
          <w:p>
            <w:pPr>
              <w:keepNext/>
              <w:spacing w:after="50" w:before="20" w:line="250" w:lineRule="auto"/>
            </w:pPr>
            <w:r>
              <w:rPr>
                <w:rFonts w:ascii="Arial" w:hAnsi="Arial"/>
                <w:b/>
                <w:color w:val="FFFFFF"/>
                <w:sz w:val="18"/>
              </w:rPr>
              <w:t>Vagaro and sources</w:t>
            </w:r>
          </w:p>
        </w:tc>
      </w:tr>
      <w:tr>
        <w:trPr>
          <w:cantSplit/>
        </w:trPr>
        <w:tc>
          <w:tcPr>
            <w:tcW w:type="dxa" w:w="3960"/>
            <w:vAlign w:val="top"/>
          </w:tcPr>
          <w:p>
            <w:pPr>
              <w:keepNext w:val="0"/>
              <w:spacing w:after="50" w:before="20" w:line="250" w:lineRule="auto"/>
            </w:pPr>
            <w:r>
              <w:rPr>
                <w:rFonts w:ascii="Arial" w:hAnsi="Arial"/>
                <w:sz w:val="18"/>
              </w:rPr>
              <w:t>Service and retail POS</w:t>
            </w:r>
          </w:p>
        </w:tc>
        <w:tc>
          <w:tcPr>
            <w:tcW w:type="dxa" w:w="2664"/>
            <w:vAlign w:val="top"/>
          </w:tcPr>
          <w:p>
            <w:pPr>
              <w:keepNext w:val="0"/>
              <w:spacing w:after="50" w:before="20" w:line="250" w:lineRule="auto"/>
            </w:pPr>
            <w:r>
              <w:rPr>
                <w:rFonts w:ascii="Arial" w:hAnsi="Arial"/>
                <w:sz w:val="18"/>
              </w:rPr>
              <w:t>Advertised</w:t>
            </w:r>
          </w:p>
        </w:tc>
        <w:tc>
          <w:tcPr>
            <w:tcW w:type="dxa" w:w="3600"/>
            <w:vAlign w:val="top"/>
          </w:tcPr>
          <w:p>
            <w:pPr>
              <w:keepNext w:val="0"/>
              <w:spacing w:after="50" w:before="20" w:line="250" w:lineRule="auto"/>
            </w:pPr>
            <w:r>
              <w:rPr>
                <w:rFonts w:ascii="Arial" w:hAnsi="Arial"/>
                <w:sz w:val="18"/>
              </w:rPr>
              <w:t>Advertised [GG13, VG01]</w:t>
            </w:r>
          </w:p>
        </w:tc>
      </w:tr>
      <w:tr>
        <w:trPr>
          <w:cantSplit/>
        </w:trPr>
        <w:tc>
          <w:tcPr>
            <w:tcW w:type="dxa" w:w="3960"/>
            <w:vAlign w:val="top"/>
            <w:shd w:fill="F3F6F7"/>
          </w:tcPr>
          <w:p>
            <w:pPr>
              <w:keepNext w:val="0"/>
              <w:spacing w:after="50" w:before="20" w:line="250" w:lineRule="auto"/>
            </w:pPr>
            <w:r>
              <w:rPr>
                <w:rFonts w:ascii="Arial" w:hAnsi="Arial"/>
                <w:sz w:val="18"/>
              </w:rPr>
              <w:t>Tap to Pay and reader payments</w:t>
            </w:r>
          </w:p>
        </w:tc>
        <w:tc>
          <w:tcPr>
            <w:tcW w:type="dxa" w:w="2664"/>
            <w:vAlign w:val="top"/>
            <w:shd w:fill="F3F6F7"/>
          </w:tcPr>
          <w:p>
            <w:pPr>
              <w:keepNext w:val="0"/>
              <w:spacing w:after="50" w:before="20" w:line="250" w:lineRule="auto"/>
            </w:pPr>
            <w:r>
              <w:rPr>
                <w:rFonts w:ascii="Arial" w:hAnsi="Arial"/>
                <w:sz w:val="18"/>
              </w:rPr>
              <w:t>Advertised</w:t>
            </w:r>
          </w:p>
        </w:tc>
        <w:tc>
          <w:tcPr>
            <w:tcW w:type="dxa" w:w="3600"/>
            <w:vAlign w:val="top"/>
            <w:shd w:fill="F3F6F7"/>
          </w:tcPr>
          <w:p>
            <w:pPr>
              <w:keepNext w:val="0"/>
              <w:spacing w:after="50" w:before="20" w:line="250" w:lineRule="auto"/>
            </w:pPr>
            <w:r>
              <w:rPr>
                <w:rFonts w:ascii="Arial" w:hAnsi="Arial"/>
                <w:sz w:val="18"/>
              </w:rPr>
              <w:t>Advertised [GG16, VG02]</w:t>
            </w:r>
          </w:p>
        </w:tc>
      </w:tr>
      <w:tr>
        <w:trPr>
          <w:cantSplit/>
        </w:trPr>
        <w:tc>
          <w:tcPr>
            <w:tcW w:type="dxa" w:w="3960"/>
            <w:vAlign w:val="top"/>
          </w:tcPr>
          <w:p>
            <w:pPr>
              <w:keepNext w:val="0"/>
              <w:spacing w:after="50" w:before="20" w:line="250" w:lineRule="auto"/>
            </w:pPr>
            <w:r>
              <w:rPr>
                <w:rFonts w:ascii="Arial" w:hAnsi="Arial"/>
                <w:sz w:val="18"/>
              </w:rPr>
              <w:t>Invoices and reminders</w:t>
            </w:r>
          </w:p>
        </w:tc>
        <w:tc>
          <w:tcPr>
            <w:tcW w:type="dxa" w:w="2664"/>
            <w:vAlign w:val="top"/>
          </w:tcPr>
          <w:p>
            <w:pPr>
              <w:keepNext w:val="0"/>
              <w:spacing w:after="50" w:before="20" w:line="250" w:lineRule="auto"/>
            </w:pPr>
            <w:r>
              <w:rPr>
                <w:rFonts w:ascii="Arial" w:hAnsi="Arial"/>
                <w:sz w:val="18"/>
              </w:rPr>
              <w:t>Advertised</w:t>
            </w:r>
          </w:p>
        </w:tc>
        <w:tc>
          <w:tcPr>
            <w:tcW w:type="dxa" w:w="3600"/>
            <w:vAlign w:val="top"/>
          </w:tcPr>
          <w:p>
            <w:pPr>
              <w:keepNext w:val="0"/>
              <w:spacing w:after="50" w:before="20" w:line="250" w:lineRule="auto"/>
            </w:pPr>
            <w:r>
              <w:rPr>
                <w:rFonts w:ascii="Arial" w:hAnsi="Arial"/>
                <w:sz w:val="18"/>
              </w:rPr>
              <w:t>Advertised [GG16, VG01]</w:t>
            </w:r>
          </w:p>
        </w:tc>
      </w:tr>
      <w:tr>
        <w:trPr>
          <w:cantSplit/>
        </w:trPr>
        <w:tc>
          <w:tcPr>
            <w:tcW w:type="dxa" w:w="3960"/>
            <w:vAlign w:val="top"/>
            <w:shd w:fill="F3F6F7"/>
          </w:tcPr>
          <w:p>
            <w:pPr>
              <w:keepNext w:val="0"/>
              <w:spacing w:after="50" w:before="20" w:line="250" w:lineRule="auto"/>
            </w:pPr>
            <w:r>
              <w:rPr>
                <w:rFonts w:ascii="Arial" w:hAnsi="Arial"/>
                <w:sz w:val="18"/>
              </w:rPr>
              <w:t>Split and group checkout</w:t>
            </w:r>
          </w:p>
        </w:tc>
        <w:tc>
          <w:tcPr>
            <w:tcW w:type="dxa" w:w="2664"/>
            <w:vAlign w:val="top"/>
            <w:shd w:fill="F3F6F7"/>
          </w:tcPr>
          <w:p>
            <w:pPr>
              <w:keepNext w:val="0"/>
              <w:spacing w:after="50" w:before="20" w:line="250" w:lineRule="auto"/>
            </w:pPr>
            <w:r>
              <w:rPr>
                <w:rFonts w:ascii="Arial" w:hAnsi="Arial"/>
                <w:sz w:val="18"/>
              </w:rPr>
              <w:t>Multi-professional checkout vendor response</w:t>
            </w:r>
          </w:p>
        </w:tc>
        <w:tc>
          <w:tcPr>
            <w:tcW w:type="dxa" w:w="3600"/>
            <w:vAlign w:val="top"/>
            <w:shd w:fill="F3F6F7"/>
          </w:tcPr>
          <w:p>
            <w:pPr>
              <w:keepNext w:val="0"/>
              <w:spacing w:after="50" w:before="20" w:line="250" w:lineRule="auto"/>
            </w:pPr>
            <w:r>
              <w:rPr>
                <w:rFonts w:ascii="Arial" w:hAnsi="Arial"/>
                <w:sz w:val="18"/>
              </w:rPr>
              <w:t>Explicit split/group modes [RG05, VG01]</w:t>
            </w:r>
          </w:p>
        </w:tc>
      </w:tr>
      <w:tr>
        <w:trPr>
          <w:cantSplit/>
        </w:trPr>
        <w:tc>
          <w:tcPr>
            <w:tcW w:type="dxa" w:w="3960"/>
            <w:vAlign w:val="top"/>
          </w:tcPr>
          <w:p>
            <w:pPr>
              <w:keepNext w:val="0"/>
              <w:spacing w:after="50" w:before="20" w:line="250" w:lineRule="auto"/>
            </w:pPr>
            <w:r>
              <w:rPr>
                <w:rFonts w:ascii="Arial" w:hAnsi="Arial"/>
                <w:sz w:val="18"/>
              </w:rPr>
              <w:t>Saved carts and balances</w:t>
            </w:r>
          </w:p>
        </w:tc>
        <w:tc>
          <w:tcPr>
            <w:tcW w:type="dxa" w:w="2664"/>
            <w:vAlign w:val="top"/>
          </w:tcPr>
          <w:p>
            <w:pPr>
              <w:keepNext w:val="0"/>
              <w:spacing w:after="50" w:before="20" w:line="250" w:lineRule="auto"/>
            </w:pPr>
            <w:r>
              <w:rPr>
                <w:rFonts w:ascii="Arial" w:hAnsi="Arial"/>
                <w:sz w:val="18"/>
              </w:rPr>
              <w:t>Not established</w:t>
            </w:r>
          </w:p>
        </w:tc>
        <w:tc>
          <w:tcPr>
            <w:tcW w:type="dxa" w:w="3600"/>
            <w:vAlign w:val="top"/>
          </w:tcPr>
          <w:p>
            <w:pPr>
              <w:keepNext w:val="0"/>
              <w:spacing w:after="50" w:before="20" w:line="250" w:lineRule="auto"/>
            </w:pPr>
            <w:r>
              <w:rPr>
                <w:rFonts w:ascii="Arial" w:hAnsi="Arial"/>
                <w:sz w:val="18"/>
              </w:rPr>
              <w:t>Advertised [VG01]</w:t>
            </w:r>
          </w:p>
        </w:tc>
      </w:tr>
      <w:tr>
        <w:trPr>
          <w:cantSplit/>
        </w:trPr>
        <w:tc>
          <w:tcPr>
            <w:tcW w:type="dxa" w:w="3960"/>
            <w:vAlign w:val="top"/>
            <w:shd w:fill="F3F6F7"/>
          </w:tcPr>
          <w:p>
            <w:pPr>
              <w:keepNext w:val="0"/>
              <w:spacing w:after="50" w:before="20" w:line="250" w:lineRule="auto"/>
            </w:pPr>
            <w:r>
              <w:rPr>
                <w:rFonts w:ascii="Arial" w:hAnsi="Arial"/>
                <w:sz w:val="18"/>
              </w:rPr>
              <w:t>Gift cards</w:t>
            </w:r>
          </w:p>
        </w:tc>
        <w:tc>
          <w:tcPr>
            <w:tcW w:type="dxa" w:w="2664"/>
            <w:vAlign w:val="top"/>
            <w:shd w:fill="F3F6F7"/>
          </w:tcPr>
          <w:p>
            <w:pPr>
              <w:keepNext w:val="0"/>
              <w:spacing w:after="50" w:before="20" w:line="250" w:lineRule="auto"/>
            </w:pPr>
            <w:r>
              <w:rPr>
                <w:rFonts w:ascii="Arial" w:hAnsi="Arial"/>
                <w:sz w:val="18"/>
              </w:rPr>
              <w:t>Advertised</w:t>
            </w:r>
          </w:p>
        </w:tc>
        <w:tc>
          <w:tcPr>
            <w:tcW w:type="dxa" w:w="3600"/>
            <w:vAlign w:val="top"/>
            <w:shd w:fill="F3F6F7"/>
          </w:tcPr>
          <w:p>
            <w:pPr>
              <w:keepNext w:val="0"/>
              <w:spacing w:after="50" w:before="20" w:line="250" w:lineRule="auto"/>
            </w:pPr>
            <w:r>
              <w:rPr>
                <w:rFonts w:ascii="Arial" w:hAnsi="Arial"/>
                <w:sz w:val="18"/>
              </w:rPr>
              <w:t>Advertised [GG16, VG01]</w:t>
            </w:r>
          </w:p>
        </w:tc>
      </w:tr>
      <w:tr>
        <w:trPr>
          <w:cantSplit/>
        </w:trPr>
        <w:tc>
          <w:tcPr>
            <w:tcW w:type="dxa" w:w="3960"/>
            <w:vAlign w:val="top"/>
          </w:tcPr>
          <w:p>
            <w:pPr>
              <w:keepNext w:val="0"/>
              <w:spacing w:after="50" w:before="20" w:line="250" w:lineRule="auto"/>
            </w:pPr>
            <w:r>
              <w:rPr>
                <w:rFonts w:ascii="Arial" w:hAnsi="Arial"/>
                <w:sz w:val="18"/>
              </w:rPr>
              <w:t>Memberships</w:t>
            </w:r>
          </w:p>
        </w:tc>
        <w:tc>
          <w:tcPr>
            <w:tcW w:type="dxa" w:w="2664"/>
            <w:vAlign w:val="top"/>
          </w:tcPr>
          <w:p>
            <w:pPr>
              <w:keepNext w:val="0"/>
              <w:spacing w:after="50" w:before="20" w:line="250" w:lineRule="auto"/>
            </w:pPr>
            <w:r>
              <w:rPr>
                <w:rFonts w:ascii="Arial" w:hAnsi="Arial"/>
                <w:sz w:val="18"/>
              </w:rPr>
              <w:t>Advertised</w:t>
            </w:r>
          </w:p>
        </w:tc>
        <w:tc>
          <w:tcPr>
            <w:tcW w:type="dxa" w:w="3600"/>
            <w:vAlign w:val="top"/>
          </w:tcPr>
          <w:p>
            <w:pPr>
              <w:keepNext w:val="0"/>
              <w:spacing w:after="50" w:before="20" w:line="250" w:lineRule="auto"/>
            </w:pPr>
            <w:r>
              <w:rPr>
                <w:rFonts w:ascii="Arial" w:hAnsi="Arial"/>
                <w:sz w:val="18"/>
              </w:rPr>
              <w:t>Advertised [GG08, VG01]</w:t>
            </w:r>
          </w:p>
        </w:tc>
      </w:tr>
      <w:tr>
        <w:trPr>
          <w:cantSplit/>
        </w:trPr>
        <w:tc>
          <w:tcPr>
            <w:tcW w:type="dxa" w:w="3960"/>
            <w:vAlign w:val="top"/>
            <w:shd w:fill="F3F6F7"/>
          </w:tcPr>
          <w:p>
            <w:pPr>
              <w:keepNext w:val="0"/>
              <w:spacing w:after="50" w:before="20" w:line="250" w:lineRule="auto"/>
            </w:pPr>
            <w:r>
              <w:rPr>
                <w:rFonts w:ascii="Arial" w:hAnsi="Arial"/>
                <w:sz w:val="18"/>
              </w:rPr>
              <w:t>Packages</w:t>
            </w:r>
          </w:p>
        </w:tc>
        <w:tc>
          <w:tcPr>
            <w:tcW w:type="dxa" w:w="2664"/>
            <w:vAlign w:val="top"/>
            <w:shd w:fill="F3F6F7"/>
          </w:tcPr>
          <w:p>
            <w:pPr>
              <w:keepNext w:val="0"/>
              <w:spacing w:after="50" w:before="20" w:line="250" w:lineRule="auto"/>
            </w:pPr>
            <w:r>
              <w:rPr>
                <w:rFonts w:ascii="Arial" w:hAnsi="Arial"/>
                <w:sz w:val="18"/>
              </w:rPr>
              <w:t>Advertised</w:t>
            </w:r>
          </w:p>
        </w:tc>
        <w:tc>
          <w:tcPr>
            <w:tcW w:type="dxa" w:w="3600"/>
            <w:vAlign w:val="top"/>
            <w:shd w:fill="F3F6F7"/>
          </w:tcPr>
          <w:p>
            <w:pPr>
              <w:keepNext w:val="0"/>
              <w:spacing w:after="50" w:before="20" w:line="250" w:lineRule="auto"/>
            </w:pPr>
            <w:r>
              <w:rPr>
                <w:rFonts w:ascii="Arial" w:hAnsi="Arial"/>
                <w:sz w:val="18"/>
              </w:rPr>
              <w:t>Advertised [GG08, VG01]</w:t>
            </w:r>
          </w:p>
        </w:tc>
      </w:tr>
      <w:tr>
        <w:trPr>
          <w:cantSplit/>
        </w:trPr>
        <w:tc>
          <w:tcPr>
            <w:tcW w:type="dxa" w:w="3960"/>
            <w:vAlign w:val="top"/>
          </w:tcPr>
          <w:p>
            <w:pPr>
              <w:keepNext w:val="0"/>
              <w:spacing w:after="50" w:before="20" w:line="250" w:lineRule="auto"/>
            </w:pPr>
            <w:r>
              <w:rPr>
                <w:rFonts w:ascii="Arial" w:hAnsi="Arial"/>
                <w:sz w:val="18"/>
              </w:rPr>
              <w:t>Renewals and payment recovery</w:t>
            </w:r>
          </w:p>
        </w:tc>
        <w:tc>
          <w:tcPr>
            <w:tcW w:type="dxa" w:w="2664"/>
            <w:vAlign w:val="top"/>
          </w:tcPr>
          <w:p>
            <w:pPr>
              <w:keepNext w:val="0"/>
              <w:spacing w:after="50" w:before="20" w:line="250" w:lineRule="auto"/>
            </w:pPr>
            <w:r>
              <w:rPr>
                <w:rFonts w:ascii="Arial" w:hAnsi="Arial"/>
                <w:sz w:val="18"/>
              </w:rPr>
              <w:t>Advertised</w:t>
            </w:r>
          </w:p>
        </w:tc>
        <w:tc>
          <w:tcPr>
            <w:tcW w:type="dxa" w:w="3600"/>
            <w:vAlign w:val="top"/>
          </w:tcPr>
          <w:p>
            <w:pPr>
              <w:keepNext w:val="0"/>
              <w:spacing w:after="50" w:before="20" w:line="250" w:lineRule="auto"/>
            </w:pPr>
            <w:r>
              <w:rPr>
                <w:rFonts w:ascii="Arial" w:hAnsi="Arial"/>
                <w:sz w:val="18"/>
              </w:rPr>
              <w:t>Recurring billing advertised [GG08, VG01]</w:t>
            </w:r>
          </w:p>
        </w:tc>
      </w:tr>
      <w:tr>
        <w:trPr>
          <w:cantSplit/>
        </w:trPr>
        <w:tc>
          <w:tcPr>
            <w:tcW w:type="dxa" w:w="3960"/>
            <w:vAlign w:val="top"/>
            <w:shd w:fill="F3F6F7"/>
          </w:tcPr>
          <w:p>
            <w:pPr>
              <w:keepNext w:val="0"/>
              <w:spacing w:after="50" w:before="20" w:line="250" w:lineRule="auto"/>
            </w:pPr>
            <w:r>
              <w:rPr>
                <w:rFonts w:ascii="Arial" w:hAnsi="Arial"/>
                <w:sz w:val="18"/>
              </w:rPr>
              <w:t>Buy now pay later</w:t>
            </w:r>
          </w:p>
        </w:tc>
        <w:tc>
          <w:tcPr>
            <w:tcW w:type="dxa" w:w="2664"/>
            <w:vAlign w:val="top"/>
            <w:shd w:fill="F3F6F7"/>
          </w:tcPr>
          <w:p>
            <w:pPr>
              <w:keepNext w:val="0"/>
              <w:spacing w:after="50" w:before="20" w:line="250" w:lineRule="auto"/>
            </w:pPr>
            <w:r>
              <w:rPr>
                <w:rFonts w:ascii="Arial" w:hAnsi="Arial"/>
                <w:sz w:val="18"/>
              </w:rPr>
              <w:t>Advertised</w:t>
            </w:r>
          </w:p>
        </w:tc>
        <w:tc>
          <w:tcPr>
            <w:tcW w:type="dxa" w:w="3600"/>
            <w:vAlign w:val="top"/>
            <w:shd w:fill="F3F6F7"/>
          </w:tcPr>
          <w:p>
            <w:pPr>
              <w:keepNext w:val="0"/>
              <w:spacing w:after="50" w:before="20" w:line="250" w:lineRule="auto"/>
            </w:pPr>
            <w:r>
              <w:rPr>
                <w:rFonts w:ascii="Arial" w:hAnsi="Arial"/>
                <w:sz w:val="18"/>
              </w:rPr>
              <w:t>Affirm integration [GG02, VG02]</w:t>
            </w:r>
          </w:p>
        </w:tc>
      </w:tr>
      <w:tr>
        <w:trPr>
          <w:cantSplit/>
        </w:trPr>
        <w:tc>
          <w:tcPr>
            <w:tcW w:type="dxa" w:w="3960"/>
            <w:vAlign w:val="top"/>
          </w:tcPr>
          <w:p>
            <w:pPr>
              <w:keepNext w:val="0"/>
              <w:spacing w:after="50" w:before="20" w:line="250" w:lineRule="auto"/>
            </w:pPr>
            <w:r>
              <w:rPr>
                <w:rFonts w:ascii="Arial" w:hAnsi="Arial"/>
                <w:sz w:val="18"/>
              </w:rPr>
              <w:t>Payout timing and instant transfer options</w:t>
            </w:r>
          </w:p>
        </w:tc>
        <w:tc>
          <w:tcPr>
            <w:tcW w:type="dxa" w:w="2664"/>
            <w:vAlign w:val="top"/>
          </w:tcPr>
          <w:p>
            <w:pPr>
              <w:keepNext w:val="0"/>
              <w:spacing w:after="50" w:before="20" w:line="250" w:lineRule="auto"/>
            </w:pPr>
            <w:r>
              <w:rPr>
                <w:rFonts w:ascii="Arial" w:hAnsi="Arial"/>
                <w:sz w:val="18"/>
              </w:rPr>
              <w:t>Advertised</w:t>
            </w:r>
          </w:p>
        </w:tc>
        <w:tc>
          <w:tcPr>
            <w:tcW w:type="dxa" w:w="3600"/>
            <w:vAlign w:val="top"/>
          </w:tcPr>
          <w:p>
            <w:pPr>
              <w:keepNext w:val="0"/>
              <w:spacing w:after="50" w:before="20" w:line="250" w:lineRule="auto"/>
            </w:pPr>
            <w:r>
              <w:rPr>
                <w:rFonts w:ascii="Arial" w:hAnsi="Arial"/>
                <w:sz w:val="18"/>
              </w:rPr>
              <w:t>Deposit reports/processors [GG07, VG02]</w:t>
            </w:r>
          </w:p>
        </w:tc>
      </w:tr>
      <w:tr>
        <w:trPr>
          <w:cantSplit/>
        </w:trPr>
        <w:tc>
          <w:tcPr>
            <w:tcW w:type="dxa" w:w="3960"/>
            <w:vAlign w:val="top"/>
            <w:shd w:fill="F3F6F7"/>
          </w:tcPr>
          <w:p>
            <w:pPr>
              <w:keepNext w:val="0"/>
              <w:spacing w:after="50" w:before="20" w:line="250" w:lineRule="auto"/>
            </w:pPr>
            <w:r>
              <w:rPr>
                <w:rFonts w:ascii="Arial" w:hAnsi="Arial"/>
                <w:sz w:val="18"/>
              </w:rPr>
              <w:t>Merchant working-capital financing</w:t>
            </w:r>
          </w:p>
        </w:tc>
        <w:tc>
          <w:tcPr>
            <w:tcW w:type="dxa" w:w="2664"/>
            <w:vAlign w:val="top"/>
            <w:shd w:fill="F3F6F7"/>
          </w:tcPr>
          <w:p>
            <w:pPr>
              <w:keepNext w:val="0"/>
              <w:spacing w:after="50" w:before="20" w:line="250" w:lineRule="auto"/>
            </w:pPr>
            <w:r>
              <w:rPr>
                <w:rFonts w:ascii="Arial" w:hAnsi="Arial"/>
                <w:sz w:val="18"/>
              </w:rPr>
              <w:t>Advertised</w:t>
            </w:r>
          </w:p>
        </w:tc>
        <w:tc>
          <w:tcPr>
            <w:tcW w:type="dxa" w:w="3600"/>
            <w:vAlign w:val="top"/>
            <w:shd w:fill="F3F6F7"/>
          </w:tcPr>
          <w:p>
            <w:pPr>
              <w:keepNext w:val="0"/>
              <w:spacing w:after="50" w:before="20" w:line="250" w:lineRule="auto"/>
            </w:pPr>
            <w:r>
              <w:rPr>
                <w:rFonts w:ascii="Arial" w:hAnsi="Arial"/>
                <w:sz w:val="18"/>
              </w:rPr>
              <w:t>Vagaro Capital [GG16, VG02]</w:t>
            </w:r>
          </w:p>
        </w:tc>
      </w:tr>
    </w:tbl>
    <w:p>
      <w:pPr>
        <w:spacing w:after="40" w:before="0" w:line="240" w:lineRule="auto"/>
      </w:pPr>
      <w:r>
        <w:rPr>
          <w:sz w:val="4"/>
        </w:rPr>
      </w:r>
    </w:p>
    <w:p>
      <w:pPr>
        <w:pStyle w:val="Heading3"/>
      </w:pPr>
      <w:r>
        <w:t>Commerce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3960"/>
        <w:gridCol w:w="2664"/>
        <w:gridCol w:w="3600"/>
      </w:tblGrid>
      <w:tr>
        <w:trPr>
          <w:tblHeader/>
        </w:trPr>
        <w:tc>
          <w:tcPr>
            <w:tcW w:type="dxa" w:w="3960"/>
            <w:vAlign w:val="top"/>
            <w:shd w:fill="173F50"/>
          </w:tcPr>
          <w:p>
            <w:pPr>
              <w:keepNext/>
              <w:spacing w:after="50" w:before="20" w:line="250" w:lineRule="auto"/>
            </w:pPr>
            <w:r>
              <w:rPr>
                <w:rFonts w:ascii="Arial" w:hAnsi="Arial"/>
                <w:b/>
                <w:color w:val="FFFFFF"/>
                <w:sz w:val="18"/>
              </w:rPr>
              <w:t>Capability</w:t>
            </w:r>
          </w:p>
        </w:tc>
        <w:tc>
          <w:tcPr>
            <w:tcW w:type="dxa" w:w="2664"/>
            <w:vAlign w:val="top"/>
            <w:shd w:fill="173F50"/>
          </w:tcPr>
          <w:p>
            <w:pPr>
              <w:keepNext/>
              <w:spacing w:after="50" w:before="20" w:line="250" w:lineRule="auto"/>
            </w:pPr>
            <w:r>
              <w:rPr>
                <w:rFonts w:ascii="Arial" w:hAnsi="Arial"/>
                <w:b/>
                <w:color w:val="FFFFFF"/>
                <w:sz w:val="18"/>
              </w:rPr>
              <w:t>GlossGenius</w:t>
            </w:r>
          </w:p>
        </w:tc>
        <w:tc>
          <w:tcPr>
            <w:tcW w:type="dxa" w:w="3600"/>
            <w:vAlign w:val="top"/>
            <w:shd w:fill="173F50"/>
          </w:tcPr>
          <w:p>
            <w:pPr>
              <w:keepNext/>
              <w:spacing w:after="50" w:before="20" w:line="250" w:lineRule="auto"/>
            </w:pPr>
            <w:r>
              <w:rPr>
                <w:rFonts w:ascii="Arial" w:hAnsi="Arial"/>
                <w:b/>
                <w:color w:val="FFFFFF"/>
                <w:sz w:val="18"/>
              </w:rPr>
              <w:t>Vagaro and sources</w:t>
            </w:r>
          </w:p>
        </w:tc>
      </w:tr>
      <w:tr>
        <w:trPr>
          <w:cantSplit/>
        </w:trPr>
        <w:tc>
          <w:tcPr>
            <w:tcW w:type="dxa" w:w="3960"/>
            <w:vAlign w:val="top"/>
          </w:tcPr>
          <w:p>
            <w:pPr>
              <w:keepNext w:val="0"/>
              <w:spacing w:after="50" w:before="20" w:line="250" w:lineRule="auto"/>
            </w:pPr>
            <w:r>
              <w:rPr>
                <w:rFonts w:ascii="Arial" w:hAnsi="Arial"/>
                <w:sz w:val="18"/>
              </w:rPr>
              <w:t>Online product shopping and shipping</w:t>
            </w:r>
          </w:p>
        </w:tc>
        <w:tc>
          <w:tcPr>
            <w:tcW w:type="dxa" w:w="2664"/>
            <w:vAlign w:val="top"/>
          </w:tcPr>
          <w:p>
            <w:pPr>
              <w:keepNext w:val="0"/>
              <w:spacing w:after="50" w:before="20" w:line="250" w:lineRule="auto"/>
            </w:pPr>
            <w:r>
              <w:rPr>
                <w:rFonts w:ascii="Arial" w:hAnsi="Arial"/>
                <w:sz w:val="18"/>
              </w:rPr>
              <w:t>Retail advertised; full store scope unverified</w:t>
            </w:r>
          </w:p>
        </w:tc>
        <w:tc>
          <w:tcPr>
            <w:tcW w:type="dxa" w:w="3600"/>
            <w:vAlign w:val="top"/>
          </w:tcPr>
          <w:p>
            <w:pPr>
              <w:keepNext w:val="0"/>
              <w:spacing w:after="50" w:before="20" w:line="250" w:lineRule="auto"/>
            </w:pPr>
            <w:r>
              <w:rPr>
                <w:rFonts w:ascii="Arial" w:hAnsi="Arial"/>
                <w:sz w:val="18"/>
              </w:rPr>
              <w:t>Shopping Cart add-on [GG12, VG02]</w:t>
            </w:r>
          </w:p>
        </w:tc>
      </w:tr>
      <w:tr>
        <w:trPr>
          <w:cantSplit/>
        </w:trPr>
        <w:tc>
          <w:tcPr>
            <w:tcW w:type="dxa" w:w="3960"/>
            <w:vAlign w:val="top"/>
            <w:shd w:fill="F3F6F7"/>
          </w:tcPr>
          <w:p>
            <w:pPr>
              <w:keepNext w:val="0"/>
              <w:spacing w:after="50" w:before="20" w:line="250" w:lineRule="auto"/>
            </w:pPr>
            <w:r>
              <w:rPr>
                <w:rFonts w:ascii="Arial" w:hAnsi="Arial"/>
                <w:sz w:val="18"/>
              </w:rPr>
              <w:t>Wholesale purchasing/price comparison</w:t>
            </w:r>
          </w:p>
        </w:tc>
        <w:tc>
          <w:tcPr>
            <w:tcW w:type="dxa" w:w="2664"/>
            <w:vAlign w:val="top"/>
            <w:shd w:fill="F3F6F7"/>
          </w:tcPr>
          <w:p>
            <w:pPr>
              <w:keepNext w:val="0"/>
              <w:spacing w:after="50" w:before="20" w:line="250" w:lineRule="auto"/>
            </w:pPr>
            <w:r>
              <w:rPr>
                <w:rFonts w:ascii="Arial" w:hAnsi="Arial"/>
                <w:sz w:val="18"/>
              </w:rPr>
              <w:t>GeniusShop advertised</w:t>
            </w:r>
          </w:p>
        </w:tc>
        <w:tc>
          <w:tcPr>
            <w:tcW w:type="dxa" w:w="3600"/>
            <w:vAlign w:val="top"/>
            <w:shd w:fill="F3F6F7"/>
          </w:tcPr>
          <w:p>
            <w:pPr>
              <w:keepNext w:val="0"/>
              <w:spacing w:after="50" w:before="20" w:line="250" w:lineRule="auto"/>
            </w:pPr>
            <w:r>
              <w:rPr>
                <w:rFonts w:ascii="Arial" w:hAnsi="Arial"/>
                <w:sz w:val="18"/>
              </w:rPr>
              <w:t>Vendor management; marketplace scope differs [GG12]</w:t>
            </w:r>
          </w:p>
        </w:tc>
      </w:tr>
    </w:tbl>
    <w:p>
      <w:pPr>
        <w:spacing w:after="40" w:before="0" w:line="240" w:lineRule="auto"/>
      </w:pPr>
      <w:r>
        <w:rPr>
          <w:sz w:val="4"/>
        </w:rPr>
      </w:r>
    </w:p>
    <w:p>
      <w:pPr>
        <w:pStyle w:val="Heading3"/>
      </w:pPr>
      <w:r>
        <w:t>Inventory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3960"/>
        <w:gridCol w:w="2664"/>
        <w:gridCol w:w="3600"/>
      </w:tblGrid>
      <w:tr>
        <w:trPr>
          <w:tblHeader/>
        </w:trPr>
        <w:tc>
          <w:tcPr>
            <w:tcW w:type="dxa" w:w="3960"/>
            <w:vAlign w:val="top"/>
            <w:shd w:fill="173F50"/>
          </w:tcPr>
          <w:p>
            <w:pPr>
              <w:keepNext/>
              <w:spacing w:after="50" w:before="20" w:line="250" w:lineRule="auto"/>
            </w:pPr>
            <w:r>
              <w:rPr>
                <w:rFonts w:ascii="Arial" w:hAnsi="Arial"/>
                <w:b/>
                <w:color w:val="FFFFFF"/>
                <w:sz w:val="18"/>
              </w:rPr>
              <w:t>Capability</w:t>
            </w:r>
          </w:p>
        </w:tc>
        <w:tc>
          <w:tcPr>
            <w:tcW w:type="dxa" w:w="2664"/>
            <w:vAlign w:val="top"/>
            <w:shd w:fill="173F50"/>
          </w:tcPr>
          <w:p>
            <w:pPr>
              <w:keepNext/>
              <w:spacing w:after="50" w:before="20" w:line="250" w:lineRule="auto"/>
            </w:pPr>
            <w:r>
              <w:rPr>
                <w:rFonts w:ascii="Arial" w:hAnsi="Arial"/>
                <w:b/>
                <w:color w:val="FFFFFF"/>
                <w:sz w:val="18"/>
              </w:rPr>
              <w:t>GlossGenius</w:t>
            </w:r>
          </w:p>
        </w:tc>
        <w:tc>
          <w:tcPr>
            <w:tcW w:type="dxa" w:w="3600"/>
            <w:vAlign w:val="top"/>
            <w:shd w:fill="173F50"/>
          </w:tcPr>
          <w:p>
            <w:pPr>
              <w:keepNext/>
              <w:spacing w:after="50" w:before="20" w:line="250" w:lineRule="auto"/>
            </w:pPr>
            <w:r>
              <w:rPr>
                <w:rFonts w:ascii="Arial" w:hAnsi="Arial"/>
                <w:b/>
                <w:color w:val="FFFFFF"/>
                <w:sz w:val="18"/>
              </w:rPr>
              <w:t>Vagaro and sources</w:t>
            </w:r>
          </w:p>
        </w:tc>
      </w:tr>
      <w:tr>
        <w:trPr>
          <w:cantSplit/>
        </w:trPr>
        <w:tc>
          <w:tcPr>
            <w:tcW w:type="dxa" w:w="3960"/>
            <w:vAlign w:val="top"/>
          </w:tcPr>
          <w:p>
            <w:pPr>
              <w:keepNext w:val="0"/>
              <w:spacing w:after="50" w:before="20" w:line="250" w:lineRule="auto"/>
            </w:pPr>
            <w:r>
              <w:rPr>
                <w:rFonts w:ascii="Arial" w:hAnsi="Arial"/>
                <w:sz w:val="18"/>
              </w:rPr>
              <w:t>Stock levels</w:t>
            </w:r>
          </w:p>
        </w:tc>
        <w:tc>
          <w:tcPr>
            <w:tcW w:type="dxa" w:w="2664"/>
            <w:vAlign w:val="top"/>
          </w:tcPr>
          <w:p>
            <w:pPr>
              <w:keepNext w:val="0"/>
              <w:spacing w:after="50" w:before="20" w:line="250" w:lineRule="auto"/>
            </w:pPr>
            <w:r>
              <w:rPr>
                <w:rFonts w:ascii="Arial" w:hAnsi="Arial"/>
                <w:sz w:val="18"/>
              </w:rPr>
              <w:t>Advertised</w:t>
            </w:r>
          </w:p>
        </w:tc>
        <w:tc>
          <w:tcPr>
            <w:tcW w:type="dxa" w:w="3600"/>
            <w:vAlign w:val="top"/>
          </w:tcPr>
          <w:p>
            <w:pPr>
              <w:keepNext w:val="0"/>
              <w:spacing w:after="50" w:before="20" w:line="250" w:lineRule="auto"/>
            </w:pPr>
            <w:r>
              <w:rPr>
                <w:rFonts w:ascii="Arial" w:hAnsi="Arial"/>
                <w:sz w:val="18"/>
              </w:rPr>
              <w:t>Advertised [GG12, VG01]</w:t>
            </w:r>
          </w:p>
        </w:tc>
      </w:tr>
      <w:tr>
        <w:trPr>
          <w:cantSplit/>
        </w:trPr>
        <w:tc>
          <w:tcPr>
            <w:tcW w:type="dxa" w:w="3960"/>
            <w:vAlign w:val="top"/>
            <w:shd w:fill="F3F6F7"/>
          </w:tcPr>
          <w:p>
            <w:pPr>
              <w:keepNext w:val="0"/>
              <w:spacing w:after="50" w:before="20" w:line="250" w:lineRule="auto"/>
            </w:pPr>
            <w:r>
              <w:rPr>
                <w:rFonts w:ascii="Arial" w:hAnsi="Arial"/>
                <w:sz w:val="18"/>
              </w:rPr>
              <w:t>Barcode and bulk import</w:t>
            </w:r>
          </w:p>
        </w:tc>
        <w:tc>
          <w:tcPr>
            <w:tcW w:type="dxa" w:w="2664"/>
            <w:vAlign w:val="top"/>
            <w:shd w:fill="F3F6F7"/>
          </w:tcPr>
          <w:p>
            <w:pPr>
              <w:keepNext w:val="0"/>
              <w:spacing w:after="50" w:before="20" w:line="250" w:lineRule="auto"/>
            </w:pPr>
            <w:r>
              <w:rPr>
                <w:rFonts w:ascii="Arial" w:hAnsi="Arial"/>
                <w:sz w:val="18"/>
              </w:rPr>
              <w:t>Advertised</w:t>
            </w:r>
          </w:p>
        </w:tc>
        <w:tc>
          <w:tcPr>
            <w:tcW w:type="dxa" w:w="3600"/>
            <w:vAlign w:val="top"/>
            <w:shd w:fill="F3F6F7"/>
          </w:tcPr>
          <w:p>
            <w:pPr>
              <w:keepNext w:val="0"/>
              <w:spacing w:after="50" w:before="20" w:line="250" w:lineRule="auto"/>
            </w:pPr>
            <w:r>
              <w:rPr>
                <w:rFonts w:ascii="Arial" w:hAnsi="Arial"/>
                <w:sz w:val="18"/>
              </w:rPr>
              <w:t>Inventory capability; exact mobile scope unverified [GG12, VG01]</w:t>
            </w:r>
          </w:p>
        </w:tc>
      </w:tr>
      <w:tr>
        <w:trPr>
          <w:cantSplit/>
        </w:trPr>
        <w:tc>
          <w:tcPr>
            <w:tcW w:type="dxa" w:w="3960"/>
            <w:vAlign w:val="top"/>
          </w:tcPr>
          <w:p>
            <w:pPr>
              <w:keepNext w:val="0"/>
              <w:spacing w:after="50" w:before="20" w:line="250" w:lineRule="auto"/>
            </w:pPr>
            <w:r>
              <w:rPr>
                <w:rFonts w:ascii="Arial" w:hAnsi="Arial"/>
                <w:sz w:val="18"/>
              </w:rPr>
              <w:t>Reorder alerts</w:t>
            </w:r>
          </w:p>
        </w:tc>
        <w:tc>
          <w:tcPr>
            <w:tcW w:type="dxa" w:w="2664"/>
            <w:vAlign w:val="top"/>
          </w:tcPr>
          <w:p>
            <w:pPr>
              <w:keepNext w:val="0"/>
              <w:spacing w:after="50" w:before="20" w:line="250" w:lineRule="auto"/>
            </w:pPr>
            <w:r>
              <w:rPr>
                <w:rFonts w:ascii="Arial" w:hAnsi="Arial"/>
                <w:sz w:val="18"/>
              </w:rPr>
              <w:t>Advertised</w:t>
            </w:r>
          </w:p>
        </w:tc>
        <w:tc>
          <w:tcPr>
            <w:tcW w:type="dxa" w:w="3600"/>
            <w:vAlign w:val="top"/>
          </w:tcPr>
          <w:p>
            <w:pPr>
              <w:keepNext w:val="0"/>
              <w:spacing w:after="50" w:before="20" w:line="250" w:lineRule="auto"/>
            </w:pPr>
            <w:r>
              <w:rPr>
                <w:rFonts w:ascii="Arial" w:hAnsi="Arial"/>
                <w:sz w:val="18"/>
              </w:rPr>
              <w:t>Advertised [GG12, VG01]</w:t>
            </w:r>
          </w:p>
        </w:tc>
      </w:tr>
      <w:tr>
        <w:trPr>
          <w:cantSplit/>
        </w:trPr>
        <w:tc>
          <w:tcPr>
            <w:tcW w:type="dxa" w:w="3960"/>
            <w:vAlign w:val="top"/>
            <w:shd w:fill="F3F6F7"/>
          </w:tcPr>
          <w:p>
            <w:pPr>
              <w:keepNext w:val="0"/>
              <w:spacing w:after="50" w:before="20" w:line="250" w:lineRule="auto"/>
            </w:pPr>
            <w:r>
              <w:rPr>
                <w:rFonts w:ascii="Arial" w:hAnsi="Arial"/>
                <w:sz w:val="18"/>
              </w:rPr>
              <w:t>Suppliers and backbar</w:t>
            </w:r>
          </w:p>
        </w:tc>
        <w:tc>
          <w:tcPr>
            <w:tcW w:type="dxa" w:w="2664"/>
            <w:vAlign w:val="top"/>
            <w:shd w:fill="F3F6F7"/>
          </w:tcPr>
          <w:p>
            <w:pPr>
              <w:keepNext w:val="0"/>
              <w:spacing w:after="50" w:before="20" w:line="250" w:lineRule="auto"/>
            </w:pPr>
            <w:r>
              <w:rPr>
                <w:rFonts w:ascii="Arial" w:hAnsi="Arial"/>
                <w:sz w:val="18"/>
              </w:rPr>
              <w:t>Wholesale/backbar support</w:t>
            </w:r>
          </w:p>
        </w:tc>
        <w:tc>
          <w:tcPr>
            <w:tcW w:type="dxa" w:w="3600"/>
            <w:vAlign w:val="top"/>
            <w:shd w:fill="F3F6F7"/>
          </w:tcPr>
          <w:p>
            <w:pPr>
              <w:keepNext w:val="0"/>
              <w:spacing w:after="50" w:before="20" w:line="250" w:lineRule="auto"/>
            </w:pPr>
            <w:r>
              <w:rPr>
                <w:rFonts w:ascii="Arial" w:hAnsi="Arial"/>
                <w:sz w:val="18"/>
              </w:rPr>
              <w:t>Advertised [GG12, VG01]</w:t>
            </w:r>
          </w:p>
        </w:tc>
      </w:tr>
    </w:tbl>
    <w:p>
      <w:pPr>
        <w:spacing w:after="40" w:before="0" w:line="240" w:lineRule="auto"/>
      </w:pPr>
      <w:r>
        <w:rPr>
          <w:sz w:val="4"/>
        </w:rPr>
      </w:r>
    </w:p>
    <w:p>
      <w:pPr>
        <w:pStyle w:val="Heading3"/>
      </w:pPr>
      <w:r>
        <w:t>Marketing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3960"/>
        <w:gridCol w:w="2664"/>
        <w:gridCol w:w="3600"/>
      </w:tblGrid>
      <w:tr>
        <w:trPr>
          <w:tblHeader/>
        </w:trPr>
        <w:tc>
          <w:tcPr>
            <w:tcW w:type="dxa" w:w="3960"/>
            <w:vAlign w:val="top"/>
            <w:shd w:fill="173F50"/>
          </w:tcPr>
          <w:p>
            <w:pPr>
              <w:keepNext/>
              <w:spacing w:after="50" w:before="20" w:line="250" w:lineRule="auto"/>
            </w:pPr>
            <w:r>
              <w:rPr>
                <w:rFonts w:ascii="Arial" w:hAnsi="Arial"/>
                <w:b/>
                <w:color w:val="FFFFFF"/>
                <w:sz w:val="18"/>
              </w:rPr>
              <w:t>Capability</w:t>
            </w:r>
          </w:p>
        </w:tc>
        <w:tc>
          <w:tcPr>
            <w:tcW w:type="dxa" w:w="2664"/>
            <w:vAlign w:val="top"/>
            <w:shd w:fill="173F50"/>
          </w:tcPr>
          <w:p>
            <w:pPr>
              <w:keepNext/>
              <w:spacing w:after="50" w:before="20" w:line="250" w:lineRule="auto"/>
            </w:pPr>
            <w:r>
              <w:rPr>
                <w:rFonts w:ascii="Arial" w:hAnsi="Arial"/>
                <w:b/>
                <w:color w:val="FFFFFF"/>
                <w:sz w:val="18"/>
              </w:rPr>
              <w:t>GlossGenius</w:t>
            </w:r>
          </w:p>
        </w:tc>
        <w:tc>
          <w:tcPr>
            <w:tcW w:type="dxa" w:w="3600"/>
            <w:vAlign w:val="top"/>
            <w:shd w:fill="173F50"/>
          </w:tcPr>
          <w:p>
            <w:pPr>
              <w:keepNext/>
              <w:spacing w:after="50" w:before="20" w:line="250" w:lineRule="auto"/>
            </w:pPr>
            <w:r>
              <w:rPr>
                <w:rFonts w:ascii="Arial" w:hAnsi="Arial"/>
                <w:b/>
                <w:color w:val="FFFFFF"/>
                <w:sz w:val="18"/>
              </w:rPr>
              <w:t>Vagaro and sources</w:t>
            </w:r>
          </w:p>
        </w:tc>
      </w:tr>
      <w:tr>
        <w:trPr>
          <w:cantSplit/>
        </w:trPr>
        <w:tc>
          <w:tcPr>
            <w:tcW w:type="dxa" w:w="3960"/>
            <w:vAlign w:val="top"/>
          </w:tcPr>
          <w:p>
            <w:pPr>
              <w:keepNext w:val="0"/>
              <w:spacing w:after="50" w:before="20" w:line="250" w:lineRule="auto"/>
            </w:pPr>
            <w:r>
              <w:rPr>
                <w:rFonts w:ascii="Arial" w:hAnsi="Arial"/>
                <w:sz w:val="18"/>
              </w:rPr>
              <w:t>Targeted email and SMS campaigns</w:t>
            </w:r>
          </w:p>
        </w:tc>
        <w:tc>
          <w:tcPr>
            <w:tcW w:type="dxa" w:w="2664"/>
            <w:vAlign w:val="top"/>
          </w:tcPr>
          <w:p>
            <w:pPr>
              <w:keepNext w:val="0"/>
              <w:spacing w:after="50" w:before="20" w:line="250" w:lineRule="auto"/>
            </w:pPr>
            <w:r>
              <w:rPr>
                <w:rFonts w:ascii="Arial" w:hAnsi="Arial"/>
                <w:sz w:val="18"/>
              </w:rPr>
              <w:t>Advertised</w:t>
            </w:r>
          </w:p>
        </w:tc>
        <w:tc>
          <w:tcPr>
            <w:tcW w:type="dxa" w:w="3600"/>
            <w:vAlign w:val="top"/>
          </w:tcPr>
          <w:p>
            <w:pPr>
              <w:keepNext w:val="0"/>
              <w:spacing w:after="50" w:before="20" w:line="250" w:lineRule="auto"/>
            </w:pPr>
            <w:r>
              <w:rPr>
                <w:rFonts w:ascii="Arial" w:hAnsi="Arial"/>
                <w:sz w:val="18"/>
              </w:rPr>
              <w:t>Metered/add-on plans [GG05, VG02]</w:t>
            </w:r>
          </w:p>
        </w:tc>
      </w:tr>
      <w:tr>
        <w:trPr>
          <w:cantSplit/>
        </w:trPr>
        <w:tc>
          <w:tcPr>
            <w:tcW w:type="dxa" w:w="3960"/>
            <w:vAlign w:val="top"/>
            <w:shd w:fill="F3F6F7"/>
          </w:tcPr>
          <w:p>
            <w:pPr>
              <w:keepNext w:val="0"/>
              <w:spacing w:after="50" w:before="20" w:line="250" w:lineRule="auto"/>
            </w:pPr>
            <w:r>
              <w:rPr>
                <w:rFonts w:ascii="Arial" w:hAnsi="Arial"/>
                <w:sz w:val="18"/>
              </w:rPr>
              <w:t>AI marketing copy matched to brand</w:t>
            </w:r>
          </w:p>
        </w:tc>
        <w:tc>
          <w:tcPr>
            <w:tcW w:type="dxa" w:w="2664"/>
            <w:vAlign w:val="top"/>
            <w:shd w:fill="F3F6F7"/>
          </w:tcPr>
          <w:p>
            <w:pPr>
              <w:keepNext w:val="0"/>
              <w:spacing w:after="50" w:before="20" w:line="250" w:lineRule="auto"/>
            </w:pPr>
            <w:r>
              <w:rPr>
                <w:rFonts w:ascii="Arial" w:hAnsi="Arial"/>
                <w:sz w:val="18"/>
              </w:rPr>
              <w:t>Advertised</w:t>
            </w:r>
          </w:p>
        </w:tc>
        <w:tc>
          <w:tcPr>
            <w:tcW w:type="dxa" w:w="3600"/>
            <w:vAlign w:val="top"/>
            <w:shd w:fill="F3F6F7"/>
          </w:tcPr>
          <w:p>
            <w:pPr>
              <w:keepNext w:val="0"/>
              <w:spacing w:after="50" w:before="20" w:line="250" w:lineRule="auto"/>
            </w:pPr>
            <w:r>
              <w:rPr>
                <w:rFonts w:ascii="Arial" w:hAnsi="Arial"/>
                <w:sz w:val="18"/>
              </w:rPr>
              <w:t>Vera tools advertised [GG09, VG16]</w:t>
            </w:r>
          </w:p>
        </w:tc>
      </w:tr>
      <w:tr>
        <w:trPr>
          <w:cantSplit/>
        </w:trPr>
        <w:tc>
          <w:tcPr>
            <w:tcW w:type="dxa" w:w="3960"/>
            <w:vAlign w:val="top"/>
          </w:tcPr>
          <w:p>
            <w:pPr>
              <w:keepNext w:val="0"/>
              <w:spacing w:after="50" w:before="20" w:line="250" w:lineRule="auto"/>
            </w:pPr>
            <w:r>
              <w:rPr>
                <w:rFonts w:ascii="Arial" w:hAnsi="Arial"/>
                <w:sz w:val="18"/>
              </w:rPr>
              <w:t>Automated promotion of empty slots</w:t>
            </w:r>
          </w:p>
        </w:tc>
        <w:tc>
          <w:tcPr>
            <w:tcW w:type="dxa" w:w="2664"/>
            <w:vAlign w:val="top"/>
          </w:tcPr>
          <w:p>
            <w:pPr>
              <w:keepNext w:val="0"/>
              <w:spacing w:after="50" w:before="20" w:line="250" w:lineRule="auto"/>
            </w:pPr>
            <w:r>
              <w:rPr>
                <w:rFonts w:ascii="Arial" w:hAnsi="Arial"/>
                <w:sz w:val="18"/>
              </w:rPr>
              <w:t>Waitlist/marketing</w:t>
            </w:r>
          </w:p>
        </w:tc>
        <w:tc>
          <w:tcPr>
            <w:tcW w:type="dxa" w:w="3600"/>
            <w:vAlign w:val="top"/>
          </w:tcPr>
          <w:p>
            <w:pPr>
              <w:keepNext w:val="0"/>
              <w:spacing w:after="50" w:before="20" w:line="250" w:lineRule="auto"/>
            </w:pPr>
            <w:r>
              <w:rPr>
                <w:rFonts w:ascii="Arial" w:hAnsi="Arial"/>
                <w:sz w:val="18"/>
              </w:rPr>
              <w:t>Vera Fill My Books [GG15, VG14]</w:t>
            </w:r>
          </w:p>
        </w:tc>
      </w:tr>
      <w:tr>
        <w:trPr>
          <w:cantSplit/>
        </w:trPr>
        <w:tc>
          <w:tcPr>
            <w:tcW w:type="dxa" w:w="3960"/>
            <w:vAlign w:val="top"/>
            <w:shd w:fill="F3F6F7"/>
          </w:tcPr>
          <w:p>
            <w:pPr>
              <w:keepNext w:val="0"/>
              <w:spacing w:after="50" w:before="20" w:line="250" w:lineRule="auto"/>
            </w:pPr>
            <w:r>
              <w:rPr>
                <w:rFonts w:ascii="Arial" w:hAnsi="Arial"/>
                <w:sz w:val="18"/>
              </w:rPr>
              <w:t>Referral source and campaign attribution</w:t>
            </w:r>
          </w:p>
        </w:tc>
        <w:tc>
          <w:tcPr>
            <w:tcW w:type="dxa" w:w="2664"/>
            <w:vAlign w:val="top"/>
            <w:shd w:fill="F3F6F7"/>
          </w:tcPr>
          <w:p>
            <w:pPr>
              <w:keepNext w:val="0"/>
              <w:spacing w:after="50" w:before="20" w:line="250" w:lineRule="auto"/>
            </w:pPr>
            <w:r>
              <w:rPr>
                <w:rFonts w:ascii="Arial" w:hAnsi="Arial"/>
                <w:sz w:val="18"/>
              </w:rPr>
              <w:t>Advertised</w:t>
            </w:r>
          </w:p>
        </w:tc>
        <w:tc>
          <w:tcPr>
            <w:tcW w:type="dxa" w:w="3600"/>
            <w:vAlign w:val="top"/>
            <w:shd w:fill="F3F6F7"/>
          </w:tcPr>
          <w:p>
            <w:pPr>
              <w:keepNext w:val="0"/>
              <w:spacing w:after="50" w:before="20" w:line="250" w:lineRule="auto"/>
            </w:pPr>
            <w:r>
              <w:rPr>
                <w:rFonts w:ascii="Arial" w:hAnsi="Arial"/>
                <w:sz w:val="18"/>
              </w:rPr>
              <w:t>Reports and booking-source links [GG05, VG11]</w:t>
            </w:r>
          </w:p>
        </w:tc>
      </w:tr>
      <w:tr>
        <w:trPr>
          <w:cantSplit/>
        </w:trPr>
        <w:tc>
          <w:tcPr>
            <w:tcW w:type="dxa" w:w="3960"/>
            <w:vAlign w:val="top"/>
          </w:tcPr>
          <w:p>
            <w:pPr>
              <w:keepNext w:val="0"/>
              <w:spacing w:after="50" w:before="20" w:line="250" w:lineRule="auto"/>
            </w:pPr>
            <w:r>
              <w:rPr>
                <w:rFonts w:ascii="Arial" w:hAnsi="Arial"/>
                <w:sz w:val="18"/>
              </w:rPr>
              <w:t>Loyalty points</w:t>
            </w:r>
          </w:p>
        </w:tc>
        <w:tc>
          <w:tcPr>
            <w:tcW w:type="dxa" w:w="2664"/>
            <w:vAlign w:val="top"/>
          </w:tcPr>
          <w:p>
            <w:pPr>
              <w:keepNext w:val="0"/>
              <w:spacing w:after="50" w:before="20" w:line="250" w:lineRule="auto"/>
            </w:pPr>
            <w:r>
              <w:rPr>
                <w:rFonts w:ascii="Arial" w:hAnsi="Arial"/>
                <w:sz w:val="18"/>
              </w:rPr>
              <w:t>Not established</w:t>
            </w:r>
          </w:p>
        </w:tc>
        <w:tc>
          <w:tcPr>
            <w:tcW w:type="dxa" w:w="3600"/>
            <w:vAlign w:val="top"/>
          </w:tcPr>
          <w:p>
            <w:pPr>
              <w:keepNext w:val="0"/>
              <w:spacing w:after="50" w:before="20" w:line="250" w:lineRule="auto"/>
            </w:pPr>
            <w:r>
              <w:rPr>
                <w:rFonts w:ascii="Arial" w:hAnsi="Arial"/>
                <w:sz w:val="18"/>
              </w:rPr>
              <w:t>Advertised [VG01]</w:t>
            </w:r>
          </w:p>
        </w:tc>
      </w:tr>
      <w:tr>
        <w:trPr>
          <w:cantSplit/>
        </w:trPr>
        <w:tc>
          <w:tcPr>
            <w:tcW w:type="dxa" w:w="3960"/>
            <w:vAlign w:val="top"/>
            <w:shd w:fill="F3F6F7"/>
          </w:tcPr>
          <w:p>
            <w:pPr>
              <w:keepNext w:val="0"/>
              <w:spacing w:after="50" w:before="20" w:line="250" w:lineRule="auto"/>
            </w:pPr>
            <w:r>
              <w:rPr>
                <w:rFonts w:ascii="Arial" w:hAnsi="Arial"/>
                <w:sz w:val="18"/>
              </w:rPr>
              <w:t>Consumer marketplace discovery and paid placement</w:t>
            </w:r>
          </w:p>
        </w:tc>
        <w:tc>
          <w:tcPr>
            <w:tcW w:type="dxa" w:w="2664"/>
            <w:vAlign w:val="top"/>
            <w:shd w:fill="F3F6F7"/>
          </w:tcPr>
          <w:p>
            <w:pPr>
              <w:keepNext w:val="0"/>
              <w:spacing w:after="50" w:before="20" w:line="250" w:lineRule="auto"/>
            </w:pPr>
            <w:r>
              <w:rPr>
                <w:rFonts w:ascii="Arial" w:hAnsi="Arial"/>
                <w:sz w:val="18"/>
              </w:rPr>
              <w:t>No comparable marketplace established</w:t>
            </w:r>
          </w:p>
        </w:tc>
        <w:tc>
          <w:tcPr>
            <w:tcW w:type="dxa" w:w="3600"/>
            <w:vAlign w:val="top"/>
            <w:shd w:fill="F3F6F7"/>
          </w:tcPr>
          <w:p>
            <w:pPr>
              <w:keepNext w:val="0"/>
              <w:spacing w:after="50" w:before="20" w:line="250" w:lineRule="auto"/>
            </w:pPr>
            <w:r>
              <w:rPr>
                <w:rFonts w:ascii="Arial" w:hAnsi="Arial"/>
                <w:sz w:val="18"/>
              </w:rPr>
              <w:t>Advertised [VG14, VG02]</w:t>
            </w:r>
          </w:p>
        </w:tc>
      </w:tr>
    </w:tbl>
    <w:p>
      <w:pPr>
        <w:spacing w:after="40" w:before="0" w:line="240" w:lineRule="auto"/>
      </w:pPr>
      <w:r>
        <w:rPr>
          <w:sz w:val="4"/>
        </w:rPr>
      </w:r>
    </w:p>
    <w:p>
      <w:pPr>
        <w:pStyle w:val="Heading3"/>
      </w:pPr>
      <w:r>
        <w:t>Communication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3960"/>
        <w:gridCol w:w="2664"/>
        <w:gridCol w:w="3600"/>
      </w:tblGrid>
      <w:tr>
        <w:trPr>
          <w:tblHeader/>
        </w:trPr>
        <w:tc>
          <w:tcPr>
            <w:tcW w:type="dxa" w:w="3960"/>
            <w:vAlign w:val="top"/>
            <w:shd w:fill="173F50"/>
          </w:tcPr>
          <w:p>
            <w:pPr>
              <w:keepNext/>
              <w:spacing w:after="50" w:before="20" w:line="250" w:lineRule="auto"/>
            </w:pPr>
            <w:r>
              <w:rPr>
                <w:rFonts w:ascii="Arial" w:hAnsi="Arial"/>
                <w:b/>
                <w:color w:val="FFFFFF"/>
                <w:sz w:val="18"/>
              </w:rPr>
              <w:t>Capability</w:t>
            </w:r>
          </w:p>
        </w:tc>
        <w:tc>
          <w:tcPr>
            <w:tcW w:type="dxa" w:w="2664"/>
            <w:vAlign w:val="top"/>
            <w:shd w:fill="173F50"/>
          </w:tcPr>
          <w:p>
            <w:pPr>
              <w:keepNext/>
              <w:spacing w:after="50" w:before="20" w:line="250" w:lineRule="auto"/>
            </w:pPr>
            <w:r>
              <w:rPr>
                <w:rFonts w:ascii="Arial" w:hAnsi="Arial"/>
                <w:b/>
                <w:color w:val="FFFFFF"/>
                <w:sz w:val="18"/>
              </w:rPr>
              <w:t>GlossGenius</w:t>
            </w:r>
          </w:p>
        </w:tc>
        <w:tc>
          <w:tcPr>
            <w:tcW w:type="dxa" w:w="3600"/>
            <w:vAlign w:val="top"/>
            <w:shd w:fill="173F50"/>
          </w:tcPr>
          <w:p>
            <w:pPr>
              <w:keepNext/>
              <w:spacing w:after="50" w:before="20" w:line="250" w:lineRule="auto"/>
            </w:pPr>
            <w:r>
              <w:rPr>
                <w:rFonts w:ascii="Arial" w:hAnsi="Arial"/>
                <w:b/>
                <w:color w:val="FFFFFF"/>
                <w:sz w:val="18"/>
              </w:rPr>
              <w:t>Vagaro and sources</w:t>
            </w:r>
          </w:p>
        </w:tc>
      </w:tr>
      <w:tr>
        <w:trPr>
          <w:cantSplit/>
        </w:trPr>
        <w:tc>
          <w:tcPr>
            <w:tcW w:type="dxa" w:w="3960"/>
            <w:vAlign w:val="top"/>
          </w:tcPr>
          <w:p>
            <w:pPr>
              <w:keepNext w:val="0"/>
              <w:spacing w:after="50" w:before="20" w:line="250" w:lineRule="auto"/>
            </w:pPr>
            <w:r>
              <w:rPr>
                <w:rFonts w:ascii="Arial" w:hAnsi="Arial"/>
                <w:sz w:val="18"/>
              </w:rPr>
              <w:t>AI receptionist with human handoff</w:t>
            </w:r>
          </w:p>
        </w:tc>
        <w:tc>
          <w:tcPr>
            <w:tcW w:type="dxa" w:w="2664"/>
            <w:vAlign w:val="top"/>
          </w:tcPr>
          <w:p>
            <w:pPr>
              <w:keepNext w:val="0"/>
              <w:spacing w:after="50" w:before="20" w:line="250" w:lineRule="auto"/>
            </w:pPr>
            <w:r>
              <w:rPr>
                <w:rFonts w:ascii="Arial" w:hAnsi="Arial"/>
                <w:sz w:val="18"/>
              </w:rPr>
              <w:t>Advertised</w:t>
            </w:r>
          </w:p>
        </w:tc>
        <w:tc>
          <w:tcPr>
            <w:tcW w:type="dxa" w:w="3600"/>
            <w:vAlign w:val="top"/>
          </w:tcPr>
          <w:p>
            <w:pPr>
              <w:keepNext w:val="0"/>
              <w:spacing w:after="50" w:before="20" w:line="250" w:lineRule="auto"/>
            </w:pPr>
            <w:r>
              <w:rPr>
                <w:rFonts w:ascii="Arial" w:hAnsi="Arial"/>
                <w:sz w:val="18"/>
              </w:rPr>
              <w:t>Vera web/SMS with differences [GG09, VG11]</w:t>
            </w:r>
          </w:p>
        </w:tc>
      </w:tr>
      <w:tr>
        <w:trPr>
          <w:cantSplit/>
        </w:trPr>
        <w:tc>
          <w:tcPr>
            <w:tcW w:type="dxa" w:w="3960"/>
            <w:vAlign w:val="top"/>
            <w:shd w:fill="F3F6F7"/>
          </w:tcPr>
          <w:p>
            <w:pPr>
              <w:keepNext w:val="0"/>
              <w:spacing w:after="50" w:before="20" w:line="250" w:lineRule="auto"/>
            </w:pPr>
            <w:r>
              <w:rPr>
                <w:rFonts w:ascii="Arial" w:hAnsi="Arial"/>
                <w:sz w:val="18"/>
              </w:rPr>
              <w:t>Business phone number and two-way inbox</w:t>
            </w:r>
          </w:p>
        </w:tc>
        <w:tc>
          <w:tcPr>
            <w:tcW w:type="dxa" w:w="2664"/>
            <w:vAlign w:val="top"/>
            <w:shd w:fill="F3F6F7"/>
          </w:tcPr>
          <w:p>
            <w:pPr>
              <w:keepNext w:val="0"/>
              <w:spacing w:after="50" w:before="20" w:line="250" w:lineRule="auto"/>
            </w:pPr>
            <w:r>
              <w:rPr>
                <w:rFonts w:ascii="Arial" w:hAnsi="Arial"/>
                <w:sz w:val="18"/>
              </w:rPr>
              <w:t>Reception advertised; channel scope verify</w:t>
            </w:r>
          </w:p>
        </w:tc>
        <w:tc>
          <w:tcPr>
            <w:tcW w:type="dxa" w:w="3600"/>
            <w:vAlign w:val="top"/>
            <w:shd w:fill="F3F6F7"/>
          </w:tcPr>
          <w:p>
            <w:pPr>
              <w:keepNext w:val="0"/>
              <w:spacing w:after="50" w:before="20" w:line="250" w:lineRule="auto"/>
            </w:pPr>
            <w:r>
              <w:rPr>
                <w:rFonts w:ascii="Arial" w:hAnsi="Arial"/>
                <w:sz w:val="18"/>
              </w:rPr>
              <w:t>Connect advertised [GG09, VG08]</w:t>
            </w:r>
          </w:p>
        </w:tc>
      </w:tr>
      <w:tr>
        <w:trPr>
          <w:cantSplit/>
        </w:trPr>
        <w:tc>
          <w:tcPr>
            <w:tcW w:type="dxa" w:w="3960"/>
            <w:vAlign w:val="top"/>
          </w:tcPr>
          <w:p>
            <w:pPr>
              <w:keepNext w:val="0"/>
              <w:spacing w:after="50" w:before="20" w:line="250" w:lineRule="auto"/>
            </w:pPr>
            <w:r>
              <w:rPr>
                <w:rFonts w:ascii="Arial" w:hAnsi="Arial"/>
                <w:sz w:val="18"/>
              </w:rPr>
              <w:t>Internal team messaging</w:t>
            </w:r>
          </w:p>
        </w:tc>
        <w:tc>
          <w:tcPr>
            <w:tcW w:type="dxa" w:w="2664"/>
            <w:vAlign w:val="top"/>
          </w:tcPr>
          <w:p>
            <w:pPr>
              <w:keepNext w:val="0"/>
              <w:spacing w:after="50" w:before="20" w:line="250" w:lineRule="auto"/>
            </w:pPr>
            <w:r>
              <w:rPr>
                <w:rFonts w:ascii="Arial" w:hAnsi="Arial"/>
                <w:sz w:val="18"/>
              </w:rPr>
              <w:t>Not established</w:t>
            </w:r>
          </w:p>
        </w:tc>
        <w:tc>
          <w:tcPr>
            <w:tcW w:type="dxa" w:w="3600"/>
            <w:vAlign w:val="top"/>
          </w:tcPr>
          <w:p>
            <w:pPr>
              <w:keepNext w:val="0"/>
              <w:spacing w:after="50" w:before="20" w:line="250" w:lineRule="auto"/>
            </w:pPr>
            <w:r>
              <w:rPr>
                <w:rFonts w:ascii="Arial" w:hAnsi="Arial"/>
                <w:sz w:val="18"/>
              </w:rPr>
              <w:t>Connect team chat [VG08]</w:t>
            </w:r>
          </w:p>
        </w:tc>
      </w:tr>
    </w:tbl>
    <w:p>
      <w:pPr>
        <w:spacing w:after="40" w:before="0" w:line="240" w:lineRule="auto"/>
      </w:pPr>
      <w:r>
        <w:rPr>
          <w:sz w:val="4"/>
        </w:rPr>
      </w:r>
    </w:p>
    <w:p>
      <w:pPr>
        <w:pStyle w:val="Heading3"/>
      </w:pPr>
      <w:r>
        <w:t>People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3960"/>
        <w:gridCol w:w="2664"/>
        <w:gridCol w:w="3600"/>
      </w:tblGrid>
      <w:tr>
        <w:trPr>
          <w:tblHeader/>
        </w:trPr>
        <w:tc>
          <w:tcPr>
            <w:tcW w:type="dxa" w:w="3960"/>
            <w:vAlign w:val="top"/>
            <w:shd w:fill="173F50"/>
          </w:tcPr>
          <w:p>
            <w:pPr>
              <w:keepNext/>
              <w:spacing w:after="50" w:before="20" w:line="250" w:lineRule="auto"/>
            </w:pPr>
            <w:r>
              <w:rPr>
                <w:rFonts w:ascii="Arial" w:hAnsi="Arial"/>
                <w:b/>
                <w:color w:val="FFFFFF"/>
                <w:sz w:val="18"/>
              </w:rPr>
              <w:t>Capability</w:t>
            </w:r>
          </w:p>
        </w:tc>
        <w:tc>
          <w:tcPr>
            <w:tcW w:type="dxa" w:w="2664"/>
            <w:vAlign w:val="top"/>
            <w:shd w:fill="173F50"/>
          </w:tcPr>
          <w:p>
            <w:pPr>
              <w:keepNext/>
              <w:spacing w:after="50" w:before="20" w:line="250" w:lineRule="auto"/>
            </w:pPr>
            <w:r>
              <w:rPr>
                <w:rFonts w:ascii="Arial" w:hAnsi="Arial"/>
                <w:b/>
                <w:color w:val="FFFFFF"/>
                <w:sz w:val="18"/>
              </w:rPr>
              <w:t>GlossGenius</w:t>
            </w:r>
          </w:p>
        </w:tc>
        <w:tc>
          <w:tcPr>
            <w:tcW w:type="dxa" w:w="3600"/>
            <w:vAlign w:val="top"/>
            <w:shd w:fill="173F50"/>
          </w:tcPr>
          <w:p>
            <w:pPr>
              <w:keepNext/>
              <w:spacing w:after="50" w:before="20" w:line="250" w:lineRule="auto"/>
            </w:pPr>
            <w:r>
              <w:rPr>
                <w:rFonts w:ascii="Arial" w:hAnsi="Arial"/>
                <w:b/>
                <w:color w:val="FFFFFF"/>
                <w:sz w:val="18"/>
              </w:rPr>
              <w:t>Vagaro and sources</w:t>
            </w:r>
          </w:p>
        </w:tc>
      </w:tr>
      <w:tr>
        <w:trPr>
          <w:cantSplit/>
        </w:trPr>
        <w:tc>
          <w:tcPr>
            <w:tcW w:type="dxa" w:w="3960"/>
            <w:vAlign w:val="top"/>
          </w:tcPr>
          <w:p>
            <w:pPr>
              <w:keepNext w:val="0"/>
              <w:spacing w:after="50" w:before="20" w:line="250" w:lineRule="auto"/>
            </w:pPr>
            <w:r>
              <w:rPr>
                <w:rFonts w:ascii="Arial" w:hAnsi="Arial"/>
                <w:sz w:val="18"/>
              </w:rPr>
              <w:t>Staff permissions</w:t>
            </w:r>
          </w:p>
        </w:tc>
        <w:tc>
          <w:tcPr>
            <w:tcW w:type="dxa" w:w="2664"/>
            <w:vAlign w:val="top"/>
          </w:tcPr>
          <w:p>
            <w:pPr>
              <w:keepNext w:val="0"/>
              <w:spacing w:after="50" w:before="20" w:line="250" w:lineRule="auto"/>
            </w:pPr>
            <w:r>
              <w:rPr>
                <w:rFonts w:ascii="Arial" w:hAnsi="Arial"/>
                <w:sz w:val="18"/>
              </w:rPr>
              <w:t>Advertised</w:t>
            </w:r>
          </w:p>
        </w:tc>
        <w:tc>
          <w:tcPr>
            <w:tcW w:type="dxa" w:w="3600"/>
            <w:vAlign w:val="top"/>
          </w:tcPr>
          <w:p>
            <w:pPr>
              <w:keepNext w:val="0"/>
              <w:spacing w:after="50" w:before="20" w:line="250" w:lineRule="auto"/>
            </w:pPr>
            <w:r>
              <w:rPr>
                <w:rFonts w:ascii="Arial" w:hAnsi="Arial"/>
                <w:sz w:val="18"/>
              </w:rPr>
              <w:t>Custom roles advertised [GG16, VG01]</w:t>
            </w:r>
          </w:p>
        </w:tc>
      </w:tr>
      <w:tr>
        <w:trPr>
          <w:cantSplit/>
        </w:trPr>
        <w:tc>
          <w:tcPr>
            <w:tcW w:type="dxa" w:w="3960"/>
            <w:vAlign w:val="top"/>
            <w:shd w:fill="F3F6F7"/>
          </w:tcPr>
          <w:p>
            <w:pPr>
              <w:keepNext w:val="0"/>
              <w:spacing w:after="50" w:before="20" w:line="250" w:lineRule="auto"/>
            </w:pPr>
            <w:r>
              <w:rPr>
                <w:rFonts w:ascii="Arial" w:hAnsi="Arial"/>
                <w:sz w:val="18"/>
              </w:rPr>
              <w:t>Timeclock</w:t>
            </w:r>
          </w:p>
        </w:tc>
        <w:tc>
          <w:tcPr>
            <w:tcW w:type="dxa" w:w="2664"/>
            <w:vAlign w:val="top"/>
            <w:shd w:fill="F3F6F7"/>
          </w:tcPr>
          <w:p>
            <w:pPr>
              <w:keepNext w:val="0"/>
              <w:spacing w:after="50" w:before="20" w:line="250" w:lineRule="auto"/>
            </w:pPr>
            <w:r>
              <w:rPr>
                <w:rFonts w:ascii="Arial" w:hAnsi="Arial"/>
                <w:sz w:val="18"/>
              </w:rPr>
              <w:t>Advertised</w:t>
            </w:r>
          </w:p>
        </w:tc>
        <w:tc>
          <w:tcPr>
            <w:tcW w:type="dxa" w:w="3600"/>
            <w:vAlign w:val="top"/>
            <w:shd w:fill="F3F6F7"/>
          </w:tcPr>
          <w:p>
            <w:pPr>
              <w:keepNext w:val="0"/>
              <w:spacing w:after="50" w:before="20" w:line="250" w:lineRule="auto"/>
            </w:pPr>
            <w:r>
              <w:rPr>
                <w:rFonts w:ascii="Arial" w:hAnsi="Arial"/>
                <w:sz w:val="18"/>
              </w:rPr>
              <w:t>Advertised [GG14, VG01]</w:t>
            </w:r>
          </w:p>
        </w:tc>
      </w:tr>
      <w:tr>
        <w:trPr>
          <w:cantSplit/>
        </w:trPr>
        <w:tc>
          <w:tcPr>
            <w:tcW w:type="dxa" w:w="3960"/>
            <w:vAlign w:val="top"/>
          </w:tcPr>
          <w:p>
            <w:pPr>
              <w:keepNext w:val="0"/>
              <w:spacing w:after="50" w:before="20" w:line="250" w:lineRule="auto"/>
            </w:pPr>
            <w:r>
              <w:rPr>
                <w:rFonts w:ascii="Arial" w:hAnsi="Arial"/>
                <w:sz w:val="18"/>
              </w:rPr>
              <w:t>Commissions and tips</w:t>
            </w:r>
          </w:p>
        </w:tc>
        <w:tc>
          <w:tcPr>
            <w:tcW w:type="dxa" w:w="2664"/>
            <w:vAlign w:val="top"/>
          </w:tcPr>
          <w:p>
            <w:pPr>
              <w:keepNext w:val="0"/>
              <w:spacing w:after="50" w:before="20" w:line="250" w:lineRule="auto"/>
            </w:pPr>
            <w:r>
              <w:rPr>
                <w:rFonts w:ascii="Arial" w:hAnsi="Arial"/>
                <w:sz w:val="18"/>
              </w:rPr>
              <w:t>Advertised</w:t>
            </w:r>
          </w:p>
        </w:tc>
        <w:tc>
          <w:tcPr>
            <w:tcW w:type="dxa" w:w="3600"/>
            <w:vAlign w:val="top"/>
          </w:tcPr>
          <w:p>
            <w:pPr>
              <w:keepNext w:val="0"/>
              <w:spacing w:after="50" w:before="20" w:line="250" w:lineRule="auto"/>
            </w:pPr>
            <w:r>
              <w:rPr>
                <w:rFonts w:ascii="Arial" w:hAnsi="Arial"/>
                <w:sz w:val="18"/>
              </w:rPr>
              <w:t>Advertised [GG14, VG01]</w:t>
            </w:r>
          </w:p>
        </w:tc>
      </w:tr>
      <w:tr>
        <w:trPr>
          <w:cantSplit/>
        </w:trPr>
        <w:tc>
          <w:tcPr>
            <w:tcW w:type="dxa" w:w="3960"/>
            <w:vAlign w:val="top"/>
            <w:shd w:fill="F3F6F7"/>
          </w:tcPr>
          <w:p>
            <w:pPr>
              <w:keepNext w:val="0"/>
              <w:spacing w:after="50" w:before="20" w:line="250" w:lineRule="auto"/>
            </w:pPr>
            <w:r>
              <w:rPr>
                <w:rFonts w:ascii="Arial" w:hAnsi="Arial"/>
                <w:sz w:val="18"/>
              </w:rPr>
              <w:t>Payroll, taxes and PTO</w:t>
            </w:r>
          </w:p>
        </w:tc>
        <w:tc>
          <w:tcPr>
            <w:tcW w:type="dxa" w:w="2664"/>
            <w:vAlign w:val="top"/>
            <w:shd w:fill="F3F6F7"/>
          </w:tcPr>
          <w:p>
            <w:pPr>
              <w:keepNext w:val="0"/>
              <w:spacing w:after="50" w:before="20" w:line="250" w:lineRule="auto"/>
            </w:pPr>
            <w:r>
              <w:rPr>
                <w:rFonts w:ascii="Arial" w:hAnsi="Arial"/>
                <w:sz w:val="18"/>
              </w:rPr>
              <w:t>Paid capability</w:t>
            </w:r>
          </w:p>
        </w:tc>
        <w:tc>
          <w:tcPr>
            <w:tcW w:type="dxa" w:w="3600"/>
            <w:vAlign w:val="top"/>
            <w:shd w:fill="F3F6F7"/>
          </w:tcPr>
          <w:p>
            <w:pPr>
              <w:keepNext w:val="0"/>
              <w:spacing w:after="50" w:before="20" w:line="250" w:lineRule="auto"/>
            </w:pPr>
            <w:r>
              <w:rPr>
                <w:rFonts w:ascii="Arial" w:hAnsi="Arial"/>
                <w:sz w:val="18"/>
              </w:rPr>
              <w:t>Gusto-powered add-on [GG14, VG02]</w:t>
            </w:r>
          </w:p>
        </w:tc>
      </w:tr>
      <w:tr>
        <w:trPr>
          <w:cantSplit/>
        </w:trPr>
        <w:tc>
          <w:tcPr>
            <w:tcW w:type="dxa" w:w="3960"/>
            <w:vAlign w:val="top"/>
          </w:tcPr>
          <w:p>
            <w:pPr>
              <w:keepNext w:val="0"/>
              <w:spacing w:after="50" w:before="20" w:line="250" w:lineRule="auto"/>
            </w:pPr>
            <w:r>
              <w:rPr>
                <w:rFonts w:ascii="Arial" w:hAnsi="Arial"/>
                <w:sz w:val="18"/>
              </w:rPr>
              <w:t>Booth rent contracts and recurring collection</w:t>
            </w:r>
          </w:p>
        </w:tc>
        <w:tc>
          <w:tcPr>
            <w:tcW w:type="dxa" w:w="2664"/>
            <w:vAlign w:val="top"/>
          </w:tcPr>
          <w:p>
            <w:pPr>
              <w:keepNext w:val="0"/>
              <w:spacing w:after="50" w:before="20" w:line="250" w:lineRule="auto"/>
            </w:pPr>
            <w:r>
              <w:rPr>
                <w:rFonts w:ascii="Arial" w:hAnsi="Arial"/>
                <w:sz w:val="18"/>
              </w:rPr>
              <w:t>Separate renter accounts advertised</w:t>
            </w:r>
          </w:p>
        </w:tc>
        <w:tc>
          <w:tcPr>
            <w:tcW w:type="dxa" w:w="3600"/>
            <w:vAlign w:val="top"/>
          </w:tcPr>
          <w:p>
            <w:pPr>
              <w:keepNext w:val="0"/>
              <w:spacing w:after="50" w:before="20" w:line="250" w:lineRule="auto"/>
            </w:pPr>
            <w:r>
              <w:rPr>
                <w:rFonts w:ascii="Arial" w:hAnsi="Arial"/>
                <w:sz w:val="18"/>
              </w:rPr>
              <w:t>Explicit rent collection [GG07, VG06]</w:t>
            </w:r>
          </w:p>
        </w:tc>
      </w:tr>
    </w:tbl>
    <w:p>
      <w:pPr>
        <w:spacing w:after="40" w:before="0" w:line="240" w:lineRule="auto"/>
      </w:pPr>
      <w:r>
        <w:rPr>
          <w:sz w:val="4"/>
        </w:rPr>
      </w:r>
    </w:p>
    <w:p>
      <w:pPr>
        <w:pStyle w:val="Heading3"/>
      </w:pPr>
      <w:r>
        <w:t>Operations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3960"/>
        <w:gridCol w:w="2664"/>
        <w:gridCol w:w="3600"/>
      </w:tblGrid>
      <w:tr>
        <w:trPr>
          <w:tblHeader/>
        </w:trPr>
        <w:tc>
          <w:tcPr>
            <w:tcW w:type="dxa" w:w="3960"/>
            <w:vAlign w:val="top"/>
            <w:shd w:fill="173F50"/>
          </w:tcPr>
          <w:p>
            <w:pPr>
              <w:keepNext/>
              <w:spacing w:after="50" w:before="20" w:line="250" w:lineRule="auto"/>
            </w:pPr>
            <w:r>
              <w:rPr>
                <w:rFonts w:ascii="Arial" w:hAnsi="Arial"/>
                <w:b/>
                <w:color w:val="FFFFFF"/>
                <w:sz w:val="18"/>
              </w:rPr>
              <w:t>Capability</w:t>
            </w:r>
          </w:p>
        </w:tc>
        <w:tc>
          <w:tcPr>
            <w:tcW w:type="dxa" w:w="2664"/>
            <w:vAlign w:val="top"/>
            <w:shd w:fill="173F50"/>
          </w:tcPr>
          <w:p>
            <w:pPr>
              <w:keepNext/>
              <w:spacing w:after="50" w:before="20" w:line="250" w:lineRule="auto"/>
            </w:pPr>
            <w:r>
              <w:rPr>
                <w:rFonts w:ascii="Arial" w:hAnsi="Arial"/>
                <w:b/>
                <w:color w:val="FFFFFF"/>
                <w:sz w:val="18"/>
              </w:rPr>
              <w:t>GlossGenius</w:t>
            </w:r>
          </w:p>
        </w:tc>
        <w:tc>
          <w:tcPr>
            <w:tcW w:type="dxa" w:w="3600"/>
            <w:vAlign w:val="top"/>
            <w:shd w:fill="173F50"/>
          </w:tcPr>
          <w:p>
            <w:pPr>
              <w:keepNext/>
              <w:spacing w:after="50" w:before="20" w:line="250" w:lineRule="auto"/>
            </w:pPr>
            <w:r>
              <w:rPr>
                <w:rFonts w:ascii="Arial" w:hAnsi="Arial"/>
                <w:b/>
                <w:color w:val="FFFFFF"/>
                <w:sz w:val="18"/>
              </w:rPr>
              <w:t>Vagaro and sources</w:t>
            </w:r>
          </w:p>
        </w:tc>
      </w:tr>
      <w:tr>
        <w:trPr>
          <w:cantSplit/>
        </w:trPr>
        <w:tc>
          <w:tcPr>
            <w:tcW w:type="dxa" w:w="3960"/>
            <w:vAlign w:val="top"/>
          </w:tcPr>
          <w:p>
            <w:pPr>
              <w:keepNext w:val="0"/>
              <w:spacing w:after="50" w:before="20" w:line="250" w:lineRule="auto"/>
            </w:pPr>
            <w:r>
              <w:rPr>
                <w:rFonts w:ascii="Arial" w:hAnsi="Arial"/>
                <w:sz w:val="18"/>
              </w:rPr>
              <w:t>Multi-location data and policy management</w:t>
            </w:r>
          </w:p>
        </w:tc>
        <w:tc>
          <w:tcPr>
            <w:tcW w:type="dxa" w:w="2664"/>
            <w:vAlign w:val="top"/>
          </w:tcPr>
          <w:p>
            <w:pPr>
              <w:keepNext w:val="0"/>
              <w:spacing w:after="50" w:before="20" w:line="250" w:lineRule="auto"/>
            </w:pPr>
            <w:r>
              <w:rPr>
                <w:rFonts w:ascii="Arial" w:hAnsi="Arial"/>
                <w:sz w:val="18"/>
              </w:rPr>
              <w:t>Advertised</w:t>
            </w:r>
          </w:p>
        </w:tc>
        <w:tc>
          <w:tcPr>
            <w:tcW w:type="dxa" w:w="3600"/>
            <w:vAlign w:val="top"/>
          </w:tcPr>
          <w:p>
            <w:pPr>
              <w:keepNext w:val="0"/>
              <w:spacing w:after="50" w:before="20" w:line="250" w:lineRule="auto"/>
            </w:pPr>
            <w:r>
              <w:rPr>
                <w:rFonts w:ascii="Arial" w:hAnsi="Arial"/>
                <w:sz w:val="18"/>
              </w:rPr>
              <w:t>Flagship syncing advertised [GG16, VG16]</w:t>
            </w:r>
          </w:p>
        </w:tc>
      </w:tr>
      <w:tr>
        <w:trPr>
          <w:cantSplit/>
        </w:trPr>
        <w:tc>
          <w:tcPr>
            <w:tcW w:type="dxa" w:w="3960"/>
            <w:vAlign w:val="top"/>
            <w:shd w:fill="F3F6F7"/>
          </w:tcPr>
          <w:p>
            <w:pPr>
              <w:keepNext w:val="0"/>
              <w:spacing w:after="50" w:before="20" w:line="250" w:lineRule="auto"/>
            </w:pPr>
            <w:r>
              <w:rPr>
                <w:rFonts w:ascii="Arial" w:hAnsi="Arial"/>
                <w:sz w:val="18"/>
              </w:rPr>
              <w:t>Check-in kiosk and virtual sessions</w:t>
            </w:r>
          </w:p>
        </w:tc>
        <w:tc>
          <w:tcPr>
            <w:tcW w:type="dxa" w:w="2664"/>
            <w:vAlign w:val="top"/>
            <w:shd w:fill="F3F6F7"/>
          </w:tcPr>
          <w:p>
            <w:pPr>
              <w:keepNext w:val="0"/>
              <w:spacing w:after="50" w:before="20" w:line="250" w:lineRule="auto"/>
            </w:pPr>
            <w:r>
              <w:rPr>
                <w:rFonts w:ascii="Arial" w:hAnsi="Arial"/>
                <w:sz w:val="18"/>
              </w:rPr>
              <w:t>Not established</w:t>
            </w:r>
          </w:p>
        </w:tc>
        <w:tc>
          <w:tcPr>
            <w:tcW w:type="dxa" w:w="3600"/>
            <w:vAlign w:val="top"/>
            <w:shd w:fill="F3F6F7"/>
          </w:tcPr>
          <w:p>
            <w:pPr>
              <w:keepNext w:val="0"/>
              <w:spacing w:after="50" w:before="20" w:line="250" w:lineRule="auto"/>
            </w:pPr>
            <w:r>
              <w:rPr>
                <w:rFonts w:ascii="Arial" w:hAnsi="Arial"/>
                <w:sz w:val="18"/>
              </w:rPr>
              <w:t>Paid check-in/live-stream apps [VG02]</w:t>
            </w:r>
          </w:p>
        </w:tc>
      </w:tr>
    </w:tbl>
    <w:p>
      <w:pPr>
        <w:spacing w:after="40" w:before="0" w:line="240" w:lineRule="auto"/>
      </w:pPr>
      <w:r>
        <w:rPr>
          <w:sz w:val="4"/>
        </w:rPr>
      </w:r>
    </w:p>
    <w:p>
      <w:pPr>
        <w:pStyle w:val="Heading3"/>
      </w:pPr>
      <w:r>
        <w:t>Finance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3960"/>
        <w:gridCol w:w="2664"/>
        <w:gridCol w:w="3600"/>
      </w:tblGrid>
      <w:tr>
        <w:trPr>
          <w:tblHeader/>
        </w:trPr>
        <w:tc>
          <w:tcPr>
            <w:tcW w:type="dxa" w:w="3960"/>
            <w:vAlign w:val="top"/>
            <w:shd w:fill="173F50"/>
          </w:tcPr>
          <w:p>
            <w:pPr>
              <w:keepNext/>
              <w:spacing w:after="50" w:before="20" w:line="250" w:lineRule="auto"/>
            </w:pPr>
            <w:r>
              <w:rPr>
                <w:rFonts w:ascii="Arial" w:hAnsi="Arial"/>
                <w:b/>
                <w:color w:val="FFFFFF"/>
                <w:sz w:val="18"/>
              </w:rPr>
              <w:t>Capability</w:t>
            </w:r>
          </w:p>
        </w:tc>
        <w:tc>
          <w:tcPr>
            <w:tcW w:type="dxa" w:w="2664"/>
            <w:vAlign w:val="top"/>
            <w:shd w:fill="173F50"/>
          </w:tcPr>
          <w:p>
            <w:pPr>
              <w:keepNext/>
              <w:spacing w:after="50" w:before="20" w:line="250" w:lineRule="auto"/>
            </w:pPr>
            <w:r>
              <w:rPr>
                <w:rFonts w:ascii="Arial" w:hAnsi="Arial"/>
                <w:b/>
                <w:color w:val="FFFFFF"/>
                <w:sz w:val="18"/>
              </w:rPr>
              <w:t>GlossGenius</w:t>
            </w:r>
          </w:p>
        </w:tc>
        <w:tc>
          <w:tcPr>
            <w:tcW w:type="dxa" w:w="3600"/>
            <w:vAlign w:val="top"/>
            <w:shd w:fill="173F50"/>
          </w:tcPr>
          <w:p>
            <w:pPr>
              <w:keepNext/>
              <w:spacing w:after="50" w:before="20" w:line="250" w:lineRule="auto"/>
            </w:pPr>
            <w:r>
              <w:rPr>
                <w:rFonts w:ascii="Arial" w:hAnsi="Arial"/>
                <w:b/>
                <w:color w:val="FFFFFF"/>
                <w:sz w:val="18"/>
              </w:rPr>
              <w:t>Vagaro and sources</w:t>
            </w:r>
          </w:p>
        </w:tc>
      </w:tr>
      <w:tr>
        <w:trPr>
          <w:cantSplit/>
        </w:trPr>
        <w:tc>
          <w:tcPr>
            <w:tcW w:type="dxa" w:w="3960"/>
            <w:vAlign w:val="top"/>
          </w:tcPr>
          <w:p>
            <w:pPr>
              <w:keepNext w:val="0"/>
              <w:spacing w:after="50" w:before="20" w:line="250" w:lineRule="auto"/>
            </w:pPr>
            <w:r>
              <w:rPr>
                <w:rFonts w:ascii="Arial" w:hAnsi="Arial"/>
                <w:sz w:val="18"/>
              </w:rPr>
              <w:t>Expenses, receipt capture and recurring costs</w:t>
            </w:r>
          </w:p>
        </w:tc>
        <w:tc>
          <w:tcPr>
            <w:tcW w:type="dxa" w:w="2664"/>
            <w:vAlign w:val="top"/>
          </w:tcPr>
          <w:p>
            <w:pPr>
              <w:keepNext w:val="0"/>
              <w:spacing w:after="50" w:before="20" w:line="250" w:lineRule="auto"/>
            </w:pPr>
            <w:r>
              <w:rPr>
                <w:rFonts w:ascii="Arial" w:hAnsi="Arial"/>
                <w:sz w:val="18"/>
              </w:rPr>
              <w:t>Advertised</w:t>
            </w:r>
          </w:p>
        </w:tc>
        <w:tc>
          <w:tcPr>
            <w:tcW w:type="dxa" w:w="3600"/>
            <w:vAlign w:val="top"/>
          </w:tcPr>
          <w:p>
            <w:pPr>
              <w:keepNext w:val="0"/>
              <w:spacing w:after="50" w:before="20" w:line="250" w:lineRule="auto"/>
            </w:pPr>
            <w:r>
              <w:rPr>
                <w:rFonts w:ascii="Arial" w:hAnsi="Arial"/>
                <w:sz w:val="18"/>
              </w:rPr>
              <w:t>Accounting integrations [GG07, VG02]</w:t>
            </w:r>
          </w:p>
        </w:tc>
      </w:tr>
    </w:tbl>
    <w:p>
      <w:pPr>
        <w:spacing w:after="40" w:before="0" w:line="240" w:lineRule="auto"/>
      </w:pPr>
      <w:r>
        <w:rPr>
          <w:sz w:val="4"/>
        </w:rPr>
      </w:r>
    </w:p>
    <w:p>
      <w:pPr>
        <w:pStyle w:val="Heading3"/>
      </w:pPr>
      <w:r>
        <w:t>Analytics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3960"/>
        <w:gridCol w:w="2664"/>
        <w:gridCol w:w="3600"/>
      </w:tblGrid>
      <w:tr>
        <w:trPr>
          <w:tblHeader/>
        </w:trPr>
        <w:tc>
          <w:tcPr>
            <w:tcW w:type="dxa" w:w="3960"/>
            <w:vAlign w:val="top"/>
            <w:shd w:fill="173F50"/>
          </w:tcPr>
          <w:p>
            <w:pPr>
              <w:keepNext/>
              <w:spacing w:after="50" w:before="20" w:line="250" w:lineRule="auto"/>
            </w:pPr>
            <w:r>
              <w:rPr>
                <w:rFonts w:ascii="Arial" w:hAnsi="Arial"/>
                <w:b/>
                <w:color w:val="FFFFFF"/>
                <w:sz w:val="18"/>
              </w:rPr>
              <w:t>Capability</w:t>
            </w:r>
          </w:p>
        </w:tc>
        <w:tc>
          <w:tcPr>
            <w:tcW w:type="dxa" w:w="2664"/>
            <w:vAlign w:val="top"/>
            <w:shd w:fill="173F50"/>
          </w:tcPr>
          <w:p>
            <w:pPr>
              <w:keepNext/>
              <w:spacing w:after="50" w:before="20" w:line="250" w:lineRule="auto"/>
            </w:pPr>
            <w:r>
              <w:rPr>
                <w:rFonts w:ascii="Arial" w:hAnsi="Arial"/>
                <w:b/>
                <w:color w:val="FFFFFF"/>
                <w:sz w:val="18"/>
              </w:rPr>
              <w:t>GlossGenius</w:t>
            </w:r>
          </w:p>
        </w:tc>
        <w:tc>
          <w:tcPr>
            <w:tcW w:type="dxa" w:w="3600"/>
            <w:vAlign w:val="top"/>
            <w:shd w:fill="173F50"/>
          </w:tcPr>
          <w:p>
            <w:pPr>
              <w:keepNext/>
              <w:spacing w:after="50" w:before="20" w:line="250" w:lineRule="auto"/>
            </w:pPr>
            <w:r>
              <w:rPr>
                <w:rFonts w:ascii="Arial" w:hAnsi="Arial"/>
                <w:b/>
                <w:color w:val="FFFFFF"/>
                <w:sz w:val="18"/>
              </w:rPr>
              <w:t>Vagaro and sources</w:t>
            </w:r>
          </w:p>
        </w:tc>
      </w:tr>
      <w:tr>
        <w:trPr>
          <w:cantSplit/>
        </w:trPr>
        <w:tc>
          <w:tcPr>
            <w:tcW w:type="dxa" w:w="3960"/>
            <w:vAlign w:val="top"/>
          </w:tcPr>
          <w:p>
            <w:pPr>
              <w:keepNext w:val="0"/>
              <w:spacing w:after="50" w:before="20" w:line="250" w:lineRule="auto"/>
            </w:pPr>
            <w:r>
              <w:rPr>
                <w:rFonts w:ascii="Arial" w:hAnsi="Arial"/>
                <w:sz w:val="18"/>
              </w:rPr>
              <w:t>Revenue, utilization and staff dashboards</w:t>
            </w:r>
          </w:p>
        </w:tc>
        <w:tc>
          <w:tcPr>
            <w:tcW w:type="dxa" w:w="2664"/>
            <w:vAlign w:val="top"/>
          </w:tcPr>
          <w:p>
            <w:pPr>
              <w:keepNext w:val="0"/>
              <w:spacing w:after="50" w:before="20" w:line="250" w:lineRule="auto"/>
            </w:pPr>
            <w:r>
              <w:rPr>
                <w:rFonts w:ascii="Arial" w:hAnsi="Arial"/>
                <w:sz w:val="18"/>
              </w:rPr>
              <w:t>Advertised</w:t>
            </w:r>
          </w:p>
        </w:tc>
        <w:tc>
          <w:tcPr>
            <w:tcW w:type="dxa" w:w="3600"/>
            <w:vAlign w:val="top"/>
          </w:tcPr>
          <w:p>
            <w:pPr>
              <w:keepNext w:val="0"/>
              <w:spacing w:after="50" w:before="20" w:line="250" w:lineRule="auto"/>
            </w:pPr>
            <w:r>
              <w:rPr>
                <w:rFonts w:ascii="Arial" w:hAnsi="Arial"/>
                <w:sz w:val="18"/>
              </w:rPr>
              <w:t>Advanced reports [GG06, VG16]</w:t>
            </w:r>
          </w:p>
        </w:tc>
      </w:tr>
      <w:tr>
        <w:trPr>
          <w:cantSplit/>
        </w:trPr>
        <w:tc>
          <w:tcPr>
            <w:tcW w:type="dxa" w:w="3960"/>
            <w:vAlign w:val="top"/>
            <w:shd w:fill="F3F6F7"/>
          </w:tcPr>
          <w:p>
            <w:pPr>
              <w:keepNext w:val="0"/>
              <w:spacing w:after="50" w:before="20" w:line="250" w:lineRule="auto"/>
            </w:pPr>
            <w:r>
              <w:rPr>
                <w:rFonts w:ascii="Arial" w:hAnsi="Arial"/>
                <w:sz w:val="18"/>
              </w:rPr>
              <w:t>Retention and acquisition</w:t>
            </w:r>
          </w:p>
        </w:tc>
        <w:tc>
          <w:tcPr>
            <w:tcW w:type="dxa" w:w="2664"/>
            <w:vAlign w:val="top"/>
            <w:shd w:fill="F3F6F7"/>
          </w:tcPr>
          <w:p>
            <w:pPr>
              <w:keepNext w:val="0"/>
              <w:spacing w:after="50" w:before="20" w:line="250" w:lineRule="auto"/>
            </w:pPr>
            <w:r>
              <w:rPr>
                <w:rFonts w:ascii="Arial" w:hAnsi="Arial"/>
                <w:sz w:val="18"/>
              </w:rPr>
              <w:t>Advertised</w:t>
            </w:r>
          </w:p>
        </w:tc>
        <w:tc>
          <w:tcPr>
            <w:tcW w:type="dxa" w:w="3600"/>
            <w:vAlign w:val="top"/>
            <w:shd w:fill="F3F6F7"/>
          </w:tcPr>
          <w:p>
            <w:pPr>
              <w:keepNext w:val="0"/>
              <w:spacing w:after="50" w:before="20" w:line="250" w:lineRule="auto"/>
            </w:pPr>
            <w:r>
              <w:rPr>
                <w:rFonts w:ascii="Arial" w:hAnsi="Arial"/>
                <w:sz w:val="18"/>
              </w:rPr>
              <w:t>Customer retention reports [GG05, VG01]</w:t>
            </w:r>
          </w:p>
        </w:tc>
      </w:tr>
      <w:tr>
        <w:trPr>
          <w:cantSplit/>
        </w:trPr>
        <w:tc>
          <w:tcPr>
            <w:tcW w:type="dxa" w:w="3960"/>
            <w:vAlign w:val="top"/>
          </w:tcPr>
          <w:p>
            <w:pPr>
              <w:keepNext w:val="0"/>
              <w:spacing w:after="50" w:before="20" w:line="250" w:lineRule="auto"/>
            </w:pPr>
            <w:r>
              <w:rPr>
                <w:rFonts w:ascii="Arial" w:hAnsi="Arial"/>
                <w:sz w:val="18"/>
              </w:rPr>
              <w:t>Goals and trend comparison</w:t>
            </w:r>
          </w:p>
        </w:tc>
        <w:tc>
          <w:tcPr>
            <w:tcW w:type="dxa" w:w="2664"/>
            <w:vAlign w:val="top"/>
          </w:tcPr>
          <w:p>
            <w:pPr>
              <w:keepNext w:val="0"/>
              <w:spacing w:after="50" w:before="20" w:line="250" w:lineRule="auto"/>
            </w:pPr>
            <w:r>
              <w:rPr>
                <w:rFonts w:ascii="Arial" w:hAnsi="Arial"/>
                <w:sz w:val="18"/>
              </w:rPr>
              <w:t>Advertised</w:t>
            </w:r>
          </w:p>
        </w:tc>
        <w:tc>
          <w:tcPr>
            <w:tcW w:type="dxa" w:w="3600"/>
            <w:vAlign w:val="top"/>
          </w:tcPr>
          <w:p>
            <w:pPr>
              <w:keepNext w:val="0"/>
              <w:spacing w:after="50" w:before="20" w:line="250" w:lineRule="auto"/>
            </w:pPr>
            <w:r>
              <w:rPr>
                <w:rFonts w:ascii="Arial" w:hAnsi="Arial"/>
                <w:sz w:val="18"/>
              </w:rPr>
              <w:t>Reporting; goals scope unverified [GG01, GG06, VG16]</w:t>
            </w:r>
          </w:p>
        </w:tc>
      </w:tr>
      <w:tr>
        <w:trPr>
          <w:cantSplit/>
        </w:trPr>
        <w:tc>
          <w:tcPr>
            <w:tcW w:type="dxa" w:w="3960"/>
            <w:vAlign w:val="top"/>
            <w:shd w:fill="F3F6F7"/>
          </w:tcPr>
          <w:p>
            <w:pPr>
              <w:keepNext w:val="0"/>
              <w:spacing w:after="50" w:before="20" w:line="250" w:lineRule="auto"/>
            </w:pPr>
            <w:r>
              <w:rPr>
                <w:rFonts w:ascii="Arial" w:hAnsi="Arial"/>
                <w:sz w:val="18"/>
              </w:rPr>
              <w:t>Proactive AI opportunities and custom Q&amp;A reports</w:t>
            </w:r>
          </w:p>
        </w:tc>
        <w:tc>
          <w:tcPr>
            <w:tcW w:type="dxa" w:w="2664"/>
            <w:vAlign w:val="top"/>
            <w:shd w:fill="F3F6F7"/>
          </w:tcPr>
          <w:p>
            <w:pPr>
              <w:keepNext w:val="0"/>
              <w:spacing w:after="50" w:before="20" w:line="250" w:lineRule="auto"/>
            </w:pPr>
            <w:r>
              <w:rPr>
                <w:rFonts w:ascii="Arial" w:hAnsi="Arial"/>
                <w:sz w:val="18"/>
              </w:rPr>
              <w:t>Growth Analyst advertised</w:t>
            </w:r>
          </w:p>
        </w:tc>
        <w:tc>
          <w:tcPr>
            <w:tcW w:type="dxa" w:w="3600"/>
            <w:vAlign w:val="top"/>
            <w:shd w:fill="F3F6F7"/>
          </w:tcPr>
          <w:p>
            <w:pPr>
              <w:keepNext w:val="0"/>
              <w:spacing w:after="50" w:before="20" w:line="250" w:lineRule="auto"/>
            </w:pPr>
            <w:r>
              <w:rPr>
                <w:rFonts w:ascii="Arial" w:hAnsi="Arial"/>
                <w:sz w:val="18"/>
              </w:rPr>
              <w:t>Vera/BI; exact parity unverified [GG06, GG09, VG12]</w:t>
            </w:r>
          </w:p>
        </w:tc>
      </w:tr>
    </w:tbl>
    <w:p>
      <w:pPr>
        <w:spacing w:after="40" w:before="0" w:line="240" w:lineRule="auto"/>
      </w:pPr>
      <w:r>
        <w:rPr>
          <w:sz w:val="4"/>
        </w:rPr>
      </w:r>
    </w:p>
    <w:p>
      <w:pPr>
        <w:pStyle w:val="Heading3"/>
      </w:pPr>
      <w:r>
        <w:t>Integrations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3960"/>
        <w:gridCol w:w="2664"/>
        <w:gridCol w:w="3600"/>
      </w:tblGrid>
      <w:tr>
        <w:trPr>
          <w:tblHeader/>
        </w:trPr>
        <w:tc>
          <w:tcPr>
            <w:tcW w:type="dxa" w:w="3960"/>
            <w:vAlign w:val="top"/>
            <w:shd w:fill="173F50"/>
          </w:tcPr>
          <w:p>
            <w:pPr>
              <w:keepNext/>
              <w:spacing w:after="50" w:before="20" w:line="250" w:lineRule="auto"/>
            </w:pPr>
            <w:r>
              <w:rPr>
                <w:rFonts w:ascii="Arial" w:hAnsi="Arial"/>
                <w:b/>
                <w:color w:val="FFFFFF"/>
                <w:sz w:val="18"/>
              </w:rPr>
              <w:t>Capability</w:t>
            </w:r>
          </w:p>
        </w:tc>
        <w:tc>
          <w:tcPr>
            <w:tcW w:type="dxa" w:w="2664"/>
            <w:vAlign w:val="top"/>
            <w:shd w:fill="173F50"/>
          </w:tcPr>
          <w:p>
            <w:pPr>
              <w:keepNext/>
              <w:spacing w:after="50" w:before="20" w:line="250" w:lineRule="auto"/>
            </w:pPr>
            <w:r>
              <w:rPr>
                <w:rFonts w:ascii="Arial" w:hAnsi="Arial"/>
                <w:b/>
                <w:color w:val="FFFFFF"/>
                <w:sz w:val="18"/>
              </w:rPr>
              <w:t>GlossGenius</w:t>
            </w:r>
          </w:p>
        </w:tc>
        <w:tc>
          <w:tcPr>
            <w:tcW w:type="dxa" w:w="3600"/>
            <w:vAlign w:val="top"/>
            <w:shd w:fill="173F50"/>
          </w:tcPr>
          <w:p>
            <w:pPr>
              <w:keepNext/>
              <w:spacing w:after="50" w:before="20" w:line="250" w:lineRule="auto"/>
            </w:pPr>
            <w:r>
              <w:rPr>
                <w:rFonts w:ascii="Arial" w:hAnsi="Arial"/>
                <w:b/>
                <w:color w:val="FFFFFF"/>
                <w:sz w:val="18"/>
              </w:rPr>
              <w:t>Vagaro and sources</w:t>
            </w:r>
          </w:p>
        </w:tc>
      </w:tr>
      <w:tr>
        <w:trPr>
          <w:cantSplit/>
        </w:trPr>
        <w:tc>
          <w:tcPr>
            <w:tcW w:type="dxa" w:w="3960"/>
            <w:vAlign w:val="top"/>
          </w:tcPr>
          <w:p>
            <w:pPr>
              <w:keepNext w:val="0"/>
              <w:spacing w:after="50" w:before="20" w:line="250" w:lineRule="auto"/>
            </w:pPr>
            <w:r>
              <w:rPr>
                <w:rFonts w:ascii="Arial" w:hAnsi="Arial"/>
                <w:sz w:val="18"/>
              </w:rPr>
              <w:t>APIs and event webhooks</w:t>
            </w:r>
          </w:p>
        </w:tc>
        <w:tc>
          <w:tcPr>
            <w:tcW w:type="dxa" w:w="2664"/>
            <w:vAlign w:val="top"/>
          </w:tcPr>
          <w:p>
            <w:pPr>
              <w:keepNext w:val="0"/>
              <w:spacing w:after="50" w:before="20" w:line="250" w:lineRule="auto"/>
            </w:pPr>
            <w:r>
              <w:rPr>
                <w:rFonts w:ascii="Arial" w:hAnsi="Arial"/>
                <w:sz w:val="18"/>
              </w:rPr>
              <w:t>Not established</w:t>
            </w:r>
          </w:p>
        </w:tc>
        <w:tc>
          <w:tcPr>
            <w:tcW w:type="dxa" w:w="3600"/>
            <w:vAlign w:val="top"/>
          </w:tcPr>
          <w:p>
            <w:pPr>
              <w:keepNext w:val="0"/>
              <w:spacing w:after="50" w:before="20" w:line="250" w:lineRule="auto"/>
            </w:pPr>
            <w:r>
              <w:rPr>
                <w:rFonts w:ascii="Arial" w:hAnsi="Arial"/>
                <w:sz w:val="18"/>
              </w:rPr>
              <w:t>Paid APIs/webhooks [VG07, VG02]</w:t>
            </w:r>
          </w:p>
        </w:tc>
      </w:tr>
      <w:tr>
        <w:trPr>
          <w:cantSplit/>
        </w:trPr>
        <w:tc>
          <w:tcPr>
            <w:tcW w:type="dxa" w:w="3960"/>
            <w:vAlign w:val="top"/>
            <w:shd w:fill="F3F6F7"/>
          </w:tcPr>
          <w:p>
            <w:pPr>
              <w:keepNext w:val="0"/>
              <w:spacing w:after="50" w:before="20" w:line="250" w:lineRule="auto"/>
            </w:pPr>
            <w:r>
              <w:rPr>
                <w:rFonts w:ascii="Arial" w:hAnsi="Arial"/>
                <w:sz w:val="18"/>
              </w:rPr>
              <w:t>Warehouse feeds and custom BI</w:t>
            </w:r>
          </w:p>
        </w:tc>
        <w:tc>
          <w:tcPr>
            <w:tcW w:type="dxa" w:w="2664"/>
            <w:vAlign w:val="top"/>
            <w:shd w:fill="F3F6F7"/>
          </w:tcPr>
          <w:p>
            <w:pPr>
              <w:keepNext w:val="0"/>
              <w:spacing w:after="50" w:before="20" w:line="250" w:lineRule="auto"/>
            </w:pPr>
            <w:r>
              <w:rPr>
                <w:rFonts w:ascii="Arial" w:hAnsi="Arial"/>
                <w:sz w:val="18"/>
              </w:rPr>
              <w:t>Not established</w:t>
            </w:r>
          </w:p>
        </w:tc>
        <w:tc>
          <w:tcPr>
            <w:tcW w:type="dxa" w:w="3600"/>
            <w:vAlign w:val="top"/>
            <w:shd w:fill="F3F6F7"/>
          </w:tcPr>
          <w:p>
            <w:pPr>
              <w:keepNext w:val="0"/>
              <w:spacing w:after="50" w:before="20" w:line="250" w:lineRule="auto"/>
            </w:pPr>
            <w:r>
              <w:rPr>
                <w:rFonts w:ascii="Arial" w:hAnsi="Arial"/>
                <w:sz w:val="18"/>
              </w:rPr>
              <w:t>Data Lake add-on [VG12]</w:t>
            </w:r>
          </w:p>
        </w:tc>
      </w:tr>
      <w:tr>
        <w:trPr>
          <w:cantSplit/>
        </w:trPr>
        <w:tc>
          <w:tcPr>
            <w:tcW w:type="dxa" w:w="3960"/>
            <w:vAlign w:val="top"/>
          </w:tcPr>
          <w:p>
            <w:pPr>
              <w:keepNext w:val="0"/>
              <w:spacing w:after="50" w:before="20" w:line="250" w:lineRule="auto"/>
            </w:pPr>
            <w:r>
              <w:rPr>
                <w:rFonts w:ascii="Arial" w:hAnsi="Arial"/>
                <w:sz w:val="18"/>
              </w:rPr>
              <w:t>Accounting integration</w:t>
            </w:r>
          </w:p>
        </w:tc>
        <w:tc>
          <w:tcPr>
            <w:tcW w:type="dxa" w:w="2664"/>
            <w:vAlign w:val="top"/>
          </w:tcPr>
          <w:p>
            <w:pPr>
              <w:keepNext w:val="0"/>
              <w:spacing w:after="50" w:before="20" w:line="250" w:lineRule="auto"/>
            </w:pPr>
            <w:r>
              <w:rPr>
                <w:rFonts w:ascii="Arial" w:hAnsi="Arial"/>
                <w:sz w:val="18"/>
              </w:rPr>
              <w:t>Finance tools; connector scope unverified</w:t>
            </w:r>
          </w:p>
        </w:tc>
        <w:tc>
          <w:tcPr>
            <w:tcW w:type="dxa" w:w="3600"/>
            <w:vAlign w:val="top"/>
          </w:tcPr>
          <w:p>
            <w:pPr>
              <w:keepNext w:val="0"/>
              <w:spacing w:after="50" w:before="20" w:line="250" w:lineRule="auto"/>
            </w:pPr>
            <w:r>
              <w:rPr>
                <w:rFonts w:ascii="Arial" w:hAnsi="Arial"/>
                <w:sz w:val="18"/>
              </w:rPr>
              <w:t>QuickBooks and Xero add-ons [GG07, VG02]</w:t>
            </w:r>
          </w:p>
        </w:tc>
      </w:tr>
    </w:tbl>
    <w:p>
      <w:pPr>
        <w:spacing w:after="40" w:before="0" w:line="240" w:lineRule="auto"/>
      </w:pPr>
      <w:r>
        <w:rPr>
          <w:sz w:val="4"/>
        </w:rPr>
      </w:r>
    </w:p>
    <w:p>
      <w:pPr>
        <w:pStyle w:val="Heading3"/>
      </w:pPr>
      <w:r>
        <w:t>Onboarding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3960"/>
        <w:gridCol w:w="2664"/>
        <w:gridCol w:w="3600"/>
      </w:tblGrid>
      <w:tr>
        <w:trPr>
          <w:tblHeader/>
        </w:trPr>
        <w:tc>
          <w:tcPr>
            <w:tcW w:type="dxa" w:w="3960"/>
            <w:vAlign w:val="top"/>
            <w:shd w:fill="173F50"/>
          </w:tcPr>
          <w:p>
            <w:pPr>
              <w:keepNext/>
              <w:spacing w:after="50" w:before="20" w:line="250" w:lineRule="auto"/>
            </w:pPr>
            <w:r>
              <w:rPr>
                <w:rFonts w:ascii="Arial" w:hAnsi="Arial"/>
                <w:b/>
                <w:color w:val="FFFFFF"/>
                <w:sz w:val="18"/>
              </w:rPr>
              <w:t>Capability</w:t>
            </w:r>
          </w:p>
        </w:tc>
        <w:tc>
          <w:tcPr>
            <w:tcW w:type="dxa" w:w="2664"/>
            <w:vAlign w:val="top"/>
            <w:shd w:fill="173F50"/>
          </w:tcPr>
          <w:p>
            <w:pPr>
              <w:keepNext/>
              <w:spacing w:after="50" w:before="20" w:line="250" w:lineRule="auto"/>
            </w:pPr>
            <w:r>
              <w:rPr>
                <w:rFonts w:ascii="Arial" w:hAnsi="Arial"/>
                <w:b/>
                <w:color w:val="FFFFFF"/>
                <w:sz w:val="18"/>
              </w:rPr>
              <w:t>GlossGenius</w:t>
            </w:r>
          </w:p>
        </w:tc>
        <w:tc>
          <w:tcPr>
            <w:tcW w:type="dxa" w:w="3600"/>
            <w:vAlign w:val="top"/>
            <w:shd w:fill="173F50"/>
          </w:tcPr>
          <w:p>
            <w:pPr>
              <w:keepNext/>
              <w:spacing w:after="50" w:before="20" w:line="250" w:lineRule="auto"/>
            </w:pPr>
            <w:r>
              <w:rPr>
                <w:rFonts w:ascii="Arial" w:hAnsi="Arial"/>
                <w:b/>
                <w:color w:val="FFFFFF"/>
                <w:sz w:val="18"/>
              </w:rPr>
              <w:t>Vagaro and sources</w:t>
            </w:r>
          </w:p>
        </w:tc>
      </w:tr>
      <w:tr>
        <w:trPr>
          <w:cantSplit/>
        </w:trPr>
        <w:tc>
          <w:tcPr>
            <w:tcW w:type="dxa" w:w="3960"/>
            <w:vAlign w:val="top"/>
          </w:tcPr>
          <w:p>
            <w:pPr>
              <w:keepNext w:val="0"/>
              <w:spacing w:after="50" w:before="20" w:line="250" w:lineRule="auto"/>
            </w:pPr>
            <w:r>
              <w:rPr>
                <w:rFonts w:ascii="Arial" w:hAnsi="Arial"/>
                <w:sz w:val="18"/>
              </w:rPr>
              <w:t>Migration assistance</w:t>
            </w:r>
          </w:p>
        </w:tc>
        <w:tc>
          <w:tcPr>
            <w:tcW w:type="dxa" w:w="2664"/>
            <w:vAlign w:val="top"/>
          </w:tcPr>
          <w:p>
            <w:pPr>
              <w:keepNext w:val="0"/>
              <w:spacing w:after="50" w:before="20" w:line="250" w:lineRule="auto"/>
            </w:pPr>
            <w:r>
              <w:rPr>
                <w:rFonts w:ascii="Arial" w:hAnsi="Arial"/>
                <w:sz w:val="18"/>
              </w:rPr>
              <w:t>Free transfer advertised</w:t>
            </w:r>
          </w:p>
        </w:tc>
        <w:tc>
          <w:tcPr>
            <w:tcW w:type="dxa" w:w="3600"/>
            <w:vAlign w:val="top"/>
          </w:tcPr>
          <w:p>
            <w:pPr>
              <w:keepNext w:val="0"/>
              <w:spacing w:after="50" w:before="20" w:line="250" w:lineRule="auto"/>
            </w:pPr>
            <w:r>
              <w:rPr>
                <w:rFonts w:ascii="Arial" w:hAnsi="Arial"/>
                <w:sz w:val="18"/>
              </w:rPr>
              <w:t>One free premium import advertised [GG16, VG01]</w:t>
            </w:r>
          </w:p>
        </w:tc>
      </w:tr>
    </w:tbl>
    <w:p>
      <w:pPr>
        <w:spacing w:after="40" w:before="0" w:line="240" w:lineRule="auto"/>
      </w:pPr>
      <w:r>
        <w:rPr>
          <w:sz w:val="4"/>
        </w:rPr>
      </w:r>
    </w:p>
    <w:p>
      <w:pPr>
        <w:pStyle w:val="Heading3"/>
      </w:pPr>
      <w:r>
        <w:t>Security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3960"/>
        <w:gridCol w:w="2664"/>
        <w:gridCol w:w="3600"/>
      </w:tblGrid>
      <w:tr>
        <w:trPr>
          <w:tblHeader/>
        </w:trPr>
        <w:tc>
          <w:tcPr>
            <w:tcW w:type="dxa" w:w="3960"/>
            <w:vAlign w:val="top"/>
            <w:shd w:fill="173F50"/>
          </w:tcPr>
          <w:p>
            <w:pPr>
              <w:keepNext/>
              <w:spacing w:after="50" w:before="20" w:line="250" w:lineRule="auto"/>
            </w:pPr>
            <w:r>
              <w:rPr>
                <w:rFonts w:ascii="Arial" w:hAnsi="Arial"/>
                <w:b/>
                <w:color w:val="FFFFFF"/>
                <w:sz w:val="18"/>
              </w:rPr>
              <w:t>Capability</w:t>
            </w:r>
          </w:p>
        </w:tc>
        <w:tc>
          <w:tcPr>
            <w:tcW w:type="dxa" w:w="2664"/>
            <w:vAlign w:val="top"/>
            <w:shd w:fill="173F50"/>
          </w:tcPr>
          <w:p>
            <w:pPr>
              <w:keepNext/>
              <w:spacing w:after="50" w:before="20" w:line="250" w:lineRule="auto"/>
            </w:pPr>
            <w:r>
              <w:rPr>
                <w:rFonts w:ascii="Arial" w:hAnsi="Arial"/>
                <w:b/>
                <w:color w:val="FFFFFF"/>
                <w:sz w:val="18"/>
              </w:rPr>
              <w:t>GlossGenius</w:t>
            </w:r>
          </w:p>
        </w:tc>
        <w:tc>
          <w:tcPr>
            <w:tcW w:type="dxa" w:w="3600"/>
            <w:vAlign w:val="top"/>
            <w:shd w:fill="173F50"/>
          </w:tcPr>
          <w:p>
            <w:pPr>
              <w:keepNext/>
              <w:spacing w:after="50" w:before="20" w:line="250" w:lineRule="auto"/>
            </w:pPr>
            <w:r>
              <w:rPr>
                <w:rFonts w:ascii="Arial" w:hAnsi="Arial"/>
                <w:b/>
                <w:color w:val="FFFFFF"/>
                <w:sz w:val="18"/>
              </w:rPr>
              <w:t>Vagaro and sources</w:t>
            </w:r>
          </w:p>
        </w:tc>
      </w:tr>
      <w:tr>
        <w:trPr>
          <w:cantSplit/>
        </w:trPr>
        <w:tc>
          <w:tcPr>
            <w:tcW w:type="dxa" w:w="3960"/>
            <w:vAlign w:val="top"/>
          </w:tcPr>
          <w:p>
            <w:pPr>
              <w:keepNext w:val="0"/>
              <w:spacing w:after="50" w:before="20" w:line="250" w:lineRule="auto"/>
            </w:pPr>
            <w:r>
              <w:rPr>
                <w:rFonts w:ascii="Arial" w:hAnsi="Arial"/>
                <w:sz w:val="18"/>
              </w:rPr>
              <w:t>IP rules and enterprise identity</w:t>
            </w:r>
          </w:p>
        </w:tc>
        <w:tc>
          <w:tcPr>
            <w:tcW w:type="dxa" w:w="2664"/>
            <w:vAlign w:val="top"/>
          </w:tcPr>
          <w:p>
            <w:pPr>
              <w:keepNext w:val="0"/>
              <w:spacing w:after="50" w:before="20" w:line="250" w:lineRule="auto"/>
            </w:pPr>
            <w:r>
              <w:rPr>
                <w:rFonts w:ascii="Arial" w:hAnsi="Arial"/>
                <w:sz w:val="18"/>
              </w:rPr>
              <w:t>Not established in sources</w:t>
            </w:r>
          </w:p>
        </w:tc>
        <w:tc>
          <w:tcPr>
            <w:tcW w:type="dxa" w:w="3600"/>
            <w:vAlign w:val="top"/>
          </w:tcPr>
          <w:p>
            <w:pPr>
              <w:keepNext w:val="0"/>
              <w:spacing w:after="50" w:before="20" w:line="250" w:lineRule="auto"/>
            </w:pPr>
            <w:r>
              <w:rPr>
                <w:rFonts w:ascii="Arial" w:hAnsi="Arial"/>
                <w:sz w:val="18"/>
              </w:rPr>
              <w:t>IP rules; enterprise SSO/SCIM [VG01, VG16]</w:t>
            </w:r>
          </w:p>
        </w:tc>
      </w:tr>
    </w:tbl>
    <w:p>
      <w:pPr>
        <w:spacing w:after="40" w:before="0" w:line="240" w:lineRule="auto"/>
      </w:pPr>
      <w:r>
        <w:rPr>
          <w:sz w:val="4"/>
        </w:rPr>
      </w:r>
    </w:p>
    <w:p>
      <w:pPr>
        <w:pStyle w:val="Heading2"/>
      </w:pPr>
      <w:r>
        <w:t>2 2 Other common platforms and relevant specialists</w:t>
      </w:r>
    </w:p>
    <w:p>
      <w:r>
        <w:t>C = documented capability somewhere in the product; P = plan, add-on, integration, region or rollout condition; L = legacy transition. These labels describe evidence and availability, not a competitive score.</w:t>
      </w:r>
    </w:p>
    <w:p>
      <w:pPr>
        <w:pStyle w:val="Heading3"/>
      </w:pPr>
      <w:r>
        <w:t>Square Appointments</w:t>
      </w:r>
    </w:p>
    <w:p>
      <w:r>
        <w:t>Solo professionals through multi-staff/multi-location service businesses; commerce ecosystem benchmark.</w:t>
      </w:r>
    </w:p>
    <w:p>
      <w:r>
        <w:t>Online booking site, widget and social links (C; CMP01); Partial deposits, prepayments and automatic contracts (C; CMP01); Service processing time and multiple staff within one visit (P; CMP01); Waitlist and room/chair/equipment resources (P; CMP01); Classes and prepaid packages (P; CMP01); Customer profiles, reminders and cancellation/no-show policies (C; CMP01); POS, digital wallets and invoices (C; CMP01); Tip pooling, commissions, team scheduling and custom permissions (P; CMP01); Contract templates, signatures and milestone invoices (P; CMP01); Multi-location calendar management (P; CMP01).</w:t>
      </w:r>
    </w:p>
    <w:p>
      <w:r>
        <w:rPr>
          <w:b/>
        </w:rPr>
        <w:t>Scope:</w:t>
      </w:r>
      <w:r>
        <w:t xml:space="preserve"> Current pricing page combines Square ecosystem functions; do not imply every item is in the free Appointments plan. Payment, payroll and hardware capabilities have commercial/country conditions.</w:t>
      </w:r>
    </w:p>
    <w:p>
      <w:r>
        <w:rPr>
          <w:b/>
        </w:rPr>
        <w:t>Product lesson:</w:t>
      </w:r>
      <w:r>
        <w:t xml:space="preserve"> Benchmark the complete booking-to-money workflow and reusable document primitives. Advanced scheduling is already baseline.</w:t>
      </w:r>
    </w:p>
    <w:p>
      <w:pPr>
        <w:pStyle w:val="Heading3"/>
      </w:pPr>
      <w:r>
        <w:t>Fresha</w:t>
      </w:r>
    </w:p>
    <w:p>
      <w:r>
        <w:t>Beauty/wellness operators with marketplace-led acquisition and online retail.</w:t>
      </w:r>
    </w:p>
    <w:p>
      <w:r>
        <w:t>Calendar, waitlist and group bookings (C; CMP03); Processing/finishing times and resource management (C; CMP03); Client records, consultation forms and patch tests (C; CMP03); POS, deposits and no-show protection (C; CMP03); Retail inventory and online product store (C; CMP03); Quotes and invoices (C; CMP03); Memberships, packages and gift cards (C; CMP03); Marketing, promotions and client reviews (C; CMP03); Team commissions and clock-in/out timesheets (P; CMP03); Multi-merchant routing to independent professionals (P; CMP03); Marketplace acquisition and client-source timeline (C; CMP04).</w:t>
      </w:r>
    </w:p>
    <w:p>
      <w:r>
        <w:rPr>
          <w:b/>
        </w:rPr>
        <w:t>Scope:</w:t>
      </w:r>
      <w:r>
        <w:t xml:space="preserve"> Subscription, processing, usage-based communications, add-ons and marketplace acquisition fees are separate cost dimensions. Official help says unlisting the marketplace disables online booking channels. First discovery on Fresha can trigger a fee even if booking finishes elsewhere; existing-client import matters.</w:t>
      </w:r>
    </w:p>
    <w:p>
      <w:r>
        <w:rPr>
          <w:b/>
        </w:rPr>
        <w:t>Product lesson:</w:t>
      </w:r>
      <w:r>
        <w:t xml:space="preserve"> Independent branding plus optional discovery can be compelling, but transparent attribution alone is not new: Fresha already exposes source history.</w:t>
      </w:r>
    </w:p>
    <w:p>
      <w:pPr>
        <w:pStyle w:val="Heading3"/>
      </w:pPr>
      <w:r>
        <w:t>Booksy</w:t>
      </w:r>
    </w:p>
    <w:p>
      <w:r>
        <w:t>Independent beauty/barber professionals, teams and shared-location operators.</w:t>
      </w:r>
    </w:p>
    <w:p>
      <w:r>
        <w:t>Booking rules, editable calendar and automated waitlist (C; CMP05); Marketplace listing plus optional Boost (P; CMP06); Google/social booking links and embedded widget (C; CMP05); Automated email/SMS and promotional image creation (C; CMP05); Flash sales, happy hours and last-minute discounts (C; CMP05); Deposits, cancellation fees, tips and Tap to Pay (C; CMP05); Memberships, packages and digital loyalty stamp cards (C; CMP05); Staff permission levels, shifts and commissions (C; CMP05); Resources and inventory consumption/location tracking (C; CMP05); Shared-location profiles with separate accounts (C; CMP05); Client/calendar imports and mobile management (C; CMP05); AI phone booking receptionist (C; CMP05).</w:t>
      </w:r>
    </w:p>
    <w:p>
      <w:r>
        <w:rPr>
          <w:b/>
        </w:rPr>
        <w:t>Scope:</w:t>
      </w:r>
      <w:r>
        <w:t xml:space="preserve"> Broad feature page does not prove parity on every device or country. Boost is optional and distinct from ordinary marketplace listing and payment fees.</w:t>
      </w:r>
    </w:p>
    <w:p>
      <w:r>
        <w:rPr>
          <w:b/>
        </w:rPr>
        <w:t>Product lesson:</w:t>
      </w:r>
      <w:r>
        <w:t xml:space="preserve"> Booth-renter autonomy and simple acquisition are existing competitive strengths. Better source-of-client disputes and optimal slot suggestions are worth testing.</w:t>
      </w:r>
    </w:p>
    <w:p>
      <w:pPr>
        <w:pStyle w:val="Heading3"/>
      </w:pPr>
      <w:r>
        <w:t>Boulevard</w:t>
      </w:r>
    </w:p>
    <w:p>
      <w:r>
        <w:t>Established salons, spas, medspas and multi-location teams.</w:t>
      </w:r>
    </w:p>
    <w:p>
      <w:r>
        <w:t>Self-booking with Precision Scheduling (C; CMP07); Resource-aware service/provider transitions (C; CMP08); Processing, finishing and transition times (C; CMP07); Client profiles and integrated POS (C; CMP09); Branded forms, intake and consent signatures (P; CMP10); Photo chart markup and supervisor sign-off (P; CMP11); Membership billing, usage and payment recovery (C; CMP12); Messaging, marketing and loyalty (C; CMP09); Reporting, APIs and integrations (C; CMP09); AI receptionist and ePrescribe (P; CMP09); Enterprise and multi-location operations (P; CMP09).</w:t>
      </w:r>
    </w:p>
    <w:p>
      <w:r>
        <w:rPr>
          <w:b/>
        </w:rPr>
        <w:t>Scope:</w:t>
      </w:r>
      <w:r>
        <w:t xml:space="preserve"> Forms/charts are an add-on or plan inclusion. AI, clinical and financial products require checking exact entitlement. Clinical claims on vendor pages are not a compliance audit.</w:t>
      </w:r>
    </w:p>
    <w:p>
      <w:r>
        <w:rPr>
          <w:b/>
        </w:rPr>
        <w:t>Product lesson:</w:t>
      </w:r>
      <w:r>
        <w:t xml:space="preserve"> Smart scheduling and pretty forms are occupied territory. Differentiate through understandable tradeoffs, effortless checkout corrections and full lifecycle portability.</w:t>
      </w:r>
    </w:p>
    <w:p>
      <w:pPr>
        <w:pStyle w:val="Heading3"/>
      </w:pPr>
      <w:r>
        <w:t>Mangomint</w:t>
      </w:r>
    </w:p>
    <w:p>
      <w:r>
        <w:t>Service teams needing connected communications, scheduling and automation.</w:t>
      </w:r>
    </w:p>
    <w:p>
      <w:r>
        <w:t>Calendar, online booking and integrated POS (C; CMP13); Express Booking link completes payment/profile/policy details (C; CMP14); Virtual waiting room (C; CMP13); Forms/charting, memberships and packages (C; CMP13); Retail inventory, staff and multi-location management (C; CMP15); Unified calls, texts and web-chat inbox (P; CMP15); Call recordings, transcripts and missed-call texts (P; CMP15); Internal conversation notes and staff mentions (P; CMP15); Conditional automated flows (P; CMP16); Payroll processing and marketing modules (P; CMP13); Shopify and webhook integrations (C; CMP13).</w:t>
      </w:r>
    </w:p>
    <w:p>
      <w:r>
        <w:rPr>
          <w:b/>
        </w:rPr>
        <w:t>Scope:</w:t>
      </w:r>
      <w:r>
        <w:t xml:space="preserve"> Phone, payroll and marketing are documented optional add-ons. Triggered automations already support conditions and actions; do not market a generic workflow builder as unprecedented.</w:t>
      </w:r>
    </w:p>
    <w:p>
      <w:r>
        <w:rPr>
          <w:b/>
        </w:rPr>
        <w:t>Product lesson:</w:t>
      </w:r>
      <w:r>
        <w:t xml:space="preserve"> Strong workflow benchmark. Review evidence supports testing narrower own-record permissions, migration safety and an explicit lost-demand ledger.</w:t>
      </w:r>
    </w:p>
    <w:p>
      <w:pPr>
        <w:pStyle w:val="Heading3"/>
      </w:pPr>
      <w:r>
        <w:t>Phorest</w:t>
      </w:r>
    </w:p>
    <w:p>
      <w:r>
        <w:t>Growth-focused premium salons, spas, clinics and branches.</w:t>
      </w:r>
    </w:p>
    <w:p>
      <w:r>
        <w:t>Booking calendar, waitlist and deposits (C; CMP17); Salon-branded booking app (C; CMP17); Automated reminders, reconnect and rebooking (C; CMP17); Email/SMS campaigns, loyalty and referral rewards (C; CMP17); Client history, patch tests and treatment photos (C; CMP17); Consultation forms and advanced image/face annotation (P; CMP17); Online retail and expert product recommendation links (C; CMP17); Staff roster, wages and tiered commissions (C; CMP17); Stock counts, low-stock alerts and orders (C; CMP18); Multi-location reports and marketing ROI (C; CMP17); Migration and tailored setup support (C; CMP17).</w:t>
      </w:r>
    </w:p>
    <w:p>
      <w:r>
        <w:rPr>
          <w:b/>
        </w:rPr>
        <w:t>Scope:</w:t>
      </w:r>
      <w:r>
        <w:t xml:space="preserve"> The sampled official feature page is international; check US availability and contracted bundles. Payroll calculation/reporting is not proof of tax filing or payroll disbursement.</w:t>
      </w:r>
    </w:p>
    <w:p>
      <w:r>
        <w:rPr>
          <w:b/>
        </w:rPr>
        <w:t>Product lesson:</w:t>
      </w:r>
      <w:r>
        <w:t xml:space="preserve"> Branding, referrals and retail recommendations already exist. A single reusable brand system spanning every client touchpoint remains a sharper design objective.</w:t>
      </w:r>
    </w:p>
    <w:p>
      <w:pPr>
        <w:pStyle w:val="Heading3"/>
      </w:pPr>
      <w:r>
        <w:t>Mindbody</w:t>
      </w:r>
    </w:p>
    <w:p>
      <w:r>
        <w:t>Fitness/wellness businesses, classes, appointments and expanding locations.</w:t>
      </w:r>
    </w:p>
    <w:p>
      <w:r>
        <w:t>Self-service appointments and class scheduling (C; CMP19); Payments, reminders and confirmations (C; CMP19); Membership renewals and no-show/late-cancel policies (C; CMP19); Branded booking widget and customized website (C; CMP19); Dynamic pricing and introductory offers (C; CMP19); Marketplace exposure and ClassPass integration (C; CMP19); Email/SMS marketing automation (P; CMP19); AI front desk concierge (P; CMP19); Branded mobile app and multi-location reports (P; CMP19); Staff substitutions, permissions and payroll-related tools (C; CMP20).</w:t>
      </w:r>
    </w:p>
    <w:p>
      <w:r>
        <w:rPr>
          <w:b/>
        </w:rPr>
        <w:t>Scope:</w:t>
      </w:r>
      <w:r>
        <w:t xml:space="preserve"> Feature availability and additional transaction/usage costs depend on agreement and plan. A course-based studio's experience cannot establish salon-wide product limitations.</w:t>
      </w:r>
    </w:p>
    <w:p>
      <w:r>
        <w:rPr>
          <w:b/>
        </w:rPr>
        <w:t>Product lesson:</w:t>
      </w:r>
      <w:r>
        <w:t xml:space="preserve"> Classes, appointments and courses need distinct data models. Provide an interface that hides irrelevant modules and still supports correct credit/cancellation accounting.</w:t>
      </w:r>
    </w:p>
    <w:p>
      <w:pPr>
        <w:pStyle w:val="Heading3"/>
      </w:pPr>
      <w:r>
        <w:t>Zenoti</w:t>
      </w:r>
    </w:p>
    <w:p>
      <w:r>
        <w:t>Salon/spa/medspa groups and enterprise/franchise operations.</w:t>
      </w:r>
    </w:p>
    <w:p>
      <w:r>
        <w:t>Booking, payments, payroll and inventory (C; CMP21); Multi-location/franchise operations and analytics (C; CMP21); AI voice/front-desk and marketing agents (P; CMP21); Procedure-specific clinical charts (C; CMP22); AI scribe with review/sign-off (C; CMP22); Intake/consent and before-after photos (C; CMP22); Photo alignment and body/face mapping (C; CMP22); Injectable lots, units and expiration tracking (C; CMP22); Medical director review and access audit (C; CMP22); ePrescription integration and medspa record layer (P; CMP22); White-glove migration and structured onboarding (C; CMP21).</w:t>
      </w:r>
    </w:p>
    <w:p>
      <w:r>
        <w:rPr>
          <w:b/>
        </w:rPr>
        <w:t>Scope:</w:t>
      </w:r>
      <w:r>
        <w:t xml:space="preserve"> AI agents require the documented AI Plus package; communications can be usage-billed. Vendor HIPAA/BAA claims require contractual/security review; do not infer certification from marketing. Clinical functionality merits a separate launch track.</w:t>
      </w:r>
    </w:p>
    <w:p>
      <w:r>
        <w:rPr>
          <w:b/>
        </w:rPr>
        <w:t>Product lesson:</w:t>
      </w:r>
      <w:r>
        <w:t xml:space="preserve"> Advanced AI and clinical features are already offered. Usable permissions, transparent reporting and complete economic API data matter more than feature count.</w:t>
      </w:r>
    </w:p>
    <w:p>
      <w:pPr>
        <w:pStyle w:val="Heading3"/>
      </w:pPr>
      <w:r>
        <w:t>Pabau</w:t>
      </w:r>
    </w:p>
    <w:p>
      <w:r>
        <w:t>Aesthetic and other clinical practices needing records plus commercial operations.</w:t>
      </w:r>
    </w:p>
    <w:p>
      <w:r>
        <w:t>Calendar, online booking, classes and waitlist (C; CMP23); Medical records and digital forms (C; CMP23); Photos and injection plotting (C; CMP23); Pre/post-care and recall automation (C; CMP23); Quotes, lead pipeline, packages and memberships (C; CMP23); Stock, multi-location, commissions and staff payouts (C; CMP23); Video, dictation and AI scribe (C; CMP23); Prescriptions and labs (P; CMP23); Passwordless portal with records, payments and memberships (P; CMP24); Configurable portal appearance and family-member workflows (P; CMP24).</w:t>
      </w:r>
    </w:p>
    <w:p>
      <w:r>
        <w:rPr>
          <w:b/>
        </w:rPr>
        <w:t>Scope:</w:t>
      </w:r>
      <w:r>
        <w:t xml:space="preserve"> New portal is explicitly rolling out in phases. Feature directory lists Marketing Plus as an upgrade; do not repeat generic 'no add-ons' blog claims as universal pricing truth. Clinical/geographic scope needs vendor confirmation.</w:t>
      </w:r>
    </w:p>
    <w:p>
      <w:r>
        <w:rPr>
          <w:b/>
        </w:rPr>
        <w:t>Product lesson:</w:t>
      </w:r>
      <w:r>
        <w:t xml:space="preserve"> Passwordless client portal and family support are not unique. Build a clearer service-oriented version for nonmedical professionals while keeping clinical authorization separate.</w:t>
      </w:r>
    </w:p>
    <w:p>
      <w:pPr>
        <w:pStyle w:val="Heading3"/>
      </w:pPr>
      <w:r>
        <w:t>Aesthetic Record</w:t>
      </w:r>
    </w:p>
    <w:p>
      <w:r>
        <w:t>Medical aesthetics practices; clinical depth benchmark.</w:t>
      </w:r>
    </w:p>
    <w:p>
      <w:r>
        <w:t>EMR, procedure documentation and treatment plans (C; CMP25); Before/after photo and video workflows (C; CMP25); Consent forms signed onsite or through portal (C; CMP26); Chart-to-cart billing linkage (C; CMP25); Medical-director chart review and sign-off (C; CMP25); Online booking, waitlist and deposits (C; CMP25); Two-way texting, patient portal and lead tools (C; CMP25); Memberships, wallet, loyalty and financing integrations (P; CMP25); AI charting, telehealth and eRx (P; CMP25); Inventory lots, provider usage and appointment-based forecast (C; CMP27); Revenue, COGS, staff and patient activity reports (C; CMP28).</w:t>
      </w:r>
    </w:p>
    <w:p>
      <w:r>
        <w:rPr>
          <w:b/>
        </w:rPr>
        <w:t>Scope:</w:t>
      </w:r>
      <w:r>
        <w:t xml:space="preserve"> Vendor-documented capabilities, not verification of clinical suitability. Financing, prescriptions and clinical care require appropriately qualified partners and practitioners.</w:t>
      </w:r>
    </w:p>
    <w:p>
      <w:r>
        <w:rPr>
          <w:b/>
        </w:rPr>
        <w:t>Product lesson:</w:t>
      </w:r>
      <w:r>
        <w:t xml:space="preserve"> Track treatment consumption through both inventory and financial ledgers. Clinical image capture needs explicit treatment-versus-marketing consent.</w:t>
      </w:r>
    </w:p>
    <w:p>
      <w:pPr>
        <w:pStyle w:val="Heading3"/>
      </w:pPr>
      <w:r>
        <w:t>Acuity Scheduling</w:t>
      </w:r>
    </w:p>
    <w:p>
      <w:r>
        <w:t>General service appointments, classes and embedded website booking; simplicity benchmark.</w:t>
      </w:r>
    </w:p>
    <w:p>
      <w:r>
        <w:t>Client self-scheduling and unlimited services (C; CMP29); Calendar-based staff/location capacity (P; CMP29); Payments/deposits through established processors (C; CMP29); Custom intake and internal/SOAP forms (C; CMP30); Automatic time-zone conversion (C; CMP29); Email and SMS reminders (P; CMP29); Appointment waitlist (P; CMP29); Memberships, packages and gift certificates (P; CMP29); Video-meeting integrations (C; CMP29); Logo removal, CSS and API access (P; CMP29); AI booking assistant and signed BAA option (P; CMP29).</w:t>
      </w:r>
    </w:p>
    <w:p>
      <w:r>
        <w:rPr>
          <w:b/>
        </w:rPr>
        <w:t>Scope:</w:t>
      </w:r>
      <w:r>
        <w:t xml:space="preserve"> Premium adds advanced customization/API/BAA/AI; country availability applies to texts. Current help says intake forms are completed when booking, not when buying package codes.</w:t>
      </w:r>
    </w:p>
    <w:p>
      <w:r>
        <w:rPr>
          <w:b/>
        </w:rPr>
        <w:t>Product lesson:</w:t>
      </w:r>
      <w:r>
        <w:t xml:space="preserve"> Book-as-guest, clear payment expectations and form timing must be intentionally designed; feature availability alone does not guarantee intuitive defaults.</w:t>
      </w:r>
    </w:p>
    <w:p>
      <w:pPr>
        <w:pStyle w:val="Heading3"/>
      </w:pPr>
      <w:r>
        <w:t>StyleSeat</w:t>
      </w:r>
    </w:p>
    <w:p>
      <w:r>
        <w:t>Independent beauty/service professionals prioritizing discovery and revenue tools.</w:t>
      </w:r>
    </w:p>
    <w:p>
      <w:r>
        <w:t>Marketplace listing and New Client Connection (P; CMP32); Booking page and custom website (C; CMP32); Payments, deposits and no-show protection (C; CMP32); Automated reminders, follow-ups and loyalty (C; CMP32); Email/text and AI social-post tools (C; CMP32); AI booking assistant and approved campaigns (C; CMP32); Business insights and earnings reports (C; CMP32); Client and review imports (C; CMP32); Smart Pricing (P; CMP33).</w:t>
      </w:r>
    </w:p>
    <w:p>
      <w:r>
        <w:rPr>
          <w:b/>
        </w:rPr>
        <w:t>Scope:</w:t>
      </w:r>
      <w:r>
        <w:t xml:space="preserve"> Official join page and recent pricing blog conflict on base subscription and website bundling; rates deliberately omitted. Smart Pricing and acquisition commission are separate dimensions, not universally free.</w:t>
      </w:r>
    </w:p>
    <w:p>
      <w:r>
        <w:rPr>
          <w:b/>
        </w:rPr>
        <w:t>Product lesson:</w:t>
      </w:r>
      <w:r>
        <w:t xml:space="preserve"> Demand pricing and AI marketing already exist; ethical, explainable optional price rules with client-visible totals can distinguish execution.</w:t>
      </w:r>
    </w:p>
    <w:p>
      <w:pPr>
        <w:pStyle w:val="Heading3"/>
      </w:pPr>
      <w:r>
        <w:t>Schedulicity</w:t>
      </w:r>
    </w:p>
    <w:p>
      <w:r>
        <w:t>Legacy workbook competitor; migration cohort now associated with Vagaro.</w:t>
      </w:r>
    </w:p>
    <w:p>
      <w:r>
        <w:t>Acquired by Vagaro; transition/onboarding path (L; CMP34); Current migration page directs businesses to Vagaro (L; CMP35).</w:t>
      </w:r>
    </w:p>
    <w:p>
      <w:r>
        <w:rPr>
          <w:b/>
        </w:rPr>
        <w:t>Scope:</w:t>
      </w:r>
      <w:r>
        <w:t xml:space="preserve"> Do not count as an independent current competitor or infer legacy feature parity with Vagaro. Preserve relevant workflow ideas from the workbook and label their provenance.</w:t>
      </w:r>
    </w:p>
    <w:p>
      <w:r>
        <w:rPr>
          <w:b/>
        </w:rPr>
        <w:t>Product lesson:</w:t>
      </w:r>
      <w:r>
        <w:t xml:space="preserve"> Platform transitions create a need for portable records, reliable migration rehearsals and transparent offboarding.</w:t>
      </w:r>
    </w:p>
    <w:p>
      <w:pPr>
        <w:pStyle w:val="Heading3"/>
      </w:pPr>
      <w:r>
        <w:t>Comb</w:t>
      </w:r>
    </w:p>
    <w:p>
      <w:r>
        <w:t>An emerging esthetics-oriented comparison point: its official feature list covers booking, forms, service maps, formulas, loyalty, templates and automation. This is evidence of capability, not established market scale. The implication is to compete on measured client and owner outcomes rather than treating an esthetics label as sufficient differentiation. [R09]</w:t>
      </w:r>
    </w:p>
    <w:p>
      <w:pPr>
        <w:pStyle w:val="Heading3"/>
      </w:pPr>
      <w:r>
        <w:t>Specialists that narrow the apparent gap</w:t>
      </w:r>
    </w:p>
    <w:p>
      <w:r>
        <w:t>Vish and SalonScale already connect color/service inputs with cost and inventory workflows. A proposal to show service margin should integrate reliable quantities and actual work, then help the owner act; it should not be described as a first for the industry. SQUIRE and theCut provide additional barber-focused booking and business-model comparisons in Chapter 4. [R06, R07, R08, R10, R18]</w:t>
      </w:r>
    </w:p>
    <w:p>
      <w:pPr>
        <w:pStyle w:val="Heading2"/>
      </w:pPr>
      <w:r>
        <w:t>2 3 Pricing and packaging requirements</w:t>
      </w:r>
    </w:p>
    <w:p>
      <w:r>
        <w:t>A simple published subscription is only one part of ownership cost. The product should model the full bill before activation and retain the owner’s choices. Do not promise lowest price until a country-specific, volume-specific comparison has been calculated.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592"/>
        <w:gridCol w:w="7632"/>
      </w:tblGrid>
      <w:tr>
        <w:trPr>
          <w:tblHeader/>
        </w:trPr>
        <w:tc>
          <w:tcPr>
            <w:tcW w:type="dxa" w:w="2592"/>
            <w:vAlign w:val="top"/>
            <w:shd w:fill="173F50"/>
          </w:tcPr>
          <w:p>
            <w:pPr>
              <w:keepNext/>
              <w:spacing w:after="50" w:before="20" w:line="250" w:lineRule="auto"/>
            </w:pPr>
            <w:r>
              <w:rPr>
                <w:rFonts w:ascii="Arial" w:hAnsi="Arial"/>
                <w:b/>
                <w:color w:val="FFFFFF"/>
                <w:sz w:val="18"/>
              </w:rPr>
              <w:t>Cost dimension</w:t>
            </w:r>
          </w:p>
        </w:tc>
        <w:tc>
          <w:tcPr>
            <w:tcW w:type="dxa" w:w="7632"/>
            <w:vAlign w:val="top"/>
            <w:shd w:fill="173F50"/>
          </w:tcPr>
          <w:p>
            <w:pPr>
              <w:keepNext/>
              <w:spacing w:after="50" w:before="20" w:line="250" w:lineRule="auto"/>
            </w:pPr>
            <w:r>
              <w:rPr>
                <w:rFonts w:ascii="Arial" w:hAnsi="Arial"/>
                <w:b/>
                <w:color w:val="FFFFFF"/>
                <w:sz w:val="18"/>
              </w:rPr>
              <w:t>Required treatment in the proposed app</w:t>
            </w:r>
          </w:p>
        </w:tc>
      </w:tr>
      <w:tr>
        <w:trPr>
          <w:cantSplit/>
        </w:trPr>
        <w:tc>
          <w:tcPr>
            <w:tcW w:type="dxa" w:w="2592"/>
            <w:vAlign w:val="top"/>
          </w:tcPr>
          <w:p>
            <w:pPr>
              <w:keepNext w:val="0"/>
              <w:spacing w:after="50" w:before="20" w:line="250" w:lineRule="auto"/>
            </w:pPr>
            <w:r>
              <w:rPr>
                <w:rFonts w:ascii="Arial" w:hAnsi="Arial"/>
                <w:sz w:val="18"/>
              </w:rPr>
              <w:t>Subscription and capacity</w:t>
            </w:r>
          </w:p>
        </w:tc>
        <w:tc>
          <w:tcPr>
            <w:tcW w:type="dxa" w:w="7632"/>
            <w:vAlign w:val="top"/>
          </w:tcPr>
          <w:p>
            <w:pPr>
              <w:keepNext w:val="0"/>
              <w:spacing w:after="50" w:before="20" w:line="250" w:lineRule="auto"/>
            </w:pPr>
            <w:r>
              <w:rPr>
                <w:rFonts w:ascii="Arial" w:hAnsi="Arial"/>
                <w:sz w:val="18"/>
              </w:rPr>
              <w:t>Show business, location, staff, bookable calendar and volume limits; renewal date; annual commitment; trial conversion and downgrade effects.</w:t>
            </w:r>
          </w:p>
        </w:tc>
      </w:tr>
      <w:tr>
        <w:trPr>
          <w:cantSplit/>
        </w:trPr>
        <w:tc>
          <w:tcPr>
            <w:tcW w:type="dxa" w:w="2592"/>
            <w:vAlign w:val="top"/>
            <w:shd w:fill="F3F6F7"/>
          </w:tcPr>
          <w:p>
            <w:pPr>
              <w:keepNext w:val="0"/>
              <w:spacing w:after="50" w:before="20" w:line="250" w:lineRule="auto"/>
            </w:pPr>
            <w:r>
              <w:rPr>
                <w:rFonts w:ascii="Arial" w:hAnsi="Arial"/>
                <w:sz w:val="18"/>
              </w:rPr>
              <w:t>Usage and extras</w:t>
            </w:r>
          </w:p>
        </w:tc>
        <w:tc>
          <w:tcPr>
            <w:tcW w:type="dxa" w:w="7632"/>
            <w:vAlign w:val="top"/>
            <w:shd w:fill="F3F6F7"/>
          </w:tcPr>
          <w:p>
            <w:pPr>
              <w:keepNext w:val="0"/>
              <w:spacing w:after="50" w:before="20" w:line="250" w:lineRule="auto"/>
            </w:pPr>
            <w:r>
              <w:rPr>
                <w:rFonts w:ascii="Arial" w:hAnsi="Arial"/>
                <w:sz w:val="18"/>
              </w:rPr>
              <w:t>Estimate SMS segments, outbound calls, AI tasks, file storage, forms, website/app branding, integrations, payroll and premium support before opt-in.</w:t>
            </w:r>
          </w:p>
        </w:tc>
      </w:tr>
      <w:tr>
        <w:trPr>
          <w:cantSplit/>
        </w:trPr>
        <w:tc>
          <w:tcPr>
            <w:tcW w:type="dxa" w:w="2592"/>
            <w:vAlign w:val="top"/>
          </w:tcPr>
          <w:p>
            <w:pPr>
              <w:keepNext w:val="0"/>
              <w:spacing w:after="50" w:before="20" w:line="250" w:lineRule="auto"/>
            </w:pPr>
            <w:r>
              <w:rPr>
                <w:rFonts w:ascii="Arial" w:hAnsi="Arial"/>
                <w:sz w:val="18"/>
              </w:rPr>
              <w:t>Money movement</w:t>
            </w:r>
          </w:p>
        </w:tc>
        <w:tc>
          <w:tcPr>
            <w:tcW w:type="dxa" w:w="7632"/>
            <w:vAlign w:val="top"/>
          </w:tcPr>
          <w:p>
            <w:pPr>
              <w:keepNext w:val="0"/>
              <w:spacing w:after="50" w:before="20" w:line="250" w:lineRule="auto"/>
            </w:pPr>
            <w:r>
              <w:rPr>
                <w:rFonts w:ascii="Arial" w:hAnsi="Arial"/>
                <w:sz w:val="18"/>
              </w:rPr>
              <w:t>Explain processing by tender/channel, payout options, refunds, disputes, financing and any permitted client-facing fee before acceptance.</w:t>
            </w:r>
          </w:p>
        </w:tc>
      </w:tr>
      <w:tr>
        <w:trPr>
          <w:cantSplit/>
        </w:trPr>
        <w:tc>
          <w:tcPr>
            <w:tcW w:type="dxa" w:w="2592"/>
            <w:vAlign w:val="top"/>
            <w:shd w:fill="F3F6F7"/>
          </w:tcPr>
          <w:p>
            <w:pPr>
              <w:keepNext w:val="0"/>
              <w:spacing w:after="50" w:before="20" w:line="250" w:lineRule="auto"/>
            </w:pPr>
            <w:r>
              <w:rPr>
                <w:rFonts w:ascii="Arial" w:hAnsi="Arial"/>
                <w:sz w:val="18"/>
              </w:rPr>
              <w:t>Acquisition</w:t>
            </w:r>
          </w:p>
        </w:tc>
        <w:tc>
          <w:tcPr>
            <w:tcW w:type="dxa" w:w="7632"/>
            <w:vAlign w:val="top"/>
            <w:shd w:fill="F3F6F7"/>
          </w:tcPr>
          <w:p>
            <w:pPr>
              <w:keepNext w:val="0"/>
              <w:spacing w:after="50" w:before="20" w:line="250" w:lineRule="auto"/>
            </w:pPr>
            <w:r>
              <w:rPr>
                <w:rFonts w:ascii="Arial" w:hAnsi="Arial"/>
                <w:sz w:val="18"/>
              </w:rPr>
              <w:t>Distinguish direct clients, marketplace discovery and paid promotion. Show attribution evidence and a challenge process.</w:t>
            </w:r>
          </w:p>
        </w:tc>
      </w:tr>
      <w:tr>
        <w:trPr>
          <w:cantSplit/>
        </w:trPr>
        <w:tc>
          <w:tcPr>
            <w:tcW w:type="dxa" w:w="2592"/>
            <w:vAlign w:val="top"/>
          </w:tcPr>
          <w:p>
            <w:pPr>
              <w:keepNext w:val="0"/>
              <w:spacing w:after="50" w:before="20" w:line="250" w:lineRule="auto"/>
            </w:pPr>
            <w:r>
              <w:rPr>
                <w:rFonts w:ascii="Arial" w:hAnsi="Arial"/>
                <w:sz w:val="18"/>
              </w:rPr>
              <w:t>Switching and exit</w:t>
            </w:r>
          </w:p>
        </w:tc>
        <w:tc>
          <w:tcPr>
            <w:tcW w:type="dxa" w:w="7632"/>
            <w:vAlign w:val="top"/>
          </w:tcPr>
          <w:p>
            <w:pPr>
              <w:keepNext w:val="0"/>
              <w:spacing w:after="50" w:before="20" w:line="250" w:lineRule="auto"/>
            </w:pPr>
            <w:r>
              <w:rPr>
                <w:rFonts w:ascii="Arial" w:hAnsi="Arial"/>
                <w:sz w:val="18"/>
              </w:rPr>
              <w:t>Quote migration scope and unsupported data. Preserve usable export, account cancellation and a published historical-access period.</w:t>
            </w:r>
          </w:p>
        </w:tc>
      </w:tr>
    </w:tbl>
    <w:p>
      <w:pPr>
        <w:spacing w:after="40" w:before="0" w:line="240" w:lineRule="auto"/>
      </w:pPr>
      <w:r>
        <w:rPr>
          <w:sz w:val="4"/>
        </w:rPr>
      </w:r>
    </w:p>
    <w:p>
      <w:r>
        <w:t>This responds to the variety of subscription, usage, payment, marketplace and add-on structures in official product materials; exact pricing remains a dated commercial check. [GG01, VG02, CMP03, CMP06, CMP32, R11, R14, R18]</w:t>
      </w:r>
    </w:p>
    <w:p>
      <w:bookmarkStart w:id="4" w:name="complaints"/>
      <w:pPr>
        <w:pStyle w:val="Heading1"/>
        <w:pageBreakBefore/>
      </w:pPr>
      <w:r>
        <w:t>3 User complaints and unmet needs</w:t>
      </w:r>
      <w:bookmarkEnd w:id="4"/>
    </w:p>
    <w:p>
      <w:r>
        <w:t>The following 29 items are evidence signals, not a frequency ranking. Some are positive reviews containing requests; two are documented product boundaries. Dates are shown where available. Opportunities in the right column are our proposed responses. Dates are review/comment dates unless otherwise specified. Current defects have not been reproduced.</w:t>
      </w:r>
    </w:p>
    <w:p>
      <w:pPr>
        <w:pStyle w:val="Heading2"/>
      </w:pPr>
      <w:r>
        <w:t>3 1 GlossGenius and Vagaro signals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088"/>
        <w:gridCol w:w="4896"/>
        <w:gridCol w:w="3240"/>
      </w:tblGrid>
      <w:tr>
        <w:trPr>
          <w:tblHeader/>
        </w:trPr>
        <w:tc>
          <w:tcPr>
            <w:tcW w:type="dxa" w:w="2088"/>
            <w:vAlign w:val="top"/>
            <w:shd w:fill="173F50"/>
          </w:tcPr>
          <w:p>
            <w:pPr>
              <w:keepNext/>
              <w:spacing w:after="50" w:before="20" w:line="250" w:lineRule="auto"/>
            </w:pPr>
            <w:r>
              <w:rPr>
                <w:rFonts w:ascii="Arial" w:hAnsi="Arial"/>
                <w:b/>
                <w:color w:val="FFFFFF"/>
                <w:sz w:val="18"/>
              </w:rPr>
              <w:t>Signal and date</w:t>
            </w:r>
          </w:p>
        </w:tc>
        <w:tc>
          <w:tcPr>
            <w:tcW w:type="dxa" w:w="4896"/>
            <w:vAlign w:val="top"/>
            <w:shd w:fill="173F50"/>
          </w:tcPr>
          <w:p>
            <w:pPr>
              <w:keepNext/>
              <w:spacing w:after="50" w:before="20" w:line="250" w:lineRule="auto"/>
            </w:pPr>
            <w:r>
              <w:rPr>
                <w:rFonts w:ascii="Arial" w:hAnsi="Arial"/>
                <w:b/>
                <w:color w:val="FFFFFF"/>
                <w:sz w:val="18"/>
              </w:rPr>
              <w:t>Evidence and qualification</w:t>
            </w:r>
          </w:p>
        </w:tc>
        <w:tc>
          <w:tcPr>
            <w:tcW w:type="dxa" w:w="3240"/>
            <w:vAlign w:val="top"/>
            <w:shd w:fill="173F50"/>
          </w:tcPr>
          <w:p>
            <w:pPr>
              <w:keepNext/>
              <w:spacing w:after="50" w:before="20" w:line="250" w:lineRule="auto"/>
            </w:pPr>
            <w:r>
              <w:rPr>
                <w:rFonts w:ascii="Arial" w:hAnsi="Arial"/>
                <w:b/>
                <w:color w:val="FFFFFF"/>
                <w:sz w:val="18"/>
              </w:rPr>
              <w:t>Proposed response</w:t>
            </w:r>
          </w:p>
        </w:tc>
      </w:tr>
      <w:tr>
        <w:trPr>
          <w:cantSplit/>
        </w:trPr>
        <w:tc>
          <w:tcPr>
            <w:tcW w:type="dxa" w:w="2088"/>
            <w:vAlign w:val="top"/>
          </w:tcPr>
          <w:p>
            <w:pPr>
              <w:keepNext w:val="0"/>
              <w:spacing w:after="50" w:before="20" w:line="250" w:lineRule="auto"/>
            </w:pPr>
            <w:r>
              <w:rPr>
                <w:rFonts w:ascii="Arial" w:hAnsi="Arial"/>
                <w:b/>
                <w:sz w:val="18"/>
              </w:rPr>
              <w:t>GVQ01  GlossGenius</w:t>
            </w:r>
            <w:r>
              <w:rPr>
                <w:rFonts w:ascii="Arial" w:hAnsi="Arial"/>
                <w:b w:val="0"/>
                <w:sz w:val="18"/>
              </w:rPr>
              <w:br/>
              <w:t>2026-10-23</w:t>
              <w:br/>
              <w:t>User report; recent, unverified</w:t>
            </w:r>
          </w:p>
        </w:tc>
        <w:tc>
          <w:tcPr>
            <w:tcW w:type="dxa" w:w="4896"/>
            <w:vAlign w:val="top"/>
          </w:tcPr>
          <w:p>
            <w:pPr>
              <w:keepNext w:val="0"/>
              <w:spacing w:after="50" w:before="20" w:line="250" w:lineRule="auto"/>
            </w:pPr>
            <w:r>
              <w:rPr>
                <w:rFonts w:ascii="Arial" w:hAnsi="Arial"/>
                <w:sz w:val="18"/>
              </w:rPr>
              <w:t>A consultant reported delayed migration and stale bookings at attempted go-live.</w:t>
              <w:br/>
              <w:t>One review; do not infer normal transfer speed or claim a universal import limitation. [RG01]</w:t>
            </w:r>
          </w:p>
        </w:tc>
        <w:tc>
          <w:tcPr>
            <w:tcW w:type="dxa" w:w="3240"/>
            <w:vAlign w:val="top"/>
          </w:tcPr>
          <w:p>
            <w:pPr>
              <w:keepNext w:val="0"/>
              <w:spacing w:after="50" w:before="20" w:line="250" w:lineRule="auto"/>
            </w:pPr>
            <w:r>
              <w:rPr>
                <w:rFonts w:ascii="Arial" w:hAnsi="Arial"/>
                <w:sz w:val="18"/>
              </w:rPr>
              <w:t>Self-serve dry run, freshness timestamps, delta sync, reconciliation and explicit cutover checklist.</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088"/>
        <w:gridCol w:w="4896"/>
        <w:gridCol w:w="3240"/>
      </w:tblGrid>
      <w:tr>
        <w:trPr>
          <w:tblHeader/>
        </w:trPr>
        <w:tc>
          <w:tcPr>
            <w:tcW w:type="dxa" w:w="2088"/>
            <w:vAlign w:val="top"/>
            <w:shd w:fill="173F50"/>
          </w:tcPr>
          <w:p>
            <w:pPr>
              <w:keepNext/>
              <w:spacing w:after="50" w:before="20" w:line="250" w:lineRule="auto"/>
            </w:pPr>
            <w:r>
              <w:rPr>
                <w:rFonts w:ascii="Arial" w:hAnsi="Arial"/>
                <w:b/>
                <w:color w:val="FFFFFF"/>
                <w:sz w:val="18"/>
              </w:rPr>
              <w:t>Signal and date</w:t>
            </w:r>
          </w:p>
        </w:tc>
        <w:tc>
          <w:tcPr>
            <w:tcW w:type="dxa" w:w="4896"/>
            <w:vAlign w:val="top"/>
            <w:shd w:fill="173F50"/>
          </w:tcPr>
          <w:p>
            <w:pPr>
              <w:keepNext/>
              <w:spacing w:after="50" w:before="20" w:line="250" w:lineRule="auto"/>
            </w:pPr>
            <w:r>
              <w:rPr>
                <w:rFonts w:ascii="Arial" w:hAnsi="Arial"/>
                <w:b/>
                <w:color w:val="FFFFFF"/>
                <w:sz w:val="18"/>
              </w:rPr>
              <w:t>Evidence and qualification</w:t>
            </w:r>
          </w:p>
        </w:tc>
        <w:tc>
          <w:tcPr>
            <w:tcW w:type="dxa" w:w="3240"/>
            <w:vAlign w:val="top"/>
            <w:shd w:fill="173F50"/>
          </w:tcPr>
          <w:p>
            <w:pPr>
              <w:keepNext/>
              <w:spacing w:after="50" w:before="20" w:line="250" w:lineRule="auto"/>
            </w:pPr>
            <w:r>
              <w:rPr>
                <w:rFonts w:ascii="Arial" w:hAnsi="Arial"/>
                <w:b/>
                <w:color w:val="FFFFFF"/>
                <w:sz w:val="18"/>
              </w:rPr>
              <w:t>Proposed response</w:t>
            </w:r>
          </w:p>
        </w:tc>
      </w:tr>
      <w:tr>
        <w:trPr>
          <w:cantSplit/>
        </w:trPr>
        <w:tc>
          <w:tcPr>
            <w:tcW w:type="dxa" w:w="2088"/>
            <w:vAlign w:val="top"/>
          </w:tcPr>
          <w:p>
            <w:pPr>
              <w:keepNext w:val="0"/>
              <w:spacing w:after="50" w:before="20" w:line="250" w:lineRule="auto"/>
            </w:pPr>
            <w:r>
              <w:rPr>
                <w:rFonts w:ascii="Arial" w:hAnsi="Arial"/>
                <w:b/>
                <w:sz w:val="18"/>
              </w:rPr>
              <w:t>GVQ02  GlossGenius</w:t>
            </w:r>
            <w:r>
              <w:rPr>
                <w:rFonts w:ascii="Arial" w:hAnsi="Arial"/>
                <w:b w:val="0"/>
                <w:sz w:val="18"/>
              </w:rPr>
              <w:br/>
              <w:t>2026-09-15</w:t>
              <w:br/>
              <w:t>User report; recent, unverified</w:t>
            </w:r>
          </w:p>
        </w:tc>
        <w:tc>
          <w:tcPr>
            <w:tcW w:type="dxa" w:w="4896"/>
            <w:vAlign w:val="top"/>
          </w:tcPr>
          <w:p>
            <w:pPr>
              <w:keepNext w:val="0"/>
              <w:spacing w:after="50" w:before="20" w:line="250" w:lineRule="auto"/>
            </w:pPr>
            <w:r>
              <w:rPr>
                <w:rFonts w:ascii="Arial" w:hAnsi="Arial"/>
                <w:sz w:val="18"/>
              </w:rPr>
              <w:t>A reviewer reported repeated verification requests and delayed access to payouts.</w:t>
              <w:br/>
              <w:t>Payment holds can have processor/risk causes; allegation does not establish wrongdoing. [RG01]</w:t>
            </w:r>
          </w:p>
        </w:tc>
        <w:tc>
          <w:tcPr>
            <w:tcW w:type="dxa" w:w="3240"/>
            <w:vAlign w:val="top"/>
          </w:tcPr>
          <w:p>
            <w:pPr>
              <w:keepNext w:val="0"/>
              <w:spacing w:after="50" w:before="20" w:line="250" w:lineRule="auto"/>
            </w:pPr>
            <w:r>
              <w:rPr>
                <w:rFonts w:ascii="Arial" w:hAnsi="Arial"/>
                <w:sz w:val="18"/>
              </w:rPr>
              <w:t>Show verification status, missing evidence, accountable owner, payout ETA ranges and a case timeline.</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088"/>
        <w:gridCol w:w="4896"/>
        <w:gridCol w:w="3240"/>
      </w:tblGrid>
      <w:tr>
        <w:trPr>
          <w:tblHeader/>
        </w:trPr>
        <w:tc>
          <w:tcPr>
            <w:tcW w:type="dxa" w:w="2088"/>
            <w:vAlign w:val="top"/>
            <w:shd w:fill="173F50"/>
          </w:tcPr>
          <w:p>
            <w:pPr>
              <w:keepNext/>
              <w:spacing w:after="50" w:before="20" w:line="250" w:lineRule="auto"/>
            </w:pPr>
            <w:r>
              <w:rPr>
                <w:rFonts w:ascii="Arial" w:hAnsi="Arial"/>
                <w:b/>
                <w:color w:val="FFFFFF"/>
                <w:sz w:val="18"/>
              </w:rPr>
              <w:t>Signal and date</w:t>
            </w:r>
          </w:p>
        </w:tc>
        <w:tc>
          <w:tcPr>
            <w:tcW w:type="dxa" w:w="4896"/>
            <w:vAlign w:val="top"/>
            <w:shd w:fill="173F50"/>
          </w:tcPr>
          <w:p>
            <w:pPr>
              <w:keepNext/>
              <w:spacing w:after="50" w:before="20" w:line="250" w:lineRule="auto"/>
            </w:pPr>
            <w:r>
              <w:rPr>
                <w:rFonts w:ascii="Arial" w:hAnsi="Arial"/>
                <w:b/>
                <w:color w:val="FFFFFF"/>
                <w:sz w:val="18"/>
              </w:rPr>
              <w:t>Evidence and qualification</w:t>
            </w:r>
          </w:p>
        </w:tc>
        <w:tc>
          <w:tcPr>
            <w:tcW w:type="dxa" w:w="3240"/>
            <w:vAlign w:val="top"/>
            <w:shd w:fill="173F50"/>
          </w:tcPr>
          <w:p>
            <w:pPr>
              <w:keepNext/>
              <w:spacing w:after="50" w:before="20" w:line="250" w:lineRule="auto"/>
            </w:pPr>
            <w:r>
              <w:rPr>
                <w:rFonts w:ascii="Arial" w:hAnsi="Arial"/>
                <w:b/>
                <w:color w:val="FFFFFF"/>
                <w:sz w:val="18"/>
              </w:rPr>
              <w:t>Proposed response</w:t>
            </w:r>
          </w:p>
        </w:tc>
      </w:tr>
      <w:tr>
        <w:trPr>
          <w:cantSplit/>
        </w:trPr>
        <w:tc>
          <w:tcPr>
            <w:tcW w:type="dxa" w:w="2088"/>
            <w:vAlign w:val="top"/>
          </w:tcPr>
          <w:p>
            <w:pPr>
              <w:keepNext w:val="0"/>
              <w:spacing w:after="50" w:before="20" w:line="250" w:lineRule="auto"/>
            </w:pPr>
            <w:r>
              <w:rPr>
                <w:rFonts w:ascii="Arial" w:hAnsi="Arial"/>
                <w:b/>
                <w:sz w:val="18"/>
              </w:rPr>
              <w:t>GVQ03  Vagaro</w:t>
            </w:r>
            <w:r>
              <w:rPr>
                <w:rFonts w:ascii="Arial" w:hAnsi="Arial"/>
                <w:b w:val="0"/>
                <w:sz w:val="18"/>
              </w:rPr>
              <w:br/>
              <w:t>2026-10-15</w:t>
              <w:br/>
              <w:t>User report; company acknowledged investigation</w:t>
            </w:r>
          </w:p>
        </w:tc>
        <w:tc>
          <w:tcPr>
            <w:tcW w:type="dxa" w:w="4896"/>
            <w:vAlign w:val="top"/>
          </w:tcPr>
          <w:p>
            <w:pPr>
              <w:keepNext w:val="0"/>
              <w:spacing w:after="50" w:before="20" w:line="250" w:lineRule="auto"/>
            </w:pPr>
            <w:r>
              <w:rPr>
                <w:rFonts w:ascii="Arial" w:hAnsi="Arial"/>
                <w:sz w:val="18"/>
              </w:rPr>
              <w:t>Reported mobile-data booking stalls and missing forms.</w:t>
              <w:br/>
              <w:t>One report covering both issues; vendor requested investigation. [RG02]</w:t>
            </w:r>
          </w:p>
        </w:tc>
        <w:tc>
          <w:tcPr>
            <w:tcW w:type="dxa" w:w="3240"/>
            <w:vAlign w:val="top"/>
          </w:tcPr>
          <w:p>
            <w:pPr>
              <w:keepNext w:val="0"/>
              <w:spacing w:after="50" w:before="20" w:line="250" w:lineRule="auto"/>
            </w:pPr>
            <w:r>
              <w:rPr>
                <w:rFonts w:ascii="Arial" w:hAnsi="Arial"/>
                <w:sz w:val="18"/>
              </w:rPr>
              <w:t>Slow-network testing, error recovery, record version history and monitored booking completion.</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088"/>
        <w:gridCol w:w="4896"/>
        <w:gridCol w:w="3240"/>
      </w:tblGrid>
      <w:tr>
        <w:trPr>
          <w:tblHeader/>
        </w:trPr>
        <w:tc>
          <w:tcPr>
            <w:tcW w:type="dxa" w:w="2088"/>
            <w:vAlign w:val="top"/>
            <w:shd w:fill="173F50"/>
          </w:tcPr>
          <w:p>
            <w:pPr>
              <w:keepNext/>
              <w:spacing w:after="50" w:before="20" w:line="250" w:lineRule="auto"/>
            </w:pPr>
            <w:r>
              <w:rPr>
                <w:rFonts w:ascii="Arial" w:hAnsi="Arial"/>
                <w:b/>
                <w:color w:val="FFFFFF"/>
                <w:sz w:val="18"/>
              </w:rPr>
              <w:t>Signal and date</w:t>
            </w:r>
          </w:p>
        </w:tc>
        <w:tc>
          <w:tcPr>
            <w:tcW w:type="dxa" w:w="4896"/>
            <w:vAlign w:val="top"/>
            <w:shd w:fill="173F50"/>
          </w:tcPr>
          <w:p>
            <w:pPr>
              <w:keepNext/>
              <w:spacing w:after="50" w:before="20" w:line="250" w:lineRule="auto"/>
            </w:pPr>
            <w:r>
              <w:rPr>
                <w:rFonts w:ascii="Arial" w:hAnsi="Arial"/>
                <w:b/>
                <w:color w:val="FFFFFF"/>
                <w:sz w:val="18"/>
              </w:rPr>
              <w:t>Evidence and qualification</w:t>
            </w:r>
          </w:p>
        </w:tc>
        <w:tc>
          <w:tcPr>
            <w:tcW w:type="dxa" w:w="3240"/>
            <w:vAlign w:val="top"/>
            <w:shd w:fill="173F50"/>
          </w:tcPr>
          <w:p>
            <w:pPr>
              <w:keepNext/>
              <w:spacing w:after="50" w:before="20" w:line="250" w:lineRule="auto"/>
            </w:pPr>
            <w:r>
              <w:rPr>
                <w:rFonts w:ascii="Arial" w:hAnsi="Arial"/>
                <w:b/>
                <w:color w:val="FFFFFF"/>
                <w:sz w:val="18"/>
              </w:rPr>
              <w:t>Proposed response</w:t>
            </w:r>
          </w:p>
        </w:tc>
      </w:tr>
      <w:tr>
        <w:trPr>
          <w:cantSplit/>
        </w:trPr>
        <w:tc>
          <w:tcPr>
            <w:tcW w:type="dxa" w:w="2088"/>
            <w:vAlign w:val="top"/>
          </w:tcPr>
          <w:p>
            <w:pPr>
              <w:keepNext w:val="0"/>
              <w:spacing w:after="50" w:before="20" w:line="250" w:lineRule="auto"/>
            </w:pPr>
            <w:r>
              <w:rPr>
                <w:rFonts w:ascii="Arial" w:hAnsi="Arial"/>
                <w:b/>
                <w:sz w:val="18"/>
              </w:rPr>
              <w:t>GVQ04  Vagaro</w:t>
            </w:r>
            <w:r>
              <w:rPr>
                <w:rFonts w:ascii="Arial" w:hAnsi="Arial"/>
                <w:b w:val="0"/>
                <w:sz w:val="18"/>
              </w:rPr>
              <w:br/>
              <w:t>2026-10-15</w:t>
              <w:br/>
              <w:t>User report with vendor correction</w:t>
            </w:r>
          </w:p>
        </w:tc>
        <w:tc>
          <w:tcPr>
            <w:tcW w:type="dxa" w:w="4896"/>
            <w:vAlign w:val="top"/>
          </w:tcPr>
          <w:p>
            <w:pPr>
              <w:keepNext w:val="0"/>
              <w:spacing w:after="50" w:before="20" w:line="250" w:lineRule="auto"/>
            </w:pPr>
            <w:r>
              <w:rPr>
                <w:rFonts w:ascii="Arial" w:hAnsi="Arial"/>
                <w:sz w:val="18"/>
              </w:rPr>
              <w:t>Disputed attribution of social-acquired clients to marketplace fees.</w:t>
              <w:br/>
              <w:t>Vendor contested attribution and said the fee had changed. [RG02, VG14]</w:t>
            </w:r>
          </w:p>
        </w:tc>
        <w:tc>
          <w:tcPr>
            <w:tcW w:type="dxa" w:w="3240"/>
            <w:vAlign w:val="top"/>
          </w:tcPr>
          <w:p>
            <w:pPr>
              <w:keepNext w:val="0"/>
              <w:spacing w:after="50" w:before="20" w:line="250" w:lineRule="auto"/>
            </w:pPr>
            <w:r>
              <w:rPr>
                <w:rFonts w:ascii="Arial" w:hAnsi="Arial"/>
                <w:sz w:val="18"/>
              </w:rPr>
              <w:t>A client-visible attribution receipt, transparent direct/referral distinction and appeal workflow.</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088"/>
        <w:gridCol w:w="4896"/>
        <w:gridCol w:w="3240"/>
      </w:tblGrid>
      <w:tr>
        <w:trPr>
          <w:tblHeader/>
        </w:trPr>
        <w:tc>
          <w:tcPr>
            <w:tcW w:type="dxa" w:w="2088"/>
            <w:vAlign w:val="top"/>
            <w:shd w:fill="173F50"/>
          </w:tcPr>
          <w:p>
            <w:pPr>
              <w:keepNext/>
              <w:spacing w:after="50" w:before="20" w:line="250" w:lineRule="auto"/>
            </w:pPr>
            <w:r>
              <w:rPr>
                <w:rFonts w:ascii="Arial" w:hAnsi="Arial"/>
                <w:b/>
                <w:color w:val="FFFFFF"/>
                <w:sz w:val="18"/>
              </w:rPr>
              <w:t>Signal and date</w:t>
            </w:r>
          </w:p>
        </w:tc>
        <w:tc>
          <w:tcPr>
            <w:tcW w:type="dxa" w:w="4896"/>
            <w:vAlign w:val="top"/>
            <w:shd w:fill="173F50"/>
          </w:tcPr>
          <w:p>
            <w:pPr>
              <w:keepNext/>
              <w:spacing w:after="50" w:before="20" w:line="250" w:lineRule="auto"/>
            </w:pPr>
            <w:r>
              <w:rPr>
                <w:rFonts w:ascii="Arial" w:hAnsi="Arial"/>
                <w:b/>
                <w:color w:val="FFFFFF"/>
                <w:sz w:val="18"/>
              </w:rPr>
              <w:t>Evidence and qualification</w:t>
            </w:r>
          </w:p>
        </w:tc>
        <w:tc>
          <w:tcPr>
            <w:tcW w:type="dxa" w:w="3240"/>
            <w:vAlign w:val="top"/>
            <w:shd w:fill="173F50"/>
          </w:tcPr>
          <w:p>
            <w:pPr>
              <w:keepNext/>
              <w:spacing w:after="50" w:before="20" w:line="250" w:lineRule="auto"/>
            </w:pPr>
            <w:r>
              <w:rPr>
                <w:rFonts w:ascii="Arial" w:hAnsi="Arial"/>
                <w:b/>
                <w:color w:val="FFFFFF"/>
                <w:sz w:val="18"/>
              </w:rPr>
              <w:t>Proposed response</w:t>
            </w:r>
          </w:p>
        </w:tc>
      </w:tr>
      <w:tr>
        <w:trPr>
          <w:cantSplit/>
        </w:trPr>
        <w:tc>
          <w:tcPr>
            <w:tcW w:type="dxa" w:w="2088"/>
            <w:vAlign w:val="top"/>
          </w:tcPr>
          <w:p>
            <w:pPr>
              <w:keepNext w:val="0"/>
              <w:spacing w:after="50" w:before="20" w:line="250" w:lineRule="auto"/>
            </w:pPr>
            <w:r>
              <w:rPr>
                <w:rFonts w:ascii="Arial" w:hAnsi="Arial"/>
                <w:b/>
                <w:sz w:val="18"/>
              </w:rPr>
              <w:t>GVQ05  Vagaro</w:t>
            </w:r>
            <w:r>
              <w:rPr>
                <w:rFonts w:ascii="Arial" w:hAnsi="Arial"/>
                <w:b w:val="0"/>
                <w:sz w:val="18"/>
              </w:rPr>
              <w:br/>
              <w:t>2026-10-13</w:t>
              <w:br/>
              <w:t>User report; company offered troubleshooting</w:t>
            </w:r>
          </w:p>
        </w:tc>
        <w:tc>
          <w:tcPr>
            <w:tcW w:type="dxa" w:w="4896"/>
            <w:vAlign w:val="top"/>
          </w:tcPr>
          <w:p>
            <w:pPr>
              <w:keepNext w:val="0"/>
              <w:spacing w:after="50" w:before="20" w:line="250" w:lineRule="auto"/>
            </w:pPr>
            <w:r>
              <w:rPr>
                <w:rFonts w:ascii="Arial" w:hAnsi="Arial"/>
                <w:sz w:val="18"/>
              </w:rPr>
              <w:t>Reported awkwardly oriented or unreadable printed reports on Apple devices.</w:t>
              <w:br/>
              <w:t>One configuration report; vendor offered troubleshooting. [RG02]</w:t>
            </w:r>
          </w:p>
        </w:tc>
        <w:tc>
          <w:tcPr>
            <w:tcW w:type="dxa" w:w="3240"/>
            <w:vAlign w:val="top"/>
          </w:tcPr>
          <w:p>
            <w:pPr>
              <w:keepNext w:val="0"/>
              <w:spacing w:after="50" w:before="20" w:line="250" w:lineRule="auto"/>
            </w:pPr>
            <w:r>
              <w:rPr>
                <w:rFonts w:ascii="Arial" w:hAnsi="Arial"/>
                <w:sz w:val="18"/>
              </w:rPr>
              <w:t>Responsive reports, paper previews, accessible PDF export and tested printing.</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088"/>
        <w:gridCol w:w="4896"/>
        <w:gridCol w:w="3240"/>
      </w:tblGrid>
      <w:tr>
        <w:trPr>
          <w:tblHeader/>
        </w:trPr>
        <w:tc>
          <w:tcPr>
            <w:tcW w:type="dxa" w:w="2088"/>
            <w:vAlign w:val="top"/>
            <w:shd w:fill="173F50"/>
          </w:tcPr>
          <w:p>
            <w:pPr>
              <w:keepNext/>
              <w:spacing w:after="50" w:before="20" w:line="250" w:lineRule="auto"/>
            </w:pPr>
            <w:r>
              <w:rPr>
                <w:rFonts w:ascii="Arial" w:hAnsi="Arial"/>
                <w:b/>
                <w:color w:val="FFFFFF"/>
                <w:sz w:val="18"/>
              </w:rPr>
              <w:t>Signal and date</w:t>
            </w:r>
          </w:p>
        </w:tc>
        <w:tc>
          <w:tcPr>
            <w:tcW w:type="dxa" w:w="4896"/>
            <w:vAlign w:val="top"/>
            <w:shd w:fill="173F50"/>
          </w:tcPr>
          <w:p>
            <w:pPr>
              <w:keepNext/>
              <w:spacing w:after="50" w:before="20" w:line="250" w:lineRule="auto"/>
            </w:pPr>
            <w:r>
              <w:rPr>
                <w:rFonts w:ascii="Arial" w:hAnsi="Arial"/>
                <w:b/>
                <w:color w:val="FFFFFF"/>
                <w:sz w:val="18"/>
              </w:rPr>
              <w:t>Evidence and qualification</w:t>
            </w:r>
          </w:p>
        </w:tc>
        <w:tc>
          <w:tcPr>
            <w:tcW w:type="dxa" w:w="3240"/>
            <w:vAlign w:val="top"/>
            <w:shd w:fill="173F50"/>
          </w:tcPr>
          <w:p>
            <w:pPr>
              <w:keepNext/>
              <w:spacing w:after="50" w:before="20" w:line="250" w:lineRule="auto"/>
            </w:pPr>
            <w:r>
              <w:rPr>
                <w:rFonts w:ascii="Arial" w:hAnsi="Arial"/>
                <w:b/>
                <w:color w:val="FFFFFF"/>
                <w:sz w:val="18"/>
              </w:rPr>
              <w:t>Proposed response</w:t>
            </w:r>
          </w:p>
        </w:tc>
      </w:tr>
      <w:tr>
        <w:trPr>
          <w:cantSplit/>
        </w:trPr>
        <w:tc>
          <w:tcPr>
            <w:tcW w:type="dxa" w:w="2088"/>
            <w:vAlign w:val="top"/>
          </w:tcPr>
          <w:p>
            <w:pPr>
              <w:keepNext w:val="0"/>
              <w:spacing w:after="50" w:before="20" w:line="250" w:lineRule="auto"/>
            </w:pPr>
            <w:r>
              <w:rPr>
                <w:rFonts w:ascii="Arial" w:hAnsi="Arial"/>
                <w:b/>
                <w:sz w:val="18"/>
              </w:rPr>
              <w:t>GVQ06  Vagaro</w:t>
            </w:r>
            <w:r>
              <w:rPr>
                <w:rFonts w:ascii="Arial" w:hAnsi="Arial"/>
                <w:b w:val="0"/>
                <w:sz w:val="18"/>
              </w:rPr>
              <w:br/>
              <w:t>2026-10-07</w:t>
              <w:br/>
              <w:t>User report corroborated in vendor reply</w:t>
            </w:r>
          </w:p>
        </w:tc>
        <w:tc>
          <w:tcPr>
            <w:tcW w:type="dxa" w:w="4896"/>
            <w:vAlign w:val="top"/>
          </w:tcPr>
          <w:p>
            <w:pPr>
              <w:keepNext w:val="0"/>
              <w:spacing w:after="50" w:before="20" w:line="250" w:lineRule="auto"/>
            </w:pPr>
            <w:r>
              <w:rPr>
                <w:rFonts w:ascii="Arial" w:hAnsi="Arial"/>
                <w:sz w:val="18"/>
              </w:rPr>
              <w:t>Past appointment access changed after employee-calendar reassignment.</w:t>
              <w:br/>
              <w:t>Vendor supplied a report workaround; not confirmed data deletion. [RG02]</w:t>
            </w:r>
          </w:p>
        </w:tc>
        <w:tc>
          <w:tcPr>
            <w:tcW w:type="dxa" w:w="3240"/>
            <w:vAlign w:val="top"/>
          </w:tcPr>
          <w:p>
            <w:pPr>
              <w:keepNext w:val="0"/>
              <w:spacing w:after="50" w:before="20" w:line="250" w:lineRule="auto"/>
            </w:pPr>
            <w:r>
              <w:rPr>
                <w:rFonts w:ascii="Arial" w:hAnsi="Arial"/>
                <w:sz w:val="18"/>
              </w:rPr>
              <w:t>Stable staff identities, archived calendars, preview of reassignment effects and reversible migration.</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088"/>
        <w:gridCol w:w="4896"/>
        <w:gridCol w:w="3240"/>
      </w:tblGrid>
      <w:tr>
        <w:trPr>
          <w:tblHeader/>
        </w:trPr>
        <w:tc>
          <w:tcPr>
            <w:tcW w:type="dxa" w:w="2088"/>
            <w:vAlign w:val="top"/>
            <w:shd w:fill="173F50"/>
          </w:tcPr>
          <w:p>
            <w:pPr>
              <w:keepNext/>
              <w:spacing w:after="50" w:before="20" w:line="250" w:lineRule="auto"/>
            </w:pPr>
            <w:r>
              <w:rPr>
                <w:rFonts w:ascii="Arial" w:hAnsi="Arial"/>
                <w:b/>
                <w:color w:val="FFFFFF"/>
                <w:sz w:val="18"/>
              </w:rPr>
              <w:t>Signal and date</w:t>
            </w:r>
          </w:p>
        </w:tc>
        <w:tc>
          <w:tcPr>
            <w:tcW w:type="dxa" w:w="4896"/>
            <w:vAlign w:val="top"/>
            <w:shd w:fill="173F50"/>
          </w:tcPr>
          <w:p>
            <w:pPr>
              <w:keepNext/>
              <w:spacing w:after="50" w:before="20" w:line="250" w:lineRule="auto"/>
            </w:pPr>
            <w:r>
              <w:rPr>
                <w:rFonts w:ascii="Arial" w:hAnsi="Arial"/>
                <w:b/>
                <w:color w:val="FFFFFF"/>
                <w:sz w:val="18"/>
              </w:rPr>
              <w:t>Evidence and qualification</w:t>
            </w:r>
          </w:p>
        </w:tc>
        <w:tc>
          <w:tcPr>
            <w:tcW w:type="dxa" w:w="3240"/>
            <w:vAlign w:val="top"/>
            <w:shd w:fill="173F50"/>
          </w:tcPr>
          <w:p>
            <w:pPr>
              <w:keepNext/>
              <w:spacing w:after="50" w:before="20" w:line="250" w:lineRule="auto"/>
            </w:pPr>
            <w:r>
              <w:rPr>
                <w:rFonts w:ascii="Arial" w:hAnsi="Arial"/>
                <w:b/>
                <w:color w:val="FFFFFF"/>
                <w:sz w:val="18"/>
              </w:rPr>
              <w:t>Proposed response</w:t>
            </w:r>
          </w:p>
        </w:tc>
      </w:tr>
      <w:tr>
        <w:trPr>
          <w:cantSplit/>
        </w:trPr>
        <w:tc>
          <w:tcPr>
            <w:tcW w:type="dxa" w:w="2088"/>
            <w:vAlign w:val="top"/>
          </w:tcPr>
          <w:p>
            <w:pPr>
              <w:keepNext w:val="0"/>
              <w:spacing w:after="50" w:before="20" w:line="250" w:lineRule="auto"/>
            </w:pPr>
            <w:r>
              <w:rPr>
                <w:rFonts w:ascii="Arial" w:hAnsi="Arial"/>
                <w:b/>
                <w:sz w:val="18"/>
              </w:rPr>
              <w:t>GVQ07  Vagaro</w:t>
            </w:r>
            <w:r>
              <w:rPr>
                <w:rFonts w:ascii="Arial" w:hAnsi="Arial"/>
                <w:b w:val="0"/>
                <w:sz w:val="18"/>
              </w:rPr>
              <w:br/>
              <w:t>Experience 2026-09-19; review 2026-10-09</w:t>
              <w:br/>
              <w:t>User allegation; company says it followed up</w:t>
            </w:r>
          </w:p>
        </w:tc>
        <w:tc>
          <w:tcPr>
            <w:tcW w:type="dxa" w:w="4896"/>
            <w:vAlign w:val="top"/>
          </w:tcPr>
          <w:p>
            <w:pPr>
              <w:keepNext w:val="0"/>
              <w:spacing w:after="50" w:before="20" w:line="250" w:lineRule="auto"/>
            </w:pPr>
            <w:r>
              <w:rPr>
                <w:rFonts w:ascii="Arial" w:hAnsi="Arial"/>
                <w:sz w:val="18"/>
              </w:rPr>
              <w:t>Disputed unwanted add-on charges during migration.</w:t>
              <w:br/>
              <w:t>Unverified allegation; vendor said it reviewed the case privately. [RG02]</w:t>
            </w:r>
          </w:p>
        </w:tc>
        <w:tc>
          <w:tcPr>
            <w:tcW w:type="dxa" w:w="3240"/>
            <w:vAlign w:val="top"/>
          </w:tcPr>
          <w:p>
            <w:pPr>
              <w:keepNext w:val="0"/>
              <w:spacing w:after="50" w:before="20" w:line="250" w:lineRule="auto"/>
            </w:pPr>
            <w:r>
              <w:rPr>
                <w:rFonts w:ascii="Arial" w:hAnsi="Arial"/>
                <w:sz w:val="18"/>
              </w:rPr>
              <w:t>Explicit add-on consent, side-by-side bill preview, expiry alerts and activation audit log.</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088"/>
        <w:gridCol w:w="4896"/>
        <w:gridCol w:w="3240"/>
      </w:tblGrid>
      <w:tr>
        <w:trPr>
          <w:tblHeader/>
        </w:trPr>
        <w:tc>
          <w:tcPr>
            <w:tcW w:type="dxa" w:w="2088"/>
            <w:vAlign w:val="top"/>
            <w:shd w:fill="173F50"/>
          </w:tcPr>
          <w:p>
            <w:pPr>
              <w:keepNext/>
              <w:spacing w:after="50" w:before="20" w:line="250" w:lineRule="auto"/>
            </w:pPr>
            <w:r>
              <w:rPr>
                <w:rFonts w:ascii="Arial" w:hAnsi="Arial"/>
                <w:b/>
                <w:color w:val="FFFFFF"/>
                <w:sz w:val="18"/>
              </w:rPr>
              <w:t>Signal and date</w:t>
            </w:r>
          </w:p>
        </w:tc>
        <w:tc>
          <w:tcPr>
            <w:tcW w:type="dxa" w:w="4896"/>
            <w:vAlign w:val="top"/>
            <w:shd w:fill="173F50"/>
          </w:tcPr>
          <w:p>
            <w:pPr>
              <w:keepNext/>
              <w:spacing w:after="50" w:before="20" w:line="250" w:lineRule="auto"/>
            </w:pPr>
            <w:r>
              <w:rPr>
                <w:rFonts w:ascii="Arial" w:hAnsi="Arial"/>
                <w:b/>
                <w:color w:val="FFFFFF"/>
                <w:sz w:val="18"/>
              </w:rPr>
              <w:t>Evidence and qualification</w:t>
            </w:r>
          </w:p>
        </w:tc>
        <w:tc>
          <w:tcPr>
            <w:tcW w:type="dxa" w:w="3240"/>
            <w:vAlign w:val="top"/>
            <w:shd w:fill="173F50"/>
          </w:tcPr>
          <w:p>
            <w:pPr>
              <w:keepNext/>
              <w:spacing w:after="50" w:before="20" w:line="250" w:lineRule="auto"/>
            </w:pPr>
            <w:r>
              <w:rPr>
                <w:rFonts w:ascii="Arial" w:hAnsi="Arial"/>
                <w:b/>
                <w:color w:val="FFFFFF"/>
                <w:sz w:val="18"/>
              </w:rPr>
              <w:t>Proposed response</w:t>
            </w:r>
          </w:p>
        </w:tc>
      </w:tr>
      <w:tr>
        <w:trPr>
          <w:cantSplit/>
        </w:trPr>
        <w:tc>
          <w:tcPr>
            <w:tcW w:type="dxa" w:w="2088"/>
            <w:vAlign w:val="top"/>
          </w:tcPr>
          <w:p>
            <w:pPr>
              <w:keepNext w:val="0"/>
              <w:spacing w:after="50" w:before="20" w:line="250" w:lineRule="auto"/>
            </w:pPr>
            <w:r>
              <w:rPr>
                <w:rFonts w:ascii="Arial" w:hAnsi="Arial"/>
                <w:b/>
                <w:sz w:val="18"/>
              </w:rPr>
              <w:t>GVQ08  GlossGenius</w:t>
            </w:r>
            <w:r>
              <w:rPr>
                <w:rFonts w:ascii="Arial" w:hAnsi="Arial"/>
                <w:b w:val="0"/>
                <w:sz w:val="18"/>
              </w:rPr>
              <w:br/>
              <w:t>2023-05-15</w:t>
              <w:br/>
              <w:t>Historical user report</w:t>
            </w:r>
          </w:p>
        </w:tc>
        <w:tc>
          <w:tcPr>
            <w:tcW w:type="dxa" w:w="4896"/>
            <w:vAlign w:val="top"/>
          </w:tcPr>
          <w:p>
            <w:pPr>
              <w:keepNext w:val="0"/>
              <w:spacing w:after="50" w:before="20" w:line="250" w:lineRule="auto"/>
            </w:pPr>
            <w:r>
              <w:rPr>
                <w:rFonts w:ascii="Arial" w:hAnsi="Arial"/>
                <w:sz w:val="18"/>
              </w:rPr>
              <w:t>A reviewer liked forms but found per-question service assignment difficult to manage.</w:t>
              <w:br/>
              <w:t>Old review; current interface may differ. Invoicing/payment-link complaints from that review are not current absence evidence. [RG03, GG03]</w:t>
            </w:r>
          </w:p>
        </w:tc>
        <w:tc>
          <w:tcPr>
            <w:tcW w:type="dxa" w:w="3240"/>
            <w:vAlign w:val="top"/>
          </w:tcPr>
          <w:p>
            <w:pPr>
              <w:keepNext w:val="0"/>
              <w:spacing w:after="50" w:before="20" w:line="250" w:lineRule="auto"/>
            </w:pPr>
            <w:r>
              <w:rPr>
                <w:rFonts w:ascii="Arial" w:hAnsi="Arial"/>
                <w:sz w:val="18"/>
              </w:rPr>
              <w:t>Form sections, service bundles, reusable question library, preview-as-client and bulk assignment.</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088"/>
        <w:gridCol w:w="4896"/>
        <w:gridCol w:w="3240"/>
      </w:tblGrid>
      <w:tr>
        <w:trPr>
          <w:tblHeader/>
        </w:trPr>
        <w:tc>
          <w:tcPr>
            <w:tcW w:type="dxa" w:w="2088"/>
            <w:vAlign w:val="top"/>
            <w:shd w:fill="173F50"/>
          </w:tcPr>
          <w:p>
            <w:pPr>
              <w:keepNext/>
              <w:spacing w:after="50" w:before="20" w:line="250" w:lineRule="auto"/>
            </w:pPr>
            <w:r>
              <w:rPr>
                <w:rFonts w:ascii="Arial" w:hAnsi="Arial"/>
                <w:b/>
                <w:color w:val="FFFFFF"/>
                <w:sz w:val="18"/>
              </w:rPr>
              <w:t>Signal and date</w:t>
            </w:r>
          </w:p>
        </w:tc>
        <w:tc>
          <w:tcPr>
            <w:tcW w:type="dxa" w:w="4896"/>
            <w:vAlign w:val="top"/>
            <w:shd w:fill="173F50"/>
          </w:tcPr>
          <w:p>
            <w:pPr>
              <w:keepNext/>
              <w:spacing w:after="50" w:before="20" w:line="250" w:lineRule="auto"/>
            </w:pPr>
            <w:r>
              <w:rPr>
                <w:rFonts w:ascii="Arial" w:hAnsi="Arial"/>
                <w:b/>
                <w:color w:val="FFFFFF"/>
                <w:sz w:val="18"/>
              </w:rPr>
              <w:t>Evidence and qualification</w:t>
            </w:r>
          </w:p>
        </w:tc>
        <w:tc>
          <w:tcPr>
            <w:tcW w:type="dxa" w:w="3240"/>
            <w:vAlign w:val="top"/>
            <w:shd w:fill="173F50"/>
          </w:tcPr>
          <w:p>
            <w:pPr>
              <w:keepNext/>
              <w:spacing w:after="50" w:before="20" w:line="250" w:lineRule="auto"/>
            </w:pPr>
            <w:r>
              <w:rPr>
                <w:rFonts w:ascii="Arial" w:hAnsi="Arial"/>
                <w:b/>
                <w:color w:val="FFFFFF"/>
                <w:sz w:val="18"/>
              </w:rPr>
              <w:t>Proposed response</w:t>
            </w:r>
          </w:p>
        </w:tc>
      </w:tr>
      <w:tr>
        <w:trPr>
          <w:cantSplit/>
        </w:trPr>
        <w:tc>
          <w:tcPr>
            <w:tcW w:type="dxa" w:w="2088"/>
            <w:vAlign w:val="top"/>
          </w:tcPr>
          <w:p>
            <w:pPr>
              <w:keepNext w:val="0"/>
              <w:spacing w:after="50" w:before="20" w:line="250" w:lineRule="auto"/>
            </w:pPr>
            <w:r>
              <w:rPr>
                <w:rFonts w:ascii="Arial" w:hAnsi="Arial"/>
                <w:b/>
                <w:sz w:val="18"/>
              </w:rPr>
              <w:t>GVQ09  GlossGenius</w:t>
            </w:r>
            <w:r>
              <w:rPr>
                <w:rFonts w:ascii="Arial" w:hAnsi="Arial"/>
                <w:b w:val="0"/>
                <w:sz w:val="18"/>
              </w:rPr>
              <w:br/>
              <w:t>2024-05-30</w:t>
              <w:br/>
              <w:t>Historical user report contested by developer</w:t>
            </w:r>
          </w:p>
        </w:tc>
        <w:tc>
          <w:tcPr>
            <w:tcW w:type="dxa" w:w="4896"/>
            <w:vAlign w:val="top"/>
          </w:tcPr>
          <w:p>
            <w:pPr>
              <w:keepNext w:val="0"/>
              <w:spacing w:after="50" w:before="20" w:line="250" w:lineRule="auto"/>
            </w:pPr>
            <w:r>
              <w:rPr>
                <w:rFonts w:ascii="Arial" w:hAnsi="Arial"/>
                <w:sz w:val="18"/>
              </w:rPr>
              <w:t>A parent booking multiple haircuts encountered confusing booking/card validation.</w:t>
              <w:br/>
              <w:t>Developer said double booking was supported; this is discoverability/friction evidence, not confirmed absence. [RG03]</w:t>
            </w:r>
          </w:p>
        </w:tc>
        <w:tc>
          <w:tcPr>
            <w:tcW w:type="dxa" w:w="3240"/>
            <w:vAlign w:val="top"/>
          </w:tcPr>
          <w:p>
            <w:pPr>
              <w:keepNext w:val="0"/>
              <w:spacing w:after="50" w:before="20" w:line="250" w:lineRule="auto"/>
            </w:pPr>
            <w:r>
              <w:rPr>
                <w:rFonts w:ascii="Arial" w:hAnsi="Arial"/>
                <w:sz w:val="18"/>
              </w:rPr>
              <w:t>Household booking cart, guardian/contact distinction and actionable payment errors.</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088"/>
        <w:gridCol w:w="4896"/>
        <w:gridCol w:w="3240"/>
      </w:tblGrid>
      <w:tr>
        <w:trPr>
          <w:tblHeader/>
        </w:trPr>
        <w:tc>
          <w:tcPr>
            <w:tcW w:type="dxa" w:w="2088"/>
            <w:vAlign w:val="top"/>
            <w:shd w:fill="173F50"/>
          </w:tcPr>
          <w:p>
            <w:pPr>
              <w:keepNext/>
              <w:spacing w:after="50" w:before="20" w:line="250" w:lineRule="auto"/>
            </w:pPr>
            <w:r>
              <w:rPr>
                <w:rFonts w:ascii="Arial" w:hAnsi="Arial"/>
                <w:b/>
                <w:color w:val="FFFFFF"/>
                <w:sz w:val="18"/>
              </w:rPr>
              <w:t>Signal and date</w:t>
            </w:r>
          </w:p>
        </w:tc>
        <w:tc>
          <w:tcPr>
            <w:tcW w:type="dxa" w:w="4896"/>
            <w:vAlign w:val="top"/>
            <w:shd w:fill="173F50"/>
          </w:tcPr>
          <w:p>
            <w:pPr>
              <w:keepNext/>
              <w:spacing w:after="50" w:before="20" w:line="250" w:lineRule="auto"/>
            </w:pPr>
            <w:r>
              <w:rPr>
                <w:rFonts w:ascii="Arial" w:hAnsi="Arial"/>
                <w:b/>
                <w:color w:val="FFFFFF"/>
                <w:sz w:val="18"/>
              </w:rPr>
              <w:t>Evidence and qualification</w:t>
            </w:r>
          </w:p>
        </w:tc>
        <w:tc>
          <w:tcPr>
            <w:tcW w:type="dxa" w:w="3240"/>
            <w:vAlign w:val="top"/>
            <w:shd w:fill="173F50"/>
          </w:tcPr>
          <w:p>
            <w:pPr>
              <w:keepNext/>
              <w:spacing w:after="50" w:before="20" w:line="250" w:lineRule="auto"/>
            </w:pPr>
            <w:r>
              <w:rPr>
                <w:rFonts w:ascii="Arial" w:hAnsi="Arial"/>
                <w:b/>
                <w:color w:val="FFFFFF"/>
                <w:sz w:val="18"/>
              </w:rPr>
              <w:t>Proposed response</w:t>
            </w:r>
          </w:p>
        </w:tc>
      </w:tr>
      <w:tr>
        <w:trPr>
          <w:cantSplit/>
        </w:trPr>
        <w:tc>
          <w:tcPr>
            <w:tcW w:type="dxa" w:w="2088"/>
            <w:vAlign w:val="top"/>
          </w:tcPr>
          <w:p>
            <w:pPr>
              <w:keepNext w:val="0"/>
              <w:spacing w:after="50" w:before="20" w:line="250" w:lineRule="auto"/>
            </w:pPr>
            <w:r>
              <w:rPr>
                <w:rFonts w:ascii="Arial" w:hAnsi="Arial"/>
                <w:b/>
                <w:sz w:val="18"/>
              </w:rPr>
              <w:t>GVQ10  Vagaro / salon tools</w:t>
            </w:r>
            <w:r>
              <w:rPr>
                <w:rFonts w:ascii="Arial" w:hAnsi="Arial"/>
                <w:b w:val="0"/>
                <w:sz w:val="18"/>
              </w:rPr>
              <w:br/>
              <w:t>2025 thread; exact day not established</w:t>
              <w:br/>
              <w:t>Historical community signal</w:t>
            </w:r>
          </w:p>
        </w:tc>
        <w:tc>
          <w:tcPr>
            <w:tcW w:type="dxa" w:w="4896"/>
            <w:vAlign w:val="top"/>
          </w:tcPr>
          <w:p>
            <w:pPr>
              <w:keepNext w:val="0"/>
              <w:spacing w:after="50" w:before="20" w:line="250" w:lineRule="auto"/>
            </w:pPr>
            <w:r>
              <w:rPr>
                <w:rFonts w:ascii="Arial" w:hAnsi="Arial"/>
                <w:sz w:val="18"/>
              </w:rPr>
              <w:t>An esthetician reported clients messaging instead of completing booking themselves.</w:t>
              <w:br/>
              <w:t>Anonymous, self-selected thread. Comments already corrected old GlossGenius package/forms claims. [RG04]</w:t>
            </w:r>
          </w:p>
        </w:tc>
        <w:tc>
          <w:tcPr>
            <w:tcW w:type="dxa" w:w="3240"/>
            <w:vAlign w:val="top"/>
          </w:tcPr>
          <w:p>
            <w:pPr>
              <w:keepNext w:val="0"/>
              <w:spacing w:after="50" w:before="20" w:line="250" w:lineRule="auto"/>
            </w:pPr>
            <w:r>
              <w:rPr>
                <w:rFonts w:ascii="Arial" w:hAnsi="Arial"/>
                <w:sz w:val="18"/>
              </w:rPr>
              <w:t>Measure assisted booking rate and test client task completion, not owner UI alone.</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088"/>
        <w:gridCol w:w="4896"/>
        <w:gridCol w:w="3240"/>
      </w:tblGrid>
      <w:tr>
        <w:trPr>
          <w:tblHeader/>
        </w:trPr>
        <w:tc>
          <w:tcPr>
            <w:tcW w:type="dxa" w:w="2088"/>
            <w:vAlign w:val="top"/>
            <w:shd w:fill="173F50"/>
          </w:tcPr>
          <w:p>
            <w:pPr>
              <w:keepNext/>
              <w:spacing w:after="50" w:before="20" w:line="250" w:lineRule="auto"/>
            </w:pPr>
            <w:r>
              <w:rPr>
                <w:rFonts w:ascii="Arial" w:hAnsi="Arial"/>
                <w:b/>
                <w:color w:val="FFFFFF"/>
                <w:sz w:val="18"/>
              </w:rPr>
              <w:t>Signal and date</w:t>
            </w:r>
          </w:p>
        </w:tc>
        <w:tc>
          <w:tcPr>
            <w:tcW w:type="dxa" w:w="4896"/>
            <w:vAlign w:val="top"/>
            <w:shd w:fill="173F50"/>
          </w:tcPr>
          <w:p>
            <w:pPr>
              <w:keepNext/>
              <w:spacing w:after="50" w:before="20" w:line="250" w:lineRule="auto"/>
            </w:pPr>
            <w:r>
              <w:rPr>
                <w:rFonts w:ascii="Arial" w:hAnsi="Arial"/>
                <w:b/>
                <w:color w:val="FFFFFF"/>
                <w:sz w:val="18"/>
              </w:rPr>
              <w:t>Evidence and qualification</w:t>
            </w:r>
          </w:p>
        </w:tc>
        <w:tc>
          <w:tcPr>
            <w:tcW w:type="dxa" w:w="3240"/>
            <w:vAlign w:val="top"/>
            <w:shd w:fill="173F50"/>
          </w:tcPr>
          <w:p>
            <w:pPr>
              <w:keepNext/>
              <w:spacing w:after="50" w:before="20" w:line="250" w:lineRule="auto"/>
            </w:pPr>
            <w:r>
              <w:rPr>
                <w:rFonts w:ascii="Arial" w:hAnsi="Arial"/>
                <w:b/>
                <w:color w:val="FFFFFF"/>
                <w:sz w:val="18"/>
              </w:rPr>
              <w:t>Proposed response</w:t>
            </w:r>
          </w:p>
        </w:tc>
      </w:tr>
      <w:tr>
        <w:trPr>
          <w:cantSplit/>
        </w:trPr>
        <w:tc>
          <w:tcPr>
            <w:tcW w:type="dxa" w:w="2088"/>
            <w:vAlign w:val="top"/>
          </w:tcPr>
          <w:p>
            <w:pPr>
              <w:keepNext w:val="0"/>
              <w:spacing w:after="50" w:before="20" w:line="250" w:lineRule="auto"/>
            </w:pPr>
            <w:r>
              <w:rPr>
                <w:rFonts w:ascii="Arial" w:hAnsi="Arial"/>
                <w:b/>
                <w:sz w:val="18"/>
              </w:rPr>
              <w:t>GVQ11  Vagaro</w:t>
            </w:r>
            <w:r>
              <w:rPr>
                <w:rFonts w:ascii="Arial" w:hAnsi="Arial"/>
                <w:b w:val="0"/>
                <w:sz w:val="18"/>
              </w:rPr>
              <w:br/>
              <w:t>2026-07-03</w:t>
              <w:br/>
              <w:t>User comment on official help</w:t>
            </w:r>
          </w:p>
        </w:tc>
        <w:tc>
          <w:tcPr>
            <w:tcW w:type="dxa" w:w="4896"/>
            <w:vAlign w:val="top"/>
          </w:tcPr>
          <w:p>
            <w:pPr>
              <w:keepNext w:val="0"/>
              <w:spacing w:after="50" w:before="20" w:line="250" w:lineRule="auto"/>
            </w:pPr>
            <w:r>
              <w:rPr>
                <w:rFonts w:ascii="Arial" w:hAnsi="Arial"/>
                <w:sz w:val="18"/>
              </w:rPr>
              <w:t>A business wanted after-hours AI handoff to state when a human would actually respond.</w:t>
              <w:br/>
              <w:t>One feature request; no evidence of overall demand frequency. [VG11]</w:t>
            </w:r>
          </w:p>
        </w:tc>
        <w:tc>
          <w:tcPr>
            <w:tcW w:type="dxa" w:w="3240"/>
            <w:vAlign w:val="top"/>
          </w:tcPr>
          <w:p>
            <w:pPr>
              <w:keepNext w:val="0"/>
              <w:spacing w:after="50" w:before="20" w:line="250" w:lineRule="auto"/>
            </w:pPr>
            <w:r>
              <w:rPr>
                <w:rFonts w:ascii="Arial" w:hAnsi="Arial"/>
                <w:sz w:val="18"/>
              </w:rPr>
              <w:t>Honest staffed hours, response-time promise, callback queue and emergency-safe wording.</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088"/>
        <w:gridCol w:w="4896"/>
        <w:gridCol w:w="3240"/>
      </w:tblGrid>
      <w:tr>
        <w:trPr>
          <w:tblHeader/>
        </w:trPr>
        <w:tc>
          <w:tcPr>
            <w:tcW w:type="dxa" w:w="2088"/>
            <w:vAlign w:val="top"/>
            <w:shd w:fill="173F50"/>
          </w:tcPr>
          <w:p>
            <w:pPr>
              <w:keepNext/>
              <w:spacing w:after="50" w:before="20" w:line="250" w:lineRule="auto"/>
            </w:pPr>
            <w:r>
              <w:rPr>
                <w:rFonts w:ascii="Arial" w:hAnsi="Arial"/>
                <w:b/>
                <w:color w:val="FFFFFF"/>
                <w:sz w:val="18"/>
              </w:rPr>
              <w:t>Signal and date</w:t>
            </w:r>
          </w:p>
        </w:tc>
        <w:tc>
          <w:tcPr>
            <w:tcW w:type="dxa" w:w="4896"/>
            <w:vAlign w:val="top"/>
            <w:shd w:fill="173F50"/>
          </w:tcPr>
          <w:p>
            <w:pPr>
              <w:keepNext/>
              <w:spacing w:after="50" w:before="20" w:line="250" w:lineRule="auto"/>
            </w:pPr>
            <w:r>
              <w:rPr>
                <w:rFonts w:ascii="Arial" w:hAnsi="Arial"/>
                <w:b/>
                <w:color w:val="FFFFFF"/>
                <w:sz w:val="18"/>
              </w:rPr>
              <w:t>Evidence and qualification</w:t>
            </w:r>
          </w:p>
        </w:tc>
        <w:tc>
          <w:tcPr>
            <w:tcW w:type="dxa" w:w="3240"/>
            <w:vAlign w:val="top"/>
            <w:shd w:fill="173F50"/>
          </w:tcPr>
          <w:p>
            <w:pPr>
              <w:keepNext/>
              <w:spacing w:after="50" w:before="20" w:line="250" w:lineRule="auto"/>
            </w:pPr>
            <w:r>
              <w:rPr>
                <w:rFonts w:ascii="Arial" w:hAnsi="Arial"/>
                <w:b/>
                <w:color w:val="FFFFFF"/>
                <w:sz w:val="18"/>
              </w:rPr>
              <w:t>Proposed response</w:t>
            </w:r>
          </w:p>
        </w:tc>
      </w:tr>
      <w:tr>
        <w:trPr>
          <w:cantSplit/>
        </w:trPr>
        <w:tc>
          <w:tcPr>
            <w:tcW w:type="dxa" w:w="2088"/>
            <w:vAlign w:val="top"/>
          </w:tcPr>
          <w:p>
            <w:pPr>
              <w:keepNext w:val="0"/>
              <w:spacing w:after="50" w:before="20" w:line="250" w:lineRule="auto"/>
            </w:pPr>
            <w:r>
              <w:rPr>
                <w:rFonts w:ascii="Arial" w:hAnsi="Arial"/>
                <w:b/>
                <w:sz w:val="18"/>
              </w:rPr>
              <w:t>GVQ12  Vagaro</w:t>
            </w:r>
            <w:r>
              <w:rPr>
                <w:rFonts w:ascii="Arial" w:hAnsi="Arial"/>
                <w:b w:val="0"/>
                <w:sz w:val="18"/>
              </w:rPr>
              <w:br/>
              <w:t>Help updated 2026-10-23</w:t>
              <w:br/>
              <w:t>Documented channel boundary</w:t>
            </w:r>
          </w:p>
        </w:tc>
        <w:tc>
          <w:tcPr>
            <w:tcW w:type="dxa" w:w="4896"/>
            <w:vAlign w:val="top"/>
          </w:tcPr>
          <w:p>
            <w:pPr>
              <w:keepNext w:val="0"/>
              <w:spacing w:after="50" w:before="20" w:line="250" w:lineRule="auto"/>
            </w:pPr>
            <w:r>
              <w:rPr>
                <w:rFonts w:ascii="Arial" w:hAnsi="Arial"/>
                <w:sz w:val="18"/>
              </w:rPr>
              <w:t>Vera can act on appointments in web chat; SMS booking/rescheduling directs users to a link.</w:t>
              <w:br/>
              <w:t>Verified current documentation boundary, not a user complaint or proof nobody else solves it. [VG11]</w:t>
            </w:r>
          </w:p>
        </w:tc>
        <w:tc>
          <w:tcPr>
            <w:tcW w:type="dxa" w:w="3240"/>
            <w:vAlign w:val="top"/>
          </w:tcPr>
          <w:p>
            <w:pPr>
              <w:keepNext w:val="0"/>
              <w:spacing w:after="50" w:before="20" w:line="250" w:lineRule="auto"/>
            </w:pPr>
            <w:r>
              <w:rPr>
                <w:rFonts w:ascii="Arial" w:hAnsi="Arial"/>
                <w:sz w:val="18"/>
              </w:rPr>
              <w:t>Secure action-capable SMS with identity checks, confirmations, audit and human recovery.</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088"/>
        <w:gridCol w:w="4896"/>
        <w:gridCol w:w="3240"/>
      </w:tblGrid>
      <w:tr>
        <w:trPr>
          <w:tblHeader/>
        </w:trPr>
        <w:tc>
          <w:tcPr>
            <w:tcW w:type="dxa" w:w="2088"/>
            <w:vAlign w:val="top"/>
            <w:shd w:fill="173F50"/>
          </w:tcPr>
          <w:p>
            <w:pPr>
              <w:keepNext/>
              <w:spacing w:after="50" w:before="20" w:line="250" w:lineRule="auto"/>
            </w:pPr>
            <w:r>
              <w:rPr>
                <w:rFonts w:ascii="Arial" w:hAnsi="Arial"/>
                <w:b/>
                <w:color w:val="FFFFFF"/>
                <w:sz w:val="18"/>
              </w:rPr>
              <w:t>Signal and date</w:t>
            </w:r>
          </w:p>
        </w:tc>
        <w:tc>
          <w:tcPr>
            <w:tcW w:type="dxa" w:w="4896"/>
            <w:vAlign w:val="top"/>
            <w:shd w:fill="173F50"/>
          </w:tcPr>
          <w:p>
            <w:pPr>
              <w:keepNext/>
              <w:spacing w:after="50" w:before="20" w:line="250" w:lineRule="auto"/>
            </w:pPr>
            <w:r>
              <w:rPr>
                <w:rFonts w:ascii="Arial" w:hAnsi="Arial"/>
                <w:b/>
                <w:color w:val="FFFFFF"/>
                <w:sz w:val="18"/>
              </w:rPr>
              <w:t>Evidence and qualification</w:t>
            </w:r>
          </w:p>
        </w:tc>
        <w:tc>
          <w:tcPr>
            <w:tcW w:type="dxa" w:w="3240"/>
            <w:vAlign w:val="top"/>
            <w:shd w:fill="173F50"/>
          </w:tcPr>
          <w:p>
            <w:pPr>
              <w:keepNext/>
              <w:spacing w:after="50" w:before="20" w:line="250" w:lineRule="auto"/>
            </w:pPr>
            <w:r>
              <w:rPr>
                <w:rFonts w:ascii="Arial" w:hAnsi="Arial"/>
                <w:b/>
                <w:color w:val="FFFFFF"/>
                <w:sz w:val="18"/>
              </w:rPr>
              <w:t>Proposed response</w:t>
            </w:r>
          </w:p>
        </w:tc>
      </w:tr>
      <w:tr>
        <w:trPr>
          <w:cantSplit/>
        </w:trPr>
        <w:tc>
          <w:tcPr>
            <w:tcW w:type="dxa" w:w="2088"/>
            <w:vAlign w:val="top"/>
          </w:tcPr>
          <w:p>
            <w:pPr>
              <w:keepNext w:val="0"/>
              <w:spacing w:after="50" w:before="20" w:line="250" w:lineRule="auto"/>
            </w:pPr>
            <w:r>
              <w:rPr>
                <w:rFonts w:ascii="Arial" w:hAnsi="Arial"/>
                <w:b/>
                <w:sz w:val="18"/>
              </w:rPr>
              <w:t>GVQ13  Vagaro</w:t>
            </w:r>
            <w:r>
              <w:rPr>
                <w:rFonts w:ascii="Arial" w:hAnsi="Arial"/>
                <w:b w:val="0"/>
                <w:sz w:val="18"/>
              </w:rPr>
              <w:br/>
              <w:t>Help updated 2026-07-01</w:t>
              <w:br/>
              <w:t>Documented access behavior</w:t>
            </w:r>
          </w:p>
        </w:tc>
        <w:tc>
          <w:tcPr>
            <w:tcW w:type="dxa" w:w="4896"/>
            <w:vAlign w:val="top"/>
          </w:tcPr>
          <w:p>
            <w:pPr>
              <w:keepNext w:val="0"/>
              <w:spacing w:after="50" w:before="20" w:line="250" w:lineRule="auto"/>
            </w:pPr>
            <w:r>
              <w:rPr>
                <w:rFonts w:ascii="Arial" w:hAnsi="Arial"/>
                <w:sz w:val="18"/>
              </w:rPr>
              <w:t>Disabling Forms preserves responses but hides them until reactivation.</w:t>
              <w:br/>
              <w:t>Do not describe as deletion. Distinguish paid creation capability from access to historical records. [VG13]</w:t>
            </w:r>
          </w:p>
        </w:tc>
        <w:tc>
          <w:tcPr>
            <w:tcW w:type="dxa" w:w="3240"/>
            <w:vAlign w:val="top"/>
          </w:tcPr>
          <w:p>
            <w:pPr>
              <w:keepNext w:val="0"/>
              <w:spacing w:after="50" w:before="20" w:line="250" w:lineRule="auto"/>
            </w:pPr>
            <w:r>
              <w:rPr>
                <w:rFonts w:ascii="Arial" w:hAnsi="Arial"/>
                <w:sz w:val="18"/>
              </w:rPr>
              <w:t>Permanent read-only customer records and usable export after downgrade, with retention policy.</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088"/>
        <w:gridCol w:w="4896"/>
        <w:gridCol w:w="3240"/>
      </w:tblGrid>
      <w:tr>
        <w:trPr>
          <w:tblHeader/>
        </w:trPr>
        <w:tc>
          <w:tcPr>
            <w:tcW w:type="dxa" w:w="2088"/>
            <w:vAlign w:val="top"/>
            <w:shd w:fill="173F50"/>
          </w:tcPr>
          <w:p>
            <w:pPr>
              <w:keepNext/>
              <w:spacing w:after="50" w:before="20" w:line="250" w:lineRule="auto"/>
            </w:pPr>
            <w:r>
              <w:rPr>
                <w:rFonts w:ascii="Arial" w:hAnsi="Arial"/>
                <w:b/>
                <w:color w:val="FFFFFF"/>
                <w:sz w:val="18"/>
              </w:rPr>
              <w:t>Signal and date</w:t>
            </w:r>
          </w:p>
        </w:tc>
        <w:tc>
          <w:tcPr>
            <w:tcW w:type="dxa" w:w="4896"/>
            <w:vAlign w:val="top"/>
            <w:shd w:fill="173F50"/>
          </w:tcPr>
          <w:p>
            <w:pPr>
              <w:keepNext/>
              <w:spacing w:after="50" w:before="20" w:line="250" w:lineRule="auto"/>
            </w:pPr>
            <w:r>
              <w:rPr>
                <w:rFonts w:ascii="Arial" w:hAnsi="Arial"/>
                <w:b/>
                <w:color w:val="FFFFFF"/>
                <w:sz w:val="18"/>
              </w:rPr>
              <w:t>Evidence and qualification</w:t>
            </w:r>
          </w:p>
        </w:tc>
        <w:tc>
          <w:tcPr>
            <w:tcW w:type="dxa" w:w="3240"/>
            <w:vAlign w:val="top"/>
            <w:shd w:fill="173F50"/>
          </w:tcPr>
          <w:p>
            <w:pPr>
              <w:keepNext/>
              <w:spacing w:after="50" w:before="20" w:line="250" w:lineRule="auto"/>
            </w:pPr>
            <w:r>
              <w:rPr>
                <w:rFonts w:ascii="Arial" w:hAnsi="Arial"/>
                <w:b/>
                <w:color w:val="FFFFFF"/>
                <w:sz w:val="18"/>
              </w:rPr>
              <w:t>Proposed response</w:t>
            </w:r>
          </w:p>
        </w:tc>
      </w:tr>
      <w:tr>
        <w:trPr>
          <w:cantSplit/>
        </w:trPr>
        <w:tc>
          <w:tcPr>
            <w:tcW w:type="dxa" w:w="2088"/>
            <w:vAlign w:val="top"/>
          </w:tcPr>
          <w:p>
            <w:pPr>
              <w:keepNext w:val="0"/>
              <w:spacing w:after="50" w:before="20" w:line="250" w:lineRule="auto"/>
            </w:pPr>
            <w:r>
              <w:rPr>
                <w:rFonts w:ascii="Arial" w:hAnsi="Arial"/>
                <w:b/>
                <w:sz w:val="18"/>
              </w:rPr>
              <w:t>GVQ14  Vagaro</w:t>
            </w:r>
            <w:r>
              <w:rPr>
                <w:rFonts w:ascii="Arial" w:hAnsi="Arial"/>
                <w:b w:val="0"/>
                <w:sz w:val="18"/>
              </w:rPr>
              <w:br/>
              <w:t>2026-01-16</w:t>
              <w:br/>
              <w:t>User request and vendor reply</w:t>
            </w:r>
          </w:p>
        </w:tc>
        <w:tc>
          <w:tcPr>
            <w:tcW w:type="dxa" w:w="4896"/>
            <w:vAlign w:val="top"/>
          </w:tcPr>
          <w:p>
            <w:pPr>
              <w:keepNext w:val="0"/>
              <w:spacing w:after="50" w:before="20" w:line="250" w:lineRule="auto"/>
            </w:pPr>
            <w:r>
              <w:rPr>
                <w:rFonts w:ascii="Arial" w:hAnsi="Arial"/>
                <w:sz w:val="18"/>
              </w:rPr>
              <w:t>A user asked for per-employee signatures in shared business messaging; reply said unavailable then.</w:t>
              <w:br/>
              <w:t>Current status not re-verified beyond this dated reply. [VG08]</w:t>
            </w:r>
          </w:p>
        </w:tc>
        <w:tc>
          <w:tcPr>
            <w:tcW w:type="dxa" w:w="3240"/>
            <w:vAlign w:val="top"/>
          </w:tcPr>
          <w:p>
            <w:pPr>
              <w:keepNext w:val="0"/>
              <w:spacing w:after="50" w:before="20" w:line="250" w:lineRule="auto"/>
            </w:pPr>
            <w:r>
              <w:rPr>
                <w:rFonts w:ascii="Arial" w:hAnsi="Arial"/>
                <w:sz w:val="18"/>
              </w:rPr>
              <w:t>Agent identity, assignee/owner and signed replies in a shared inbox.</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088"/>
        <w:gridCol w:w="4896"/>
        <w:gridCol w:w="3240"/>
      </w:tblGrid>
      <w:tr>
        <w:trPr>
          <w:tblHeader/>
        </w:trPr>
        <w:tc>
          <w:tcPr>
            <w:tcW w:type="dxa" w:w="2088"/>
            <w:vAlign w:val="top"/>
            <w:shd w:fill="173F50"/>
          </w:tcPr>
          <w:p>
            <w:pPr>
              <w:keepNext/>
              <w:spacing w:after="50" w:before="20" w:line="250" w:lineRule="auto"/>
            </w:pPr>
            <w:r>
              <w:rPr>
                <w:rFonts w:ascii="Arial" w:hAnsi="Arial"/>
                <w:b/>
                <w:color w:val="FFFFFF"/>
                <w:sz w:val="18"/>
              </w:rPr>
              <w:t>Signal and date</w:t>
            </w:r>
          </w:p>
        </w:tc>
        <w:tc>
          <w:tcPr>
            <w:tcW w:type="dxa" w:w="4896"/>
            <w:vAlign w:val="top"/>
            <w:shd w:fill="173F50"/>
          </w:tcPr>
          <w:p>
            <w:pPr>
              <w:keepNext/>
              <w:spacing w:after="50" w:before="20" w:line="250" w:lineRule="auto"/>
            </w:pPr>
            <w:r>
              <w:rPr>
                <w:rFonts w:ascii="Arial" w:hAnsi="Arial"/>
                <w:b/>
                <w:color w:val="FFFFFF"/>
                <w:sz w:val="18"/>
              </w:rPr>
              <w:t>Evidence and qualification</w:t>
            </w:r>
          </w:p>
        </w:tc>
        <w:tc>
          <w:tcPr>
            <w:tcW w:type="dxa" w:w="3240"/>
            <w:vAlign w:val="top"/>
            <w:shd w:fill="173F50"/>
          </w:tcPr>
          <w:p>
            <w:pPr>
              <w:keepNext/>
              <w:spacing w:after="50" w:before="20" w:line="250" w:lineRule="auto"/>
            </w:pPr>
            <w:r>
              <w:rPr>
                <w:rFonts w:ascii="Arial" w:hAnsi="Arial"/>
                <w:b/>
                <w:color w:val="FFFFFF"/>
                <w:sz w:val="18"/>
              </w:rPr>
              <w:t>Proposed response</w:t>
            </w:r>
          </w:p>
        </w:tc>
      </w:tr>
      <w:tr>
        <w:trPr>
          <w:cantSplit/>
        </w:trPr>
        <w:tc>
          <w:tcPr>
            <w:tcW w:type="dxa" w:w="2088"/>
            <w:vAlign w:val="top"/>
          </w:tcPr>
          <w:p>
            <w:pPr>
              <w:keepNext w:val="0"/>
              <w:spacing w:after="50" w:before="20" w:line="250" w:lineRule="auto"/>
            </w:pPr>
            <w:r>
              <w:rPr>
                <w:rFonts w:ascii="Arial" w:hAnsi="Arial"/>
                <w:b/>
                <w:sz w:val="18"/>
              </w:rPr>
              <w:t>GVQ15  Vagaro</w:t>
            </w:r>
            <w:r>
              <w:rPr>
                <w:rFonts w:ascii="Arial" w:hAnsi="Arial"/>
                <w:b w:val="0"/>
                <w:sz w:val="18"/>
              </w:rPr>
              <w:br/>
              <w:t>User comment 2026-01-05; help 2026-01-30</w:t>
              <w:br/>
              <w:t>User issue acknowledged; documented freshness limit</w:t>
            </w:r>
          </w:p>
        </w:tc>
        <w:tc>
          <w:tcPr>
            <w:tcW w:type="dxa" w:w="4896"/>
            <w:vAlign w:val="top"/>
          </w:tcPr>
          <w:p>
            <w:pPr>
              <w:keepNext w:val="0"/>
              <w:spacing w:after="50" w:before="20" w:line="250" w:lineRule="auto"/>
            </w:pPr>
            <w:r>
              <w:rPr>
                <w:rFonts w:ascii="Arial" w:hAnsi="Arial"/>
                <w:sz w:val="18"/>
              </w:rPr>
              <w:t>A user reported a BI integration fault; documentation describes daily refresh.</w:t>
              <w:br/>
              <w:t>Vendor promised investigation; no evidence it remains broken. Daily data is a documented tradeoff. [VG12]</w:t>
            </w:r>
          </w:p>
        </w:tc>
        <w:tc>
          <w:tcPr>
            <w:tcW w:type="dxa" w:w="3240"/>
            <w:vAlign w:val="top"/>
          </w:tcPr>
          <w:p>
            <w:pPr>
              <w:keepNext w:val="0"/>
              <w:spacing w:after="50" w:before="20" w:line="250" w:lineRule="auto"/>
            </w:pPr>
            <w:r>
              <w:rPr>
                <w:rFonts w:ascii="Arial" w:hAnsi="Arial"/>
                <w:sz w:val="18"/>
              </w:rPr>
              <w:t>Connector health, freshness badges, replay/backfill, service credits and actionable diagnostics.</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088"/>
        <w:gridCol w:w="4896"/>
        <w:gridCol w:w="3240"/>
      </w:tblGrid>
      <w:tr>
        <w:trPr>
          <w:tblHeader/>
        </w:trPr>
        <w:tc>
          <w:tcPr>
            <w:tcW w:type="dxa" w:w="2088"/>
            <w:vAlign w:val="top"/>
            <w:shd w:fill="173F50"/>
          </w:tcPr>
          <w:p>
            <w:pPr>
              <w:keepNext/>
              <w:spacing w:after="50" w:before="20" w:line="250" w:lineRule="auto"/>
            </w:pPr>
            <w:r>
              <w:rPr>
                <w:rFonts w:ascii="Arial" w:hAnsi="Arial"/>
                <w:b/>
                <w:color w:val="FFFFFF"/>
                <w:sz w:val="18"/>
              </w:rPr>
              <w:t>Signal and date</w:t>
            </w:r>
          </w:p>
        </w:tc>
        <w:tc>
          <w:tcPr>
            <w:tcW w:type="dxa" w:w="4896"/>
            <w:vAlign w:val="top"/>
            <w:shd w:fill="173F50"/>
          </w:tcPr>
          <w:p>
            <w:pPr>
              <w:keepNext/>
              <w:spacing w:after="50" w:before="20" w:line="250" w:lineRule="auto"/>
            </w:pPr>
            <w:r>
              <w:rPr>
                <w:rFonts w:ascii="Arial" w:hAnsi="Arial"/>
                <w:b/>
                <w:color w:val="FFFFFF"/>
                <w:sz w:val="18"/>
              </w:rPr>
              <w:t>Evidence and qualification</w:t>
            </w:r>
          </w:p>
        </w:tc>
        <w:tc>
          <w:tcPr>
            <w:tcW w:type="dxa" w:w="3240"/>
            <w:vAlign w:val="top"/>
            <w:shd w:fill="173F50"/>
          </w:tcPr>
          <w:p>
            <w:pPr>
              <w:keepNext/>
              <w:spacing w:after="50" w:before="20" w:line="250" w:lineRule="auto"/>
            </w:pPr>
            <w:r>
              <w:rPr>
                <w:rFonts w:ascii="Arial" w:hAnsi="Arial"/>
                <w:b/>
                <w:color w:val="FFFFFF"/>
                <w:sz w:val="18"/>
              </w:rPr>
              <w:t>Proposed response</w:t>
            </w:r>
          </w:p>
        </w:tc>
      </w:tr>
      <w:tr>
        <w:trPr>
          <w:cantSplit/>
        </w:trPr>
        <w:tc>
          <w:tcPr>
            <w:tcW w:type="dxa" w:w="2088"/>
            <w:vAlign w:val="top"/>
          </w:tcPr>
          <w:p>
            <w:pPr>
              <w:keepNext w:val="0"/>
              <w:spacing w:after="50" w:before="20" w:line="250" w:lineRule="auto"/>
            </w:pPr>
            <w:r>
              <w:rPr>
                <w:rFonts w:ascii="Arial" w:hAnsi="Arial"/>
                <w:b/>
                <w:sz w:val="18"/>
              </w:rPr>
              <w:t>GVQ16  GlossGenius</w:t>
            </w:r>
            <w:r>
              <w:rPr>
                <w:rFonts w:ascii="Arial" w:hAnsi="Arial"/>
                <w:b w:val="0"/>
                <w:sz w:val="18"/>
              </w:rPr>
              <w:br/>
              <w:t>Individual review date unavailable</w:t>
              <w:br/>
              <w:t>Feature discoverability; vendor correction</w:t>
            </w:r>
          </w:p>
        </w:tc>
        <w:tc>
          <w:tcPr>
            <w:tcW w:type="dxa" w:w="4896"/>
            <w:vAlign w:val="top"/>
          </w:tcPr>
          <w:p>
            <w:pPr>
              <w:keepNext w:val="0"/>
              <w:spacing w:after="50" w:before="20" w:line="250" w:lineRule="auto"/>
            </w:pPr>
            <w:r>
              <w:rPr>
                <w:rFonts w:ascii="Arial" w:hAnsi="Arial"/>
                <w:sz w:val="18"/>
              </w:rPr>
              <w:t>A reviewer requested multi-technician checkout; vendor replied the feature existed.</w:t>
              <w:br/>
              <w:t>Search extract only; exclude from hard current gap claims. [RG05]</w:t>
            </w:r>
          </w:p>
        </w:tc>
        <w:tc>
          <w:tcPr>
            <w:tcW w:type="dxa" w:w="3240"/>
            <w:vAlign w:val="top"/>
          </w:tcPr>
          <w:p>
            <w:pPr>
              <w:keepNext w:val="0"/>
              <w:spacing w:after="50" w:before="20" w:line="250" w:lineRule="auto"/>
            </w:pPr>
            <w:r>
              <w:rPr>
                <w:rFonts w:ascii="Arial" w:hAnsi="Arial"/>
                <w:sz w:val="18"/>
              </w:rPr>
              <w:t>Contextual discovery, task-first help and completion feedback before adding duplicate functionality.</w:t>
            </w:r>
          </w:p>
        </w:tc>
      </w:tr>
    </w:tbl>
    <w:p>
      <w:pPr>
        <w:spacing w:after="40" w:before="0" w:line="240" w:lineRule="auto"/>
      </w:pPr>
      <w:r>
        <w:rPr>
          <w:sz w:val="4"/>
        </w:rPr>
      </w:r>
    </w:p>
    <w:p>
      <w:pPr>
        <w:pStyle w:val="Heading2"/>
      </w:pPr>
      <w:r>
        <w:t>3 2 Broader market signals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088"/>
        <w:gridCol w:w="4896"/>
        <w:gridCol w:w="3240"/>
      </w:tblGrid>
      <w:tr>
        <w:trPr>
          <w:tblHeader/>
        </w:trPr>
        <w:tc>
          <w:tcPr>
            <w:tcW w:type="dxa" w:w="2088"/>
            <w:vAlign w:val="top"/>
            <w:shd w:fill="173F50"/>
          </w:tcPr>
          <w:p>
            <w:pPr>
              <w:keepNext/>
              <w:spacing w:after="50" w:before="20" w:line="250" w:lineRule="auto"/>
            </w:pPr>
            <w:r>
              <w:rPr>
                <w:rFonts w:ascii="Arial" w:hAnsi="Arial"/>
                <w:b/>
                <w:color w:val="FFFFFF"/>
                <w:sz w:val="18"/>
              </w:rPr>
              <w:t>Signal and date</w:t>
            </w:r>
          </w:p>
        </w:tc>
        <w:tc>
          <w:tcPr>
            <w:tcW w:type="dxa" w:w="4896"/>
            <w:vAlign w:val="top"/>
            <w:shd w:fill="173F50"/>
          </w:tcPr>
          <w:p>
            <w:pPr>
              <w:keepNext/>
              <w:spacing w:after="50" w:before="20" w:line="250" w:lineRule="auto"/>
            </w:pPr>
            <w:r>
              <w:rPr>
                <w:rFonts w:ascii="Arial" w:hAnsi="Arial"/>
                <w:b/>
                <w:color w:val="FFFFFF"/>
                <w:sz w:val="18"/>
              </w:rPr>
              <w:t>Reported experience</w:t>
            </w:r>
          </w:p>
        </w:tc>
        <w:tc>
          <w:tcPr>
            <w:tcW w:type="dxa" w:w="3240"/>
            <w:vAlign w:val="top"/>
            <w:shd w:fill="173F50"/>
          </w:tcPr>
          <w:p>
            <w:pPr>
              <w:keepNext/>
              <w:spacing w:after="50" w:before="20" w:line="250" w:lineRule="auto"/>
            </w:pPr>
            <w:r>
              <w:rPr>
                <w:rFonts w:ascii="Arial" w:hAnsi="Arial"/>
                <w:b/>
                <w:color w:val="FFFFFF"/>
                <w:sz w:val="18"/>
              </w:rPr>
              <w:t>Proposed response</w:t>
            </w:r>
          </w:p>
        </w:tc>
      </w:tr>
      <w:tr>
        <w:trPr>
          <w:cantSplit/>
        </w:trPr>
        <w:tc>
          <w:tcPr>
            <w:tcW w:type="dxa" w:w="2088"/>
            <w:vAlign w:val="top"/>
          </w:tcPr>
          <w:p>
            <w:pPr>
              <w:keepNext w:val="0"/>
              <w:spacing w:after="50" w:before="20" w:line="250" w:lineRule="auto"/>
            </w:pPr>
            <w:r>
              <w:rPr>
                <w:rFonts w:ascii="Arial" w:hAnsi="Arial"/>
                <w:b/>
                <w:sz w:val="18"/>
              </w:rPr>
              <w:t>CR01  Square Appointments</w:t>
            </w:r>
            <w:r>
              <w:rPr>
                <w:rFonts w:ascii="Arial" w:hAnsi="Arial"/>
                <w:b w:val="0"/>
                <w:sz w:val="18"/>
              </w:rPr>
              <w:br/>
              <w:t>2026-08-12</w:t>
              <w:br/>
              <w:t>Reddit user report</w:t>
            </w:r>
          </w:p>
        </w:tc>
        <w:tc>
          <w:tcPr>
            <w:tcW w:type="dxa" w:w="4896"/>
            <w:vAlign w:val="top"/>
          </w:tcPr>
          <w:p>
            <w:pPr>
              <w:keepNext w:val="0"/>
              <w:spacing w:after="50" w:before="20" w:line="250" w:lineRule="auto"/>
            </w:pPr>
            <w:r>
              <w:rPr>
                <w:rFonts w:ascii="Arial" w:hAnsi="Arial"/>
                <w:sz w:val="18"/>
              </w:rPr>
              <w:t>Salon operator objected to being moved from a narrower appointment plan into a more expensive bundle containing features they did not need.</w:t>
              <w:br/>
              <w:t>Reported account-specific change; not a universal current quote. [CRS01]</w:t>
            </w:r>
          </w:p>
        </w:tc>
        <w:tc>
          <w:tcPr>
            <w:tcW w:type="dxa" w:w="3240"/>
            <w:vAlign w:val="top"/>
          </w:tcPr>
          <w:p>
            <w:pPr>
              <w:keepNext w:val="0"/>
              <w:spacing w:after="50" w:before="20" w:line="250" w:lineRule="auto"/>
            </w:pPr>
            <w:r>
              <w:rPr>
                <w:rFonts w:ascii="Arial" w:hAnsi="Arial"/>
                <w:sz w:val="18"/>
              </w:rPr>
              <w:t>Usage-aware cost estimator, clear renewal change notice, transparent plan downgrade and modular feature visibility.</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088"/>
        <w:gridCol w:w="4896"/>
        <w:gridCol w:w="3240"/>
      </w:tblGrid>
      <w:tr>
        <w:trPr>
          <w:tblHeader/>
        </w:trPr>
        <w:tc>
          <w:tcPr>
            <w:tcW w:type="dxa" w:w="2088"/>
            <w:vAlign w:val="top"/>
            <w:shd w:fill="173F50"/>
          </w:tcPr>
          <w:p>
            <w:pPr>
              <w:keepNext/>
              <w:spacing w:after="50" w:before="20" w:line="250" w:lineRule="auto"/>
            </w:pPr>
            <w:r>
              <w:rPr>
                <w:rFonts w:ascii="Arial" w:hAnsi="Arial"/>
                <w:b/>
                <w:color w:val="FFFFFF"/>
                <w:sz w:val="18"/>
              </w:rPr>
              <w:t>Signal and date</w:t>
            </w:r>
          </w:p>
        </w:tc>
        <w:tc>
          <w:tcPr>
            <w:tcW w:type="dxa" w:w="4896"/>
            <w:vAlign w:val="top"/>
            <w:shd w:fill="173F50"/>
          </w:tcPr>
          <w:p>
            <w:pPr>
              <w:keepNext/>
              <w:spacing w:after="50" w:before="20" w:line="250" w:lineRule="auto"/>
            </w:pPr>
            <w:r>
              <w:rPr>
                <w:rFonts w:ascii="Arial" w:hAnsi="Arial"/>
                <w:b/>
                <w:color w:val="FFFFFF"/>
                <w:sz w:val="18"/>
              </w:rPr>
              <w:t>Reported experience</w:t>
            </w:r>
          </w:p>
        </w:tc>
        <w:tc>
          <w:tcPr>
            <w:tcW w:type="dxa" w:w="3240"/>
            <w:vAlign w:val="top"/>
            <w:shd w:fill="173F50"/>
          </w:tcPr>
          <w:p>
            <w:pPr>
              <w:keepNext/>
              <w:spacing w:after="50" w:before="20" w:line="250" w:lineRule="auto"/>
            </w:pPr>
            <w:r>
              <w:rPr>
                <w:rFonts w:ascii="Arial" w:hAnsi="Arial"/>
                <w:b/>
                <w:color w:val="FFFFFF"/>
                <w:sz w:val="18"/>
              </w:rPr>
              <w:t>Proposed response</w:t>
            </w:r>
          </w:p>
        </w:tc>
      </w:tr>
      <w:tr>
        <w:trPr>
          <w:cantSplit/>
        </w:trPr>
        <w:tc>
          <w:tcPr>
            <w:tcW w:type="dxa" w:w="2088"/>
            <w:vAlign w:val="top"/>
          </w:tcPr>
          <w:p>
            <w:pPr>
              <w:keepNext w:val="0"/>
              <w:spacing w:after="50" w:before="20" w:line="250" w:lineRule="auto"/>
            </w:pPr>
            <w:r>
              <w:rPr>
                <w:rFonts w:ascii="Arial" w:hAnsi="Arial"/>
                <w:b/>
                <w:sz w:val="18"/>
              </w:rPr>
              <w:t>CR02  Booksy</w:t>
            </w:r>
            <w:r>
              <w:rPr>
                <w:rFonts w:ascii="Arial" w:hAnsi="Arial"/>
                <w:b w:val="0"/>
                <w:sz w:val="18"/>
              </w:rPr>
              <w:br/>
              <w:t>2026-07-09</w:t>
              <w:br/>
              <w:t>Unprompted Trustpilot review</w:t>
            </w:r>
          </w:p>
        </w:tc>
        <w:tc>
          <w:tcPr>
            <w:tcW w:type="dxa" w:w="4896"/>
            <w:vAlign w:val="top"/>
          </w:tcPr>
          <w:p>
            <w:pPr>
              <w:keepNext w:val="0"/>
              <w:spacing w:after="50" w:before="20" w:line="250" w:lineRule="auto"/>
            </w:pPr>
            <w:r>
              <w:rPr>
                <w:rFonts w:ascii="Arial" w:hAnsi="Arial"/>
                <w:sz w:val="18"/>
              </w:rPr>
              <w:t>Owner disputed Boost attribution for clients they said were acquired through their own Google ads or arrived as walk-ins.</w:t>
              <w:br/>
              <w:t>Disputed attribution allegation, not independently verified; Booksy's fee model separately documented. [CRS02]</w:t>
            </w:r>
          </w:p>
        </w:tc>
        <w:tc>
          <w:tcPr>
            <w:tcW w:type="dxa" w:w="3240"/>
            <w:vAlign w:val="top"/>
          </w:tcPr>
          <w:p>
            <w:pPr>
              <w:keepNext w:val="0"/>
              <w:spacing w:after="50" w:before="20" w:line="250" w:lineRule="auto"/>
            </w:pPr>
            <w:r>
              <w:rPr>
                <w:rFonts w:ascii="Arial" w:hAnsi="Arial"/>
                <w:sz w:val="18"/>
              </w:rPr>
              <w:t>Show source evidence, distinguish discovery from booking channel, preserve dispute history and allow a human review.</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088"/>
        <w:gridCol w:w="4896"/>
        <w:gridCol w:w="3240"/>
      </w:tblGrid>
      <w:tr>
        <w:trPr>
          <w:tblHeader/>
        </w:trPr>
        <w:tc>
          <w:tcPr>
            <w:tcW w:type="dxa" w:w="2088"/>
            <w:vAlign w:val="top"/>
            <w:shd w:fill="173F50"/>
          </w:tcPr>
          <w:p>
            <w:pPr>
              <w:keepNext/>
              <w:spacing w:after="50" w:before="20" w:line="250" w:lineRule="auto"/>
            </w:pPr>
            <w:r>
              <w:rPr>
                <w:rFonts w:ascii="Arial" w:hAnsi="Arial"/>
                <w:b/>
                <w:color w:val="FFFFFF"/>
                <w:sz w:val="18"/>
              </w:rPr>
              <w:t>Signal and date</w:t>
            </w:r>
          </w:p>
        </w:tc>
        <w:tc>
          <w:tcPr>
            <w:tcW w:type="dxa" w:w="4896"/>
            <w:vAlign w:val="top"/>
            <w:shd w:fill="173F50"/>
          </w:tcPr>
          <w:p>
            <w:pPr>
              <w:keepNext/>
              <w:spacing w:after="50" w:before="20" w:line="250" w:lineRule="auto"/>
            </w:pPr>
            <w:r>
              <w:rPr>
                <w:rFonts w:ascii="Arial" w:hAnsi="Arial"/>
                <w:b/>
                <w:color w:val="FFFFFF"/>
                <w:sz w:val="18"/>
              </w:rPr>
              <w:t>Reported experience</w:t>
            </w:r>
          </w:p>
        </w:tc>
        <w:tc>
          <w:tcPr>
            <w:tcW w:type="dxa" w:w="3240"/>
            <w:vAlign w:val="top"/>
            <w:shd w:fill="173F50"/>
          </w:tcPr>
          <w:p>
            <w:pPr>
              <w:keepNext/>
              <w:spacing w:after="50" w:before="20" w:line="250" w:lineRule="auto"/>
            </w:pPr>
            <w:r>
              <w:rPr>
                <w:rFonts w:ascii="Arial" w:hAnsi="Arial"/>
                <w:b/>
                <w:color w:val="FFFFFF"/>
                <w:sz w:val="18"/>
              </w:rPr>
              <w:t>Proposed response</w:t>
            </w:r>
          </w:p>
        </w:tc>
      </w:tr>
      <w:tr>
        <w:trPr>
          <w:cantSplit/>
        </w:trPr>
        <w:tc>
          <w:tcPr>
            <w:tcW w:type="dxa" w:w="2088"/>
            <w:vAlign w:val="top"/>
          </w:tcPr>
          <w:p>
            <w:pPr>
              <w:keepNext w:val="0"/>
              <w:spacing w:after="50" w:before="20" w:line="250" w:lineRule="auto"/>
            </w:pPr>
            <w:r>
              <w:rPr>
                <w:rFonts w:ascii="Arial" w:hAnsi="Arial"/>
                <w:b/>
                <w:sz w:val="18"/>
              </w:rPr>
              <w:t>CR03  Booksy</w:t>
            </w:r>
            <w:r>
              <w:rPr>
                <w:rFonts w:ascii="Arial" w:hAnsi="Arial"/>
                <w:b w:val="0"/>
                <w:sz w:val="18"/>
              </w:rPr>
              <w:br/>
              <w:t>2026-07-07</w:t>
              <w:br/>
              <w:t>Unprompted five-star Trustpilot review with feature request</w:t>
            </w:r>
          </w:p>
        </w:tc>
        <w:tc>
          <w:tcPr>
            <w:tcW w:type="dxa" w:w="4896"/>
            <w:vAlign w:val="top"/>
          </w:tcPr>
          <w:p>
            <w:pPr>
              <w:keepNext w:val="0"/>
              <w:spacing w:after="50" w:before="20" w:line="250" w:lineRule="auto"/>
            </w:pPr>
            <w:r>
              <w:rPr>
                <w:rFonts w:ascii="Arial" w:hAnsi="Arial"/>
                <w:sz w:val="18"/>
              </w:rPr>
              <w:t>Liked in-app payments but wanted bookings concentrated into convenient slots or held for approval.</w:t>
              <w:br/>
              <w:t>A request from a satisfied user; does not prove current controls are absent. [CRS02]</w:t>
            </w:r>
          </w:p>
        </w:tc>
        <w:tc>
          <w:tcPr>
            <w:tcW w:type="dxa" w:w="3240"/>
            <w:vAlign w:val="top"/>
          </w:tcPr>
          <w:p>
            <w:pPr>
              <w:keepNext w:val="0"/>
              <w:spacing w:after="50" w:before="20" w:line="250" w:lineRule="auto"/>
            </w:pPr>
            <w:r>
              <w:rPr>
                <w:rFonts w:ascii="Arial" w:hAnsi="Arial"/>
                <w:sz w:val="18"/>
              </w:rPr>
              <w:t>Optional preferred-slot ranking with an explainable choice and configurable approval.</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088"/>
        <w:gridCol w:w="4896"/>
        <w:gridCol w:w="3240"/>
      </w:tblGrid>
      <w:tr>
        <w:trPr>
          <w:tblHeader/>
        </w:trPr>
        <w:tc>
          <w:tcPr>
            <w:tcW w:type="dxa" w:w="2088"/>
            <w:vAlign w:val="top"/>
            <w:shd w:fill="173F50"/>
          </w:tcPr>
          <w:p>
            <w:pPr>
              <w:keepNext/>
              <w:spacing w:after="50" w:before="20" w:line="250" w:lineRule="auto"/>
            </w:pPr>
            <w:r>
              <w:rPr>
                <w:rFonts w:ascii="Arial" w:hAnsi="Arial"/>
                <w:b/>
                <w:color w:val="FFFFFF"/>
                <w:sz w:val="18"/>
              </w:rPr>
              <w:t>Signal and date</w:t>
            </w:r>
          </w:p>
        </w:tc>
        <w:tc>
          <w:tcPr>
            <w:tcW w:type="dxa" w:w="4896"/>
            <w:vAlign w:val="top"/>
            <w:shd w:fill="173F50"/>
          </w:tcPr>
          <w:p>
            <w:pPr>
              <w:keepNext/>
              <w:spacing w:after="50" w:before="20" w:line="250" w:lineRule="auto"/>
            </w:pPr>
            <w:r>
              <w:rPr>
                <w:rFonts w:ascii="Arial" w:hAnsi="Arial"/>
                <w:b/>
                <w:color w:val="FFFFFF"/>
                <w:sz w:val="18"/>
              </w:rPr>
              <w:t>Reported experience</w:t>
            </w:r>
          </w:p>
        </w:tc>
        <w:tc>
          <w:tcPr>
            <w:tcW w:type="dxa" w:w="3240"/>
            <w:vAlign w:val="top"/>
            <w:shd w:fill="173F50"/>
          </w:tcPr>
          <w:p>
            <w:pPr>
              <w:keepNext/>
              <w:spacing w:after="50" w:before="20" w:line="250" w:lineRule="auto"/>
            </w:pPr>
            <w:r>
              <w:rPr>
                <w:rFonts w:ascii="Arial" w:hAnsi="Arial"/>
                <w:b/>
                <w:color w:val="FFFFFF"/>
                <w:sz w:val="18"/>
              </w:rPr>
              <w:t>Proposed response</w:t>
            </w:r>
          </w:p>
        </w:tc>
      </w:tr>
      <w:tr>
        <w:trPr>
          <w:cantSplit/>
        </w:trPr>
        <w:tc>
          <w:tcPr>
            <w:tcW w:type="dxa" w:w="2088"/>
            <w:vAlign w:val="top"/>
          </w:tcPr>
          <w:p>
            <w:pPr>
              <w:keepNext w:val="0"/>
              <w:spacing w:after="50" w:before="20" w:line="250" w:lineRule="auto"/>
            </w:pPr>
            <w:r>
              <w:rPr>
                <w:rFonts w:ascii="Arial" w:hAnsi="Arial"/>
                <w:b/>
                <w:sz w:val="18"/>
              </w:rPr>
              <w:t>CR04  Boulevard</w:t>
            </w:r>
            <w:r>
              <w:rPr>
                <w:rFonts w:ascii="Arial" w:hAnsi="Arial"/>
                <w:b w:val="0"/>
                <w:sz w:val="18"/>
              </w:rPr>
              <w:br/>
              <w:t>2026-07-11</w:t>
              <w:br/>
              <w:t>Unprompted Trustpilot review</w:t>
            </w:r>
          </w:p>
        </w:tc>
        <w:tc>
          <w:tcPr>
            <w:tcW w:type="dxa" w:w="4896"/>
            <w:vAlign w:val="top"/>
          </w:tcPr>
          <w:p>
            <w:pPr>
              <w:keepNext w:val="0"/>
              <w:spacing w:after="50" w:before="20" w:line="250" w:lineRule="auto"/>
            </w:pPr>
            <w:r>
              <w:rPr>
                <w:rFonts w:ascii="Arial" w:hAnsi="Arial"/>
                <w:sz w:val="18"/>
              </w:rPr>
              <w:t>Reported friction with tipping after split/partial payments, changing the client at checkout, assigning sales credit and rebooking.</w:t>
              <w:br/>
              <w:t>One account's workflow complaint, not a reproduced product defect. [CRS03]</w:t>
            </w:r>
          </w:p>
        </w:tc>
        <w:tc>
          <w:tcPr>
            <w:tcW w:type="dxa" w:w="3240"/>
            <w:vAlign w:val="top"/>
          </w:tcPr>
          <w:p>
            <w:pPr>
              <w:keepNext w:val="0"/>
              <w:spacing w:after="50" w:before="20" w:line="250" w:lineRule="auto"/>
            </w:pPr>
            <w:r>
              <w:rPr>
                <w:rFonts w:ascii="Arial" w:hAnsi="Arial"/>
                <w:sz w:val="18"/>
              </w:rPr>
              <w:t>Preserve gratuity across all tender mixes, editable drafts, bulk sales-credit assignment and one-screen rebooking.</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088"/>
        <w:gridCol w:w="4896"/>
        <w:gridCol w:w="3240"/>
      </w:tblGrid>
      <w:tr>
        <w:trPr>
          <w:tblHeader/>
        </w:trPr>
        <w:tc>
          <w:tcPr>
            <w:tcW w:type="dxa" w:w="2088"/>
            <w:vAlign w:val="top"/>
            <w:shd w:fill="173F50"/>
          </w:tcPr>
          <w:p>
            <w:pPr>
              <w:keepNext/>
              <w:spacing w:after="50" w:before="20" w:line="250" w:lineRule="auto"/>
            </w:pPr>
            <w:r>
              <w:rPr>
                <w:rFonts w:ascii="Arial" w:hAnsi="Arial"/>
                <w:b/>
                <w:color w:val="FFFFFF"/>
                <w:sz w:val="18"/>
              </w:rPr>
              <w:t>Signal and date</w:t>
            </w:r>
          </w:p>
        </w:tc>
        <w:tc>
          <w:tcPr>
            <w:tcW w:type="dxa" w:w="4896"/>
            <w:vAlign w:val="top"/>
            <w:shd w:fill="173F50"/>
          </w:tcPr>
          <w:p>
            <w:pPr>
              <w:keepNext/>
              <w:spacing w:after="50" w:before="20" w:line="250" w:lineRule="auto"/>
            </w:pPr>
            <w:r>
              <w:rPr>
                <w:rFonts w:ascii="Arial" w:hAnsi="Arial"/>
                <w:b/>
                <w:color w:val="FFFFFF"/>
                <w:sz w:val="18"/>
              </w:rPr>
              <w:t>Reported experience</w:t>
            </w:r>
          </w:p>
        </w:tc>
        <w:tc>
          <w:tcPr>
            <w:tcW w:type="dxa" w:w="3240"/>
            <w:vAlign w:val="top"/>
            <w:shd w:fill="173F50"/>
          </w:tcPr>
          <w:p>
            <w:pPr>
              <w:keepNext/>
              <w:spacing w:after="50" w:before="20" w:line="250" w:lineRule="auto"/>
            </w:pPr>
            <w:r>
              <w:rPr>
                <w:rFonts w:ascii="Arial" w:hAnsi="Arial"/>
                <w:b/>
                <w:color w:val="FFFFFF"/>
                <w:sz w:val="18"/>
              </w:rPr>
              <w:t>Proposed response</w:t>
            </w:r>
          </w:p>
        </w:tc>
      </w:tr>
      <w:tr>
        <w:trPr>
          <w:cantSplit/>
        </w:trPr>
        <w:tc>
          <w:tcPr>
            <w:tcW w:type="dxa" w:w="2088"/>
            <w:vAlign w:val="top"/>
          </w:tcPr>
          <w:p>
            <w:pPr>
              <w:keepNext w:val="0"/>
              <w:spacing w:after="50" w:before="20" w:line="250" w:lineRule="auto"/>
            </w:pPr>
            <w:r>
              <w:rPr>
                <w:rFonts w:ascii="Arial" w:hAnsi="Arial"/>
                <w:b/>
                <w:sz w:val="18"/>
              </w:rPr>
              <w:t>CR05  Boulevard</w:t>
            </w:r>
            <w:r>
              <w:rPr>
                <w:rFonts w:ascii="Arial" w:hAnsi="Arial"/>
                <w:b w:val="0"/>
                <w:sz w:val="18"/>
              </w:rPr>
              <w:br/>
              <w:t>2026-08-26</w:t>
              <w:br/>
              <w:t>Unprompted Trustpilot review</w:t>
            </w:r>
          </w:p>
        </w:tc>
        <w:tc>
          <w:tcPr>
            <w:tcW w:type="dxa" w:w="4896"/>
            <w:vAlign w:val="top"/>
          </w:tcPr>
          <w:p>
            <w:pPr>
              <w:keepNext w:val="0"/>
              <w:spacing w:after="50" w:before="20" w:line="250" w:lineRule="auto"/>
            </w:pPr>
            <w:r>
              <w:rPr>
                <w:rFonts w:ascii="Arial" w:hAnsi="Arial"/>
                <w:sz w:val="18"/>
              </w:rPr>
              <w:t>Reported difficult support resolution and removal of a Google booking link after cancellation.</w:t>
              <w:br/>
              <w:t>Unverified support/offboarding allegation; omit claimed lost-revenue amounts. [CRS03]</w:t>
            </w:r>
          </w:p>
        </w:tc>
        <w:tc>
          <w:tcPr>
            <w:tcW w:type="dxa" w:w="3240"/>
            <w:vAlign w:val="top"/>
          </w:tcPr>
          <w:p>
            <w:pPr>
              <w:keepNext w:val="0"/>
              <w:spacing w:after="50" w:before="20" w:line="250" w:lineRule="auto"/>
            </w:pPr>
            <w:r>
              <w:rPr>
                <w:rFonts w:ascii="Arial" w:hAnsi="Arial"/>
                <w:sz w:val="18"/>
              </w:rPr>
              <w:t>Visible issue ownership, status updates and a provider-specific offboarding checklist with connection cleanup.</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088"/>
        <w:gridCol w:w="4896"/>
        <w:gridCol w:w="3240"/>
      </w:tblGrid>
      <w:tr>
        <w:trPr>
          <w:tblHeader/>
        </w:trPr>
        <w:tc>
          <w:tcPr>
            <w:tcW w:type="dxa" w:w="2088"/>
            <w:vAlign w:val="top"/>
            <w:shd w:fill="173F50"/>
          </w:tcPr>
          <w:p>
            <w:pPr>
              <w:keepNext/>
              <w:spacing w:after="50" w:before="20" w:line="250" w:lineRule="auto"/>
            </w:pPr>
            <w:r>
              <w:rPr>
                <w:rFonts w:ascii="Arial" w:hAnsi="Arial"/>
                <w:b/>
                <w:color w:val="FFFFFF"/>
                <w:sz w:val="18"/>
              </w:rPr>
              <w:t>Signal and date</w:t>
            </w:r>
          </w:p>
        </w:tc>
        <w:tc>
          <w:tcPr>
            <w:tcW w:type="dxa" w:w="4896"/>
            <w:vAlign w:val="top"/>
            <w:shd w:fill="173F50"/>
          </w:tcPr>
          <w:p>
            <w:pPr>
              <w:keepNext/>
              <w:spacing w:after="50" w:before="20" w:line="250" w:lineRule="auto"/>
            </w:pPr>
            <w:r>
              <w:rPr>
                <w:rFonts w:ascii="Arial" w:hAnsi="Arial"/>
                <w:b/>
                <w:color w:val="FFFFFF"/>
                <w:sz w:val="18"/>
              </w:rPr>
              <w:t>Reported experience</w:t>
            </w:r>
          </w:p>
        </w:tc>
        <w:tc>
          <w:tcPr>
            <w:tcW w:type="dxa" w:w="3240"/>
            <w:vAlign w:val="top"/>
            <w:shd w:fill="173F50"/>
          </w:tcPr>
          <w:p>
            <w:pPr>
              <w:keepNext/>
              <w:spacing w:after="50" w:before="20" w:line="250" w:lineRule="auto"/>
            </w:pPr>
            <w:r>
              <w:rPr>
                <w:rFonts w:ascii="Arial" w:hAnsi="Arial"/>
                <w:b/>
                <w:color w:val="FFFFFF"/>
                <w:sz w:val="18"/>
              </w:rPr>
              <w:t>Proposed response</w:t>
            </w:r>
          </w:p>
        </w:tc>
      </w:tr>
      <w:tr>
        <w:trPr>
          <w:cantSplit/>
        </w:trPr>
        <w:tc>
          <w:tcPr>
            <w:tcW w:type="dxa" w:w="2088"/>
            <w:vAlign w:val="top"/>
          </w:tcPr>
          <w:p>
            <w:pPr>
              <w:keepNext w:val="0"/>
              <w:spacing w:after="50" w:before="20" w:line="250" w:lineRule="auto"/>
            </w:pPr>
            <w:r>
              <w:rPr>
                <w:rFonts w:ascii="Arial" w:hAnsi="Arial"/>
                <w:b/>
                <w:sz w:val="18"/>
              </w:rPr>
              <w:t>CR06  Mangomint</w:t>
            </w:r>
            <w:r>
              <w:rPr>
                <w:rFonts w:ascii="Arial" w:hAnsi="Arial"/>
                <w:b w:val="0"/>
                <w:sz w:val="18"/>
              </w:rPr>
              <w:br/>
              <w:t>2026-08-12</w:t>
              <w:br/>
              <w:t>Invited Trustpilot review</w:t>
            </w:r>
          </w:p>
        </w:tc>
        <w:tc>
          <w:tcPr>
            <w:tcW w:type="dxa" w:w="4896"/>
            <w:vAlign w:val="top"/>
          </w:tcPr>
          <w:p>
            <w:pPr>
              <w:keepNext w:val="0"/>
              <w:spacing w:after="50" w:before="20" w:line="250" w:lineRule="auto"/>
            </w:pPr>
            <w:r>
              <w:rPr>
                <w:rFonts w:ascii="Arial" w:hAnsi="Arial"/>
                <w:sz w:val="18"/>
              </w:rPr>
              <w:t>Wanted staff to view their own detailed sales/payroll and fix their own time entries without access to everyone else's records.</w:t>
              <w:br/>
              <w:t>Vendor reply acknowledged reporting improvements; current state may differ. [CRS04]</w:t>
            </w:r>
          </w:p>
        </w:tc>
        <w:tc>
          <w:tcPr>
            <w:tcW w:type="dxa" w:w="3240"/>
            <w:vAlign w:val="top"/>
          </w:tcPr>
          <w:p>
            <w:pPr>
              <w:keepNext w:val="0"/>
              <w:spacing w:after="50" w:before="20" w:line="250" w:lineRule="auto"/>
            </w:pPr>
            <w:r>
              <w:rPr>
                <w:rFonts w:ascii="Arial" w:hAnsi="Arial"/>
                <w:sz w:val="18"/>
              </w:rPr>
              <w:t>Row-scoped own/team/all permissions plus auditable correction requests.</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088"/>
        <w:gridCol w:w="4896"/>
        <w:gridCol w:w="3240"/>
      </w:tblGrid>
      <w:tr>
        <w:trPr>
          <w:tblHeader/>
        </w:trPr>
        <w:tc>
          <w:tcPr>
            <w:tcW w:type="dxa" w:w="2088"/>
            <w:vAlign w:val="top"/>
            <w:shd w:fill="173F50"/>
          </w:tcPr>
          <w:p>
            <w:pPr>
              <w:keepNext/>
              <w:spacing w:after="50" w:before="20" w:line="250" w:lineRule="auto"/>
            </w:pPr>
            <w:r>
              <w:rPr>
                <w:rFonts w:ascii="Arial" w:hAnsi="Arial"/>
                <w:b/>
                <w:color w:val="FFFFFF"/>
                <w:sz w:val="18"/>
              </w:rPr>
              <w:t>Signal and date</w:t>
            </w:r>
          </w:p>
        </w:tc>
        <w:tc>
          <w:tcPr>
            <w:tcW w:type="dxa" w:w="4896"/>
            <w:vAlign w:val="top"/>
            <w:shd w:fill="173F50"/>
          </w:tcPr>
          <w:p>
            <w:pPr>
              <w:keepNext/>
              <w:spacing w:after="50" w:before="20" w:line="250" w:lineRule="auto"/>
            </w:pPr>
            <w:r>
              <w:rPr>
                <w:rFonts w:ascii="Arial" w:hAnsi="Arial"/>
                <w:b/>
                <w:color w:val="FFFFFF"/>
                <w:sz w:val="18"/>
              </w:rPr>
              <w:t>Reported experience</w:t>
            </w:r>
          </w:p>
        </w:tc>
        <w:tc>
          <w:tcPr>
            <w:tcW w:type="dxa" w:w="3240"/>
            <w:vAlign w:val="top"/>
            <w:shd w:fill="173F50"/>
          </w:tcPr>
          <w:p>
            <w:pPr>
              <w:keepNext/>
              <w:spacing w:after="50" w:before="20" w:line="250" w:lineRule="auto"/>
            </w:pPr>
            <w:r>
              <w:rPr>
                <w:rFonts w:ascii="Arial" w:hAnsi="Arial"/>
                <w:b/>
                <w:color w:val="FFFFFF"/>
                <w:sz w:val="18"/>
              </w:rPr>
              <w:t>Proposed response</w:t>
            </w:r>
          </w:p>
        </w:tc>
      </w:tr>
      <w:tr>
        <w:trPr>
          <w:cantSplit/>
        </w:trPr>
        <w:tc>
          <w:tcPr>
            <w:tcW w:type="dxa" w:w="2088"/>
            <w:vAlign w:val="top"/>
          </w:tcPr>
          <w:p>
            <w:pPr>
              <w:keepNext w:val="0"/>
              <w:spacing w:after="50" w:before="20" w:line="250" w:lineRule="auto"/>
            </w:pPr>
            <w:r>
              <w:rPr>
                <w:rFonts w:ascii="Arial" w:hAnsi="Arial"/>
                <w:b/>
                <w:sz w:val="18"/>
              </w:rPr>
              <w:t>CR07  Mangomint</w:t>
            </w:r>
            <w:r>
              <w:rPr>
                <w:rFonts w:ascii="Arial" w:hAnsi="Arial"/>
                <w:b w:val="0"/>
                <w:sz w:val="18"/>
              </w:rPr>
              <w:br/>
              <w:t>2026-08-10</w:t>
              <w:br/>
              <w:t>Unprompted Trustpilot review</w:t>
            </w:r>
          </w:p>
        </w:tc>
        <w:tc>
          <w:tcPr>
            <w:tcW w:type="dxa" w:w="4896"/>
            <w:vAlign w:val="top"/>
          </w:tcPr>
          <w:p>
            <w:pPr>
              <w:keepNext w:val="0"/>
              <w:spacing w:after="50" w:before="20" w:line="250" w:lineRule="auto"/>
            </w:pPr>
            <w:r>
              <w:rPr>
                <w:rFonts w:ascii="Arial" w:hAnsi="Arial"/>
                <w:sz w:val="18"/>
              </w:rPr>
              <w:t>Reported an import mismatch and rehearsal notifications reaching clients at launch.</w:t>
              <w:br/>
              <w:t>Single implementation allegation; not independently reproduced. [CRS04]</w:t>
            </w:r>
          </w:p>
        </w:tc>
        <w:tc>
          <w:tcPr>
            <w:tcW w:type="dxa" w:w="3240"/>
            <w:vAlign w:val="top"/>
          </w:tcPr>
          <w:p>
            <w:pPr>
              <w:keepNext w:val="0"/>
              <w:spacing w:after="50" w:before="20" w:line="250" w:lineRule="auto"/>
            </w:pPr>
            <w:r>
              <w:rPr>
                <w:rFonts w:ascii="Arial" w:hAnsi="Arial"/>
                <w:sz w:val="18"/>
              </w:rPr>
              <w:t>Dry-run imports, field-level transfer report, permission preview and a no-send rehearsal environment.</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088"/>
        <w:gridCol w:w="4896"/>
        <w:gridCol w:w="3240"/>
      </w:tblGrid>
      <w:tr>
        <w:trPr>
          <w:tblHeader/>
        </w:trPr>
        <w:tc>
          <w:tcPr>
            <w:tcW w:type="dxa" w:w="2088"/>
            <w:vAlign w:val="top"/>
            <w:shd w:fill="173F50"/>
          </w:tcPr>
          <w:p>
            <w:pPr>
              <w:keepNext/>
              <w:spacing w:after="50" w:before="20" w:line="250" w:lineRule="auto"/>
            </w:pPr>
            <w:r>
              <w:rPr>
                <w:rFonts w:ascii="Arial" w:hAnsi="Arial"/>
                <w:b/>
                <w:color w:val="FFFFFF"/>
                <w:sz w:val="18"/>
              </w:rPr>
              <w:t>Signal and date</w:t>
            </w:r>
          </w:p>
        </w:tc>
        <w:tc>
          <w:tcPr>
            <w:tcW w:type="dxa" w:w="4896"/>
            <w:vAlign w:val="top"/>
            <w:shd w:fill="173F50"/>
          </w:tcPr>
          <w:p>
            <w:pPr>
              <w:keepNext/>
              <w:spacing w:after="50" w:before="20" w:line="250" w:lineRule="auto"/>
            </w:pPr>
            <w:r>
              <w:rPr>
                <w:rFonts w:ascii="Arial" w:hAnsi="Arial"/>
                <w:b/>
                <w:color w:val="FFFFFF"/>
                <w:sz w:val="18"/>
              </w:rPr>
              <w:t>Reported experience</w:t>
            </w:r>
          </w:p>
        </w:tc>
        <w:tc>
          <w:tcPr>
            <w:tcW w:type="dxa" w:w="3240"/>
            <w:vAlign w:val="top"/>
            <w:shd w:fill="173F50"/>
          </w:tcPr>
          <w:p>
            <w:pPr>
              <w:keepNext/>
              <w:spacing w:after="50" w:before="20" w:line="250" w:lineRule="auto"/>
            </w:pPr>
            <w:r>
              <w:rPr>
                <w:rFonts w:ascii="Arial" w:hAnsi="Arial"/>
                <w:b/>
                <w:color w:val="FFFFFF"/>
                <w:sz w:val="18"/>
              </w:rPr>
              <w:t>Proposed response</w:t>
            </w:r>
          </w:p>
        </w:tc>
      </w:tr>
      <w:tr>
        <w:trPr>
          <w:cantSplit/>
        </w:trPr>
        <w:tc>
          <w:tcPr>
            <w:tcW w:type="dxa" w:w="2088"/>
            <w:vAlign w:val="top"/>
          </w:tcPr>
          <w:p>
            <w:pPr>
              <w:keepNext w:val="0"/>
              <w:spacing w:after="50" w:before="20" w:line="250" w:lineRule="auto"/>
            </w:pPr>
            <w:r>
              <w:rPr>
                <w:rFonts w:ascii="Arial" w:hAnsi="Arial"/>
                <w:b/>
                <w:sz w:val="18"/>
              </w:rPr>
              <w:t>CR08  Mangomint</w:t>
            </w:r>
            <w:r>
              <w:rPr>
                <w:rFonts w:ascii="Arial" w:hAnsi="Arial"/>
                <w:b w:val="0"/>
                <w:sz w:val="18"/>
              </w:rPr>
              <w:br/>
              <w:t>2026-07-15</w:t>
              <w:br/>
              <w:t>Invited five-star Trustpilot review with feature request</w:t>
            </w:r>
          </w:p>
        </w:tc>
        <w:tc>
          <w:tcPr>
            <w:tcW w:type="dxa" w:w="4896"/>
            <w:vAlign w:val="top"/>
          </w:tcPr>
          <w:p>
            <w:pPr>
              <w:keepNext w:val="0"/>
              <w:spacing w:after="50" w:before="20" w:line="250" w:lineRule="auto"/>
            </w:pPr>
            <w:r>
              <w:rPr>
                <w:rFonts w:ascii="Arial" w:hAnsi="Arial"/>
                <w:sz w:val="18"/>
              </w:rPr>
              <w:t>Praised the platform and requested a log of business turned away.</w:t>
              <w:br/>
              <w:t>Direct expressed need, not evidence that every incumbent lacks it. [CRS04]</w:t>
            </w:r>
          </w:p>
        </w:tc>
        <w:tc>
          <w:tcPr>
            <w:tcW w:type="dxa" w:w="3240"/>
            <w:vAlign w:val="top"/>
          </w:tcPr>
          <w:p>
            <w:pPr>
              <w:keepNext w:val="0"/>
              <w:spacing w:after="50" w:before="20" w:line="250" w:lineRule="auto"/>
            </w:pPr>
            <w:r>
              <w:rPr>
                <w:rFonts w:ascii="Arial" w:hAnsi="Arial"/>
                <w:sz w:val="18"/>
              </w:rPr>
              <w:t>Demand ledger recording unsuccessful searches and manual turn-aways, grouped by reason and suitable action.</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088"/>
        <w:gridCol w:w="4896"/>
        <w:gridCol w:w="3240"/>
      </w:tblGrid>
      <w:tr>
        <w:trPr>
          <w:tblHeader/>
        </w:trPr>
        <w:tc>
          <w:tcPr>
            <w:tcW w:type="dxa" w:w="2088"/>
            <w:vAlign w:val="top"/>
            <w:shd w:fill="173F50"/>
          </w:tcPr>
          <w:p>
            <w:pPr>
              <w:keepNext/>
              <w:spacing w:after="50" w:before="20" w:line="250" w:lineRule="auto"/>
            </w:pPr>
            <w:r>
              <w:rPr>
                <w:rFonts w:ascii="Arial" w:hAnsi="Arial"/>
                <w:b/>
                <w:color w:val="FFFFFF"/>
                <w:sz w:val="18"/>
              </w:rPr>
              <w:t>Signal and date</w:t>
            </w:r>
          </w:p>
        </w:tc>
        <w:tc>
          <w:tcPr>
            <w:tcW w:type="dxa" w:w="4896"/>
            <w:vAlign w:val="top"/>
            <w:shd w:fill="173F50"/>
          </w:tcPr>
          <w:p>
            <w:pPr>
              <w:keepNext/>
              <w:spacing w:after="50" w:before="20" w:line="250" w:lineRule="auto"/>
            </w:pPr>
            <w:r>
              <w:rPr>
                <w:rFonts w:ascii="Arial" w:hAnsi="Arial"/>
                <w:b/>
                <w:color w:val="FFFFFF"/>
                <w:sz w:val="18"/>
              </w:rPr>
              <w:t>Reported experience</w:t>
            </w:r>
          </w:p>
        </w:tc>
        <w:tc>
          <w:tcPr>
            <w:tcW w:type="dxa" w:w="3240"/>
            <w:vAlign w:val="top"/>
            <w:shd w:fill="173F50"/>
          </w:tcPr>
          <w:p>
            <w:pPr>
              <w:keepNext/>
              <w:spacing w:after="50" w:before="20" w:line="250" w:lineRule="auto"/>
            </w:pPr>
            <w:r>
              <w:rPr>
                <w:rFonts w:ascii="Arial" w:hAnsi="Arial"/>
                <w:b/>
                <w:color w:val="FFFFFF"/>
                <w:sz w:val="18"/>
              </w:rPr>
              <w:t>Proposed response</w:t>
            </w:r>
          </w:p>
        </w:tc>
      </w:tr>
      <w:tr>
        <w:trPr>
          <w:cantSplit/>
        </w:trPr>
        <w:tc>
          <w:tcPr>
            <w:tcW w:type="dxa" w:w="2088"/>
            <w:vAlign w:val="top"/>
          </w:tcPr>
          <w:p>
            <w:pPr>
              <w:keepNext w:val="0"/>
              <w:spacing w:after="50" w:before="20" w:line="250" w:lineRule="auto"/>
            </w:pPr>
            <w:r>
              <w:rPr>
                <w:rFonts w:ascii="Arial" w:hAnsi="Arial"/>
                <w:b/>
                <w:sz w:val="18"/>
              </w:rPr>
              <w:t>CR09  Mindbody</w:t>
            </w:r>
            <w:r>
              <w:rPr>
                <w:rFonts w:ascii="Arial" w:hAnsi="Arial"/>
                <w:b w:val="0"/>
                <w:sz w:val="18"/>
              </w:rPr>
              <w:br/>
              <w:t>2026-02-05</w:t>
              <w:br/>
              <w:t>Reddit operator report</w:t>
            </w:r>
          </w:p>
        </w:tc>
        <w:tc>
          <w:tcPr>
            <w:tcW w:type="dxa" w:w="4896"/>
            <w:vAlign w:val="top"/>
          </w:tcPr>
          <w:p>
            <w:pPr>
              <w:keepNext w:val="0"/>
              <w:spacing w:after="50" w:before="20" w:line="250" w:lineRule="auto"/>
            </w:pPr>
            <w:r>
              <w:rPr>
                <w:rFonts w:ascii="Arial" w:hAnsi="Arial"/>
                <w:sz w:val="18"/>
              </w:rPr>
              <w:t>Course-based dance studio praised the backend and support but found mobile course display, analytics views and some reports unsuitable.</w:t>
              <w:br/>
              <w:t>Different industry and booking model; cannot generalize to salons. [CRS05]</w:t>
            </w:r>
          </w:p>
        </w:tc>
        <w:tc>
          <w:tcPr>
            <w:tcW w:type="dxa" w:w="3240"/>
            <w:vAlign w:val="top"/>
          </w:tcPr>
          <w:p>
            <w:pPr>
              <w:keepNext w:val="0"/>
              <w:spacing w:after="50" w:before="20" w:line="250" w:lineRule="auto"/>
            </w:pPr>
            <w:r>
              <w:rPr>
                <w:rFonts w:ascii="Arial" w:hAnsi="Arial"/>
                <w:sz w:val="18"/>
              </w:rPr>
              <w:t>Separate appointments, classes and cohorts; provide segment-specific defaults and report builders.</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088"/>
        <w:gridCol w:w="4896"/>
        <w:gridCol w:w="3240"/>
      </w:tblGrid>
      <w:tr>
        <w:trPr>
          <w:tblHeader/>
        </w:trPr>
        <w:tc>
          <w:tcPr>
            <w:tcW w:type="dxa" w:w="2088"/>
            <w:vAlign w:val="top"/>
            <w:shd w:fill="173F50"/>
          </w:tcPr>
          <w:p>
            <w:pPr>
              <w:keepNext/>
              <w:spacing w:after="50" w:before="20" w:line="250" w:lineRule="auto"/>
            </w:pPr>
            <w:r>
              <w:rPr>
                <w:rFonts w:ascii="Arial" w:hAnsi="Arial"/>
                <w:b/>
                <w:color w:val="FFFFFF"/>
                <w:sz w:val="18"/>
              </w:rPr>
              <w:t>Signal and date</w:t>
            </w:r>
          </w:p>
        </w:tc>
        <w:tc>
          <w:tcPr>
            <w:tcW w:type="dxa" w:w="4896"/>
            <w:vAlign w:val="top"/>
            <w:shd w:fill="173F50"/>
          </w:tcPr>
          <w:p>
            <w:pPr>
              <w:keepNext/>
              <w:spacing w:after="50" w:before="20" w:line="250" w:lineRule="auto"/>
            </w:pPr>
            <w:r>
              <w:rPr>
                <w:rFonts w:ascii="Arial" w:hAnsi="Arial"/>
                <w:b/>
                <w:color w:val="FFFFFF"/>
                <w:sz w:val="18"/>
              </w:rPr>
              <w:t>Reported experience</w:t>
            </w:r>
          </w:p>
        </w:tc>
        <w:tc>
          <w:tcPr>
            <w:tcW w:type="dxa" w:w="3240"/>
            <w:vAlign w:val="top"/>
            <w:shd w:fill="173F50"/>
          </w:tcPr>
          <w:p>
            <w:pPr>
              <w:keepNext/>
              <w:spacing w:after="50" w:before="20" w:line="250" w:lineRule="auto"/>
            </w:pPr>
            <w:r>
              <w:rPr>
                <w:rFonts w:ascii="Arial" w:hAnsi="Arial"/>
                <w:b/>
                <w:color w:val="FFFFFF"/>
                <w:sz w:val="18"/>
              </w:rPr>
              <w:t>Proposed response</w:t>
            </w:r>
          </w:p>
        </w:tc>
      </w:tr>
      <w:tr>
        <w:trPr>
          <w:cantSplit/>
        </w:trPr>
        <w:tc>
          <w:tcPr>
            <w:tcW w:type="dxa" w:w="2088"/>
            <w:vAlign w:val="top"/>
          </w:tcPr>
          <w:p>
            <w:pPr>
              <w:keepNext w:val="0"/>
              <w:spacing w:after="50" w:before="20" w:line="250" w:lineRule="auto"/>
            </w:pPr>
            <w:r>
              <w:rPr>
                <w:rFonts w:ascii="Arial" w:hAnsi="Arial"/>
                <w:b/>
                <w:sz w:val="18"/>
              </w:rPr>
              <w:t>CR10  Zenoti</w:t>
            </w:r>
            <w:r>
              <w:rPr>
                <w:rFonts w:ascii="Arial" w:hAnsi="Arial"/>
                <w:b w:val="0"/>
                <w:sz w:val="18"/>
              </w:rPr>
              <w:br/>
              <w:t>2026-08-03</w:t>
              <w:br/>
              <w:t>Unprompted Trustpilot review</w:t>
            </w:r>
          </w:p>
        </w:tc>
        <w:tc>
          <w:tcPr>
            <w:tcW w:type="dxa" w:w="4896"/>
            <w:vAlign w:val="top"/>
          </w:tcPr>
          <w:p>
            <w:pPr>
              <w:keepNext w:val="0"/>
              <w:spacing w:after="50" w:before="20" w:line="250" w:lineRule="auto"/>
            </w:pPr>
            <w:r>
              <w:rPr>
                <w:rFonts w:ascii="Arial" w:hAnsi="Arial"/>
                <w:sz w:val="18"/>
              </w:rPr>
              <w:t>Clinic operator reported trouble using medical-history forms, photos and video in their doctors' workflow.</w:t>
              <w:br/>
              <w:t>Official materials document these capabilities; this is an implementation/usability complaint. [CRS06]</w:t>
            </w:r>
          </w:p>
        </w:tc>
        <w:tc>
          <w:tcPr>
            <w:tcW w:type="dxa" w:w="3240"/>
            <w:vAlign w:val="top"/>
          </w:tcPr>
          <w:p>
            <w:pPr>
              <w:keepNext w:val="0"/>
              <w:spacing w:after="50" w:before="20" w:line="250" w:lineRule="auto"/>
            </w:pPr>
            <w:r>
              <w:rPr>
                <w:rFonts w:ascii="Arial" w:hAnsi="Arial"/>
                <w:sz w:val="18"/>
              </w:rPr>
              <w:t>Role-based clinical workspace, pre-launch scenario testing and reliable device-specific workflow coverage.</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088"/>
        <w:gridCol w:w="4896"/>
        <w:gridCol w:w="3240"/>
      </w:tblGrid>
      <w:tr>
        <w:trPr>
          <w:tblHeader/>
        </w:trPr>
        <w:tc>
          <w:tcPr>
            <w:tcW w:type="dxa" w:w="2088"/>
            <w:vAlign w:val="top"/>
            <w:shd w:fill="173F50"/>
          </w:tcPr>
          <w:p>
            <w:pPr>
              <w:keepNext/>
              <w:spacing w:after="50" w:before="20" w:line="250" w:lineRule="auto"/>
            </w:pPr>
            <w:r>
              <w:rPr>
                <w:rFonts w:ascii="Arial" w:hAnsi="Arial"/>
                <w:b/>
                <w:color w:val="FFFFFF"/>
                <w:sz w:val="18"/>
              </w:rPr>
              <w:t>Signal and date</w:t>
            </w:r>
          </w:p>
        </w:tc>
        <w:tc>
          <w:tcPr>
            <w:tcW w:type="dxa" w:w="4896"/>
            <w:vAlign w:val="top"/>
            <w:shd w:fill="173F50"/>
          </w:tcPr>
          <w:p>
            <w:pPr>
              <w:keepNext/>
              <w:spacing w:after="50" w:before="20" w:line="250" w:lineRule="auto"/>
            </w:pPr>
            <w:r>
              <w:rPr>
                <w:rFonts w:ascii="Arial" w:hAnsi="Arial"/>
                <w:b/>
                <w:color w:val="FFFFFF"/>
                <w:sz w:val="18"/>
              </w:rPr>
              <w:t>Reported experience</w:t>
            </w:r>
          </w:p>
        </w:tc>
        <w:tc>
          <w:tcPr>
            <w:tcW w:type="dxa" w:w="3240"/>
            <w:vAlign w:val="top"/>
            <w:shd w:fill="173F50"/>
          </w:tcPr>
          <w:p>
            <w:pPr>
              <w:keepNext/>
              <w:spacing w:after="50" w:before="20" w:line="250" w:lineRule="auto"/>
            </w:pPr>
            <w:r>
              <w:rPr>
                <w:rFonts w:ascii="Arial" w:hAnsi="Arial"/>
                <w:b/>
                <w:color w:val="FFFFFF"/>
                <w:sz w:val="18"/>
              </w:rPr>
              <w:t>Proposed response</w:t>
            </w:r>
          </w:p>
        </w:tc>
      </w:tr>
      <w:tr>
        <w:trPr>
          <w:cantSplit/>
        </w:trPr>
        <w:tc>
          <w:tcPr>
            <w:tcW w:type="dxa" w:w="2088"/>
            <w:vAlign w:val="top"/>
          </w:tcPr>
          <w:p>
            <w:pPr>
              <w:keepNext w:val="0"/>
              <w:spacing w:after="50" w:before="20" w:line="250" w:lineRule="auto"/>
            </w:pPr>
            <w:r>
              <w:rPr>
                <w:rFonts w:ascii="Arial" w:hAnsi="Arial"/>
                <w:b/>
                <w:sz w:val="18"/>
              </w:rPr>
              <w:t>CR11  Zenoti</w:t>
            </w:r>
            <w:r>
              <w:rPr>
                <w:rFonts w:ascii="Arial" w:hAnsi="Arial"/>
                <w:b w:val="0"/>
                <w:sz w:val="18"/>
              </w:rPr>
              <w:br/>
              <w:t>2026-09-23</w:t>
              <w:br/>
              <w:t>Unprompted Trustpilot review</w:t>
            </w:r>
          </w:p>
        </w:tc>
        <w:tc>
          <w:tcPr>
            <w:tcW w:type="dxa" w:w="4896"/>
            <w:vAlign w:val="top"/>
          </w:tcPr>
          <w:p>
            <w:pPr>
              <w:keepNext w:val="0"/>
              <w:spacing w:after="50" w:before="20" w:line="250" w:lineRule="auto"/>
            </w:pPr>
            <w:r>
              <w:rPr>
                <w:rFonts w:ascii="Arial" w:hAnsi="Arial"/>
                <w:sz w:val="18"/>
              </w:rPr>
              <w:t>Multi-salon operator wanted multi-provider commission splits exposed through the API rather than manual exports.</w:t>
              <w:br/>
              <w:t>Account/API-contract-specific allegation; no assertion that all APIs omit this. [CRS06]</w:t>
            </w:r>
          </w:p>
        </w:tc>
        <w:tc>
          <w:tcPr>
            <w:tcW w:type="dxa" w:w="3240"/>
            <w:vAlign w:val="top"/>
          </w:tcPr>
          <w:p>
            <w:pPr>
              <w:keepNext w:val="0"/>
              <w:spacing w:after="50" w:before="20" w:line="250" w:lineRule="auto"/>
            </w:pPr>
            <w:r>
              <w:rPr>
                <w:rFonts w:ascii="Arial" w:hAnsi="Arial"/>
                <w:sz w:val="18"/>
              </w:rPr>
              <w:t>Publish field-level API coverage and export economic details, including split allocations.</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088"/>
        <w:gridCol w:w="4896"/>
        <w:gridCol w:w="3240"/>
      </w:tblGrid>
      <w:tr>
        <w:trPr>
          <w:tblHeader/>
        </w:trPr>
        <w:tc>
          <w:tcPr>
            <w:tcW w:type="dxa" w:w="2088"/>
            <w:vAlign w:val="top"/>
            <w:shd w:fill="173F50"/>
          </w:tcPr>
          <w:p>
            <w:pPr>
              <w:keepNext/>
              <w:spacing w:after="50" w:before="20" w:line="250" w:lineRule="auto"/>
            </w:pPr>
            <w:r>
              <w:rPr>
                <w:rFonts w:ascii="Arial" w:hAnsi="Arial"/>
                <w:b/>
                <w:color w:val="FFFFFF"/>
                <w:sz w:val="18"/>
              </w:rPr>
              <w:t>Signal and date</w:t>
            </w:r>
          </w:p>
        </w:tc>
        <w:tc>
          <w:tcPr>
            <w:tcW w:type="dxa" w:w="4896"/>
            <w:vAlign w:val="top"/>
            <w:shd w:fill="173F50"/>
          </w:tcPr>
          <w:p>
            <w:pPr>
              <w:keepNext/>
              <w:spacing w:after="50" w:before="20" w:line="250" w:lineRule="auto"/>
            </w:pPr>
            <w:r>
              <w:rPr>
                <w:rFonts w:ascii="Arial" w:hAnsi="Arial"/>
                <w:b/>
                <w:color w:val="FFFFFF"/>
                <w:sz w:val="18"/>
              </w:rPr>
              <w:t>Reported experience</w:t>
            </w:r>
          </w:p>
        </w:tc>
        <w:tc>
          <w:tcPr>
            <w:tcW w:type="dxa" w:w="3240"/>
            <w:vAlign w:val="top"/>
            <w:shd w:fill="173F50"/>
          </w:tcPr>
          <w:p>
            <w:pPr>
              <w:keepNext/>
              <w:spacing w:after="50" w:before="20" w:line="250" w:lineRule="auto"/>
            </w:pPr>
            <w:r>
              <w:rPr>
                <w:rFonts w:ascii="Arial" w:hAnsi="Arial"/>
                <w:b/>
                <w:color w:val="FFFFFF"/>
                <w:sz w:val="18"/>
              </w:rPr>
              <w:t>Proposed response</w:t>
            </w:r>
          </w:p>
        </w:tc>
      </w:tr>
      <w:tr>
        <w:trPr>
          <w:cantSplit/>
        </w:trPr>
        <w:tc>
          <w:tcPr>
            <w:tcW w:type="dxa" w:w="2088"/>
            <w:vAlign w:val="top"/>
          </w:tcPr>
          <w:p>
            <w:pPr>
              <w:keepNext w:val="0"/>
              <w:spacing w:after="50" w:before="20" w:line="250" w:lineRule="auto"/>
            </w:pPr>
            <w:r>
              <w:rPr>
                <w:rFonts w:ascii="Arial" w:hAnsi="Arial"/>
                <w:b/>
                <w:sz w:val="18"/>
              </w:rPr>
              <w:t>CR12  Fresha</w:t>
            </w:r>
            <w:r>
              <w:rPr>
                <w:rFonts w:ascii="Arial" w:hAnsi="Arial"/>
                <w:b w:val="0"/>
                <w:sz w:val="18"/>
              </w:rPr>
              <w:br/>
              <w:t>2026-10-16</w:t>
              <w:br/>
              <w:t>Updated unprompted Trustpilot review</w:t>
            </w:r>
          </w:p>
        </w:tc>
        <w:tc>
          <w:tcPr>
            <w:tcW w:type="dxa" w:w="4896"/>
            <w:vAlign w:val="top"/>
          </w:tcPr>
          <w:p>
            <w:pPr>
              <w:keepNext w:val="0"/>
              <w:spacing w:after="50" w:before="20" w:line="250" w:lineRule="auto"/>
            </w:pPr>
            <w:r>
              <w:rPr>
                <w:rFonts w:ascii="Arial" w:hAnsi="Arial"/>
                <w:sz w:val="18"/>
              </w:rPr>
              <w:t>Client reported a card charge despite paying cash, followed by difficulty resolving the payment/support discrepancy.</w:t>
              <w:br/>
              <w:t>Unverified transaction allegation; do not conclude platform fault or widespread duplicate billing. [CRS07]</w:t>
            </w:r>
          </w:p>
        </w:tc>
        <w:tc>
          <w:tcPr>
            <w:tcW w:type="dxa" w:w="3240"/>
            <w:vAlign w:val="top"/>
          </w:tcPr>
          <w:p>
            <w:pPr>
              <w:keepNext w:val="0"/>
              <w:spacing w:after="50" w:before="20" w:line="250" w:lineRule="auto"/>
            </w:pPr>
            <w:r>
              <w:rPr>
                <w:rFonts w:ascii="Arial" w:hAnsi="Arial"/>
                <w:sz w:val="18"/>
              </w:rPr>
              <w:t>One authoritative tender ledger, receipt with payment-source breakdown, idempotent capture and tracked dispute ownership.</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088"/>
        <w:gridCol w:w="4896"/>
        <w:gridCol w:w="3240"/>
      </w:tblGrid>
      <w:tr>
        <w:trPr>
          <w:tblHeader/>
        </w:trPr>
        <w:tc>
          <w:tcPr>
            <w:tcW w:type="dxa" w:w="2088"/>
            <w:vAlign w:val="top"/>
            <w:shd w:fill="173F50"/>
          </w:tcPr>
          <w:p>
            <w:pPr>
              <w:keepNext/>
              <w:spacing w:after="50" w:before="20" w:line="250" w:lineRule="auto"/>
            </w:pPr>
            <w:r>
              <w:rPr>
                <w:rFonts w:ascii="Arial" w:hAnsi="Arial"/>
                <w:b/>
                <w:color w:val="FFFFFF"/>
                <w:sz w:val="18"/>
              </w:rPr>
              <w:t>Signal and date</w:t>
            </w:r>
          </w:p>
        </w:tc>
        <w:tc>
          <w:tcPr>
            <w:tcW w:type="dxa" w:w="4896"/>
            <w:vAlign w:val="top"/>
            <w:shd w:fill="173F50"/>
          </w:tcPr>
          <w:p>
            <w:pPr>
              <w:keepNext/>
              <w:spacing w:after="50" w:before="20" w:line="250" w:lineRule="auto"/>
            </w:pPr>
            <w:r>
              <w:rPr>
                <w:rFonts w:ascii="Arial" w:hAnsi="Arial"/>
                <w:b/>
                <w:color w:val="FFFFFF"/>
                <w:sz w:val="18"/>
              </w:rPr>
              <w:t>Reported experience</w:t>
            </w:r>
          </w:p>
        </w:tc>
        <w:tc>
          <w:tcPr>
            <w:tcW w:type="dxa" w:w="3240"/>
            <w:vAlign w:val="top"/>
            <w:shd w:fill="173F50"/>
          </w:tcPr>
          <w:p>
            <w:pPr>
              <w:keepNext/>
              <w:spacing w:after="50" w:before="20" w:line="250" w:lineRule="auto"/>
            </w:pPr>
            <w:r>
              <w:rPr>
                <w:rFonts w:ascii="Arial" w:hAnsi="Arial"/>
                <w:b/>
                <w:color w:val="FFFFFF"/>
                <w:sz w:val="18"/>
              </w:rPr>
              <w:t>Proposed response</w:t>
            </w:r>
          </w:p>
        </w:tc>
      </w:tr>
      <w:tr>
        <w:trPr>
          <w:cantSplit/>
        </w:trPr>
        <w:tc>
          <w:tcPr>
            <w:tcW w:type="dxa" w:w="2088"/>
            <w:vAlign w:val="top"/>
          </w:tcPr>
          <w:p>
            <w:pPr>
              <w:keepNext w:val="0"/>
              <w:spacing w:after="50" w:before="20" w:line="250" w:lineRule="auto"/>
            </w:pPr>
            <w:r>
              <w:rPr>
                <w:rFonts w:ascii="Arial" w:hAnsi="Arial"/>
                <w:b/>
                <w:sz w:val="18"/>
              </w:rPr>
              <w:t>CR13  Acuity Scheduling</w:t>
            </w:r>
            <w:r>
              <w:rPr>
                <w:rFonts w:ascii="Arial" w:hAnsi="Arial"/>
                <w:b w:val="0"/>
                <w:sz w:val="18"/>
              </w:rPr>
              <w:br/>
              <w:t>2026-01-01</w:t>
              <w:br/>
              <w:t>Independent hands-on review</w:t>
            </w:r>
          </w:p>
        </w:tc>
        <w:tc>
          <w:tcPr>
            <w:tcW w:type="dxa" w:w="4896"/>
            <w:vAlign w:val="top"/>
          </w:tcPr>
          <w:p>
            <w:pPr>
              <w:keepNext w:val="0"/>
              <w:spacing w:after="50" w:before="20" w:line="250" w:lineRule="auto"/>
            </w:pPr>
            <w:r>
              <w:rPr>
                <w:rFonts w:ascii="Arial" w:hAnsi="Arial"/>
                <w:sz w:val="18"/>
              </w:rPr>
              <w:t>Testing found confusing payment defaults, inconvenient slot spacing and long calendar navigation; setup and self-service were otherwise praised.</w:t>
              <w:br/>
              <w:t>Reviewer could fix several issues in settings, so these are defaults/discoverability lessons, not missing capabilities. [CRS08]</w:t>
            </w:r>
          </w:p>
        </w:tc>
        <w:tc>
          <w:tcPr>
            <w:tcW w:type="dxa" w:w="3240"/>
            <w:vAlign w:val="top"/>
          </w:tcPr>
          <w:p>
            <w:pPr>
              <w:keepNext w:val="0"/>
              <w:spacing w:after="50" w:before="20" w:line="250" w:lineRule="auto"/>
            </w:pPr>
            <w:r>
              <w:rPr>
                <w:rFonts w:ascii="Arial" w:hAnsi="Arial"/>
                <w:sz w:val="18"/>
              </w:rPr>
              <w:t>Guided settings preview, show a sample client checkout, and explain schedule-density consequences before launch.</w:t>
            </w:r>
          </w:p>
        </w:tc>
      </w:tr>
    </w:tbl>
    <w:p>
      <w:pPr>
        <w:spacing w:after="40" w:before="0" w:line="240" w:lineRule="auto"/>
      </w:pPr>
      <w:r>
        <w:rPr>
          <w:sz w:val="4"/>
        </w:rPr>
      </w:r>
    </w:p>
    <w:p>
      <w:pPr>
        <w:pStyle w:val="Heading2"/>
      </w:pPr>
      <w:r>
        <w:t>3 3 What people may value before they ask for it</w:t>
      </w:r>
    </w:p>
    <w:p>
      <w:r>
        <w:t>These are latent-need hypotheses derived from workflow patterns and feedback. They are not claims that users are unaware of their own needs, nor that the market has no solution. Validate the task and the benefit with actual owners and clients.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376"/>
        <w:gridCol w:w="4680"/>
        <w:gridCol w:w="3168"/>
      </w:tblGrid>
      <w:tr>
        <w:trPr>
          <w:tblHeader/>
        </w:trPr>
        <w:tc>
          <w:tcPr>
            <w:tcW w:type="dxa" w:w="2376"/>
            <w:vAlign w:val="top"/>
            <w:shd w:fill="173F50"/>
          </w:tcPr>
          <w:p>
            <w:pPr>
              <w:keepNext/>
              <w:spacing w:after="50" w:before="20" w:line="250" w:lineRule="auto"/>
            </w:pPr>
            <w:r>
              <w:rPr>
                <w:rFonts w:ascii="Arial" w:hAnsi="Arial"/>
                <w:b/>
                <w:color w:val="FFFFFF"/>
                <w:sz w:val="18"/>
              </w:rPr>
              <w:t>Latent need</w:t>
            </w:r>
          </w:p>
        </w:tc>
        <w:tc>
          <w:tcPr>
            <w:tcW w:type="dxa" w:w="4680"/>
            <w:vAlign w:val="top"/>
            <w:shd w:fill="173F50"/>
          </w:tcPr>
          <w:p>
            <w:pPr>
              <w:keepNext/>
              <w:spacing w:after="50" w:before="20" w:line="250" w:lineRule="auto"/>
            </w:pPr>
            <w:r>
              <w:rPr>
                <w:rFonts w:ascii="Arial" w:hAnsi="Arial"/>
                <w:b/>
                <w:color w:val="FFFFFF"/>
                <w:sz w:val="18"/>
              </w:rPr>
              <w:t>Proposed workflow</w:t>
            </w:r>
          </w:p>
        </w:tc>
        <w:tc>
          <w:tcPr>
            <w:tcW w:type="dxa" w:w="3168"/>
            <w:vAlign w:val="top"/>
            <w:shd w:fill="173F50"/>
          </w:tcPr>
          <w:p>
            <w:pPr>
              <w:keepNext/>
              <w:spacing w:after="50" w:before="20" w:line="250" w:lineRule="auto"/>
            </w:pPr>
            <w:r>
              <w:rPr>
                <w:rFonts w:ascii="Arial" w:hAnsi="Arial"/>
                <w:b/>
                <w:color w:val="FFFFFF"/>
                <w:sz w:val="18"/>
              </w:rPr>
              <w:t>Features and validation</w:t>
            </w:r>
          </w:p>
        </w:tc>
      </w:tr>
      <w:tr>
        <w:trPr>
          <w:cantSplit/>
        </w:trPr>
        <w:tc>
          <w:tcPr>
            <w:tcW w:type="dxa" w:w="2376"/>
            <w:vAlign w:val="top"/>
          </w:tcPr>
          <w:p>
            <w:pPr>
              <w:keepNext w:val="0"/>
              <w:spacing w:after="50" w:before="20" w:line="250" w:lineRule="auto"/>
            </w:pPr>
            <w:r>
              <w:rPr>
                <w:rFonts w:ascii="Arial" w:hAnsi="Arial"/>
                <w:sz w:val="18"/>
              </w:rPr>
              <w:t>Confidence when switching</w:t>
            </w:r>
          </w:p>
        </w:tc>
        <w:tc>
          <w:tcPr>
            <w:tcW w:type="dxa" w:w="4680"/>
            <w:vAlign w:val="top"/>
          </w:tcPr>
          <w:p>
            <w:pPr>
              <w:keepNext w:val="0"/>
              <w:spacing w:after="50" w:before="20" w:line="250" w:lineRule="auto"/>
            </w:pPr>
            <w:r>
              <w:rPr>
                <w:rFonts w:ascii="Arial" w:hAnsi="Arial"/>
                <w:sz w:val="18"/>
              </w:rPr>
              <w:t>A rehearsal shows what transferred, what did not, and which customer obligations remain active.</w:t>
            </w:r>
          </w:p>
        </w:tc>
        <w:tc>
          <w:tcPr>
            <w:tcW w:type="dxa" w:w="3168"/>
            <w:vAlign w:val="top"/>
          </w:tcPr>
          <w:p>
            <w:pPr>
              <w:keepNext w:val="0"/>
              <w:spacing w:after="50" w:before="20" w:line="250" w:lineRule="auto"/>
            </w:pPr>
            <w:r>
              <w:rPr>
                <w:rFonts w:ascii="Arial" w:hAnsi="Arial"/>
                <w:sz w:val="18"/>
              </w:rPr>
              <w:t>F104 F105 F119</w:t>
              <w:br/>
              <w:t>Reconciliation completeness; live cutover incidents</w:t>
            </w:r>
          </w:p>
        </w:tc>
      </w:tr>
      <w:tr>
        <w:trPr>
          <w:cantSplit/>
        </w:trPr>
        <w:tc>
          <w:tcPr>
            <w:tcW w:type="dxa" w:w="2376"/>
            <w:vAlign w:val="top"/>
            <w:shd w:fill="F3F6F7"/>
          </w:tcPr>
          <w:p>
            <w:pPr>
              <w:keepNext w:val="0"/>
              <w:spacing w:after="50" w:before="20" w:line="250" w:lineRule="auto"/>
            </w:pPr>
            <w:r>
              <w:rPr>
                <w:rFonts w:ascii="Arial" w:hAnsi="Arial"/>
                <w:sz w:val="18"/>
              </w:rPr>
              <w:t>A tomorrow that is already prepared</w:t>
            </w:r>
          </w:p>
        </w:tc>
        <w:tc>
          <w:tcPr>
            <w:tcW w:type="dxa" w:w="4680"/>
            <w:vAlign w:val="top"/>
            <w:shd w:fill="F3F6F7"/>
          </w:tcPr>
          <w:p>
            <w:pPr>
              <w:keepNext w:val="0"/>
              <w:spacing w:after="50" w:before="20" w:line="250" w:lineRule="auto"/>
            </w:pPr>
            <w:r>
              <w:rPr>
                <w:rFonts w:ascii="Arial" w:hAnsi="Arial"/>
                <w:sz w:val="18"/>
              </w:rPr>
              <w:t>Missing forms, expiring records, unpaid deposits and unavailable materials appear in one owned queue.</w:t>
            </w:r>
          </w:p>
        </w:tc>
        <w:tc>
          <w:tcPr>
            <w:tcW w:type="dxa" w:w="3168"/>
            <w:vAlign w:val="top"/>
            <w:shd w:fill="F3F6F7"/>
          </w:tcPr>
          <w:p>
            <w:pPr>
              <w:keepNext w:val="0"/>
              <w:spacing w:after="50" w:before="20" w:line="250" w:lineRule="auto"/>
            </w:pPr>
            <w:r>
              <w:rPr>
                <w:rFonts w:ascii="Arial" w:hAnsi="Arial"/>
                <w:sz w:val="18"/>
              </w:rPr>
              <w:t>F015 F043 F126</w:t>
              <w:br/>
              <w:t>K31 readiness; last-minute interruptions</w:t>
            </w:r>
          </w:p>
        </w:tc>
      </w:tr>
      <w:tr>
        <w:trPr>
          <w:cantSplit/>
        </w:trPr>
        <w:tc>
          <w:tcPr>
            <w:tcW w:type="dxa" w:w="2376"/>
            <w:vAlign w:val="top"/>
          </w:tcPr>
          <w:p>
            <w:pPr>
              <w:keepNext w:val="0"/>
              <w:spacing w:after="50" w:before="20" w:line="250" w:lineRule="auto"/>
            </w:pPr>
            <w:r>
              <w:rPr>
                <w:rFonts w:ascii="Arial" w:hAnsi="Arial"/>
                <w:sz w:val="18"/>
              </w:rPr>
              <w:t>A brand that stays consistent</w:t>
            </w:r>
          </w:p>
        </w:tc>
        <w:tc>
          <w:tcPr>
            <w:tcW w:type="dxa" w:w="4680"/>
            <w:vAlign w:val="top"/>
          </w:tcPr>
          <w:p>
            <w:pPr>
              <w:keepNext w:val="0"/>
              <w:spacing w:after="50" w:before="20" w:line="250" w:lineRule="auto"/>
            </w:pPr>
            <w:r>
              <w:rPr>
                <w:rFonts w:ascii="Arial" w:hAnsi="Arial"/>
                <w:sz w:val="18"/>
              </w:rPr>
              <w:t>One setup produces coordinated client pages, messages and approved documents, including printable alternatives.</w:t>
            </w:r>
          </w:p>
        </w:tc>
        <w:tc>
          <w:tcPr>
            <w:tcW w:type="dxa" w:w="3168"/>
            <w:vAlign w:val="top"/>
          </w:tcPr>
          <w:p>
            <w:pPr>
              <w:keepNext w:val="0"/>
              <w:spacing w:after="50" w:before="20" w:line="250" w:lineRule="auto"/>
            </w:pPr>
            <w:r>
              <w:rPr>
                <w:rFonts w:ascii="Arial" w:hAnsi="Arial"/>
                <w:sz w:val="18"/>
              </w:rPr>
              <w:t>F001 F036 F106</w:t>
              <w:br/>
              <w:t>Setup time; K32 document rework</w:t>
            </w:r>
          </w:p>
        </w:tc>
      </w:tr>
      <w:tr>
        <w:trPr>
          <w:cantSplit/>
        </w:trPr>
        <w:tc>
          <w:tcPr>
            <w:tcW w:type="dxa" w:w="2376"/>
            <w:vAlign w:val="top"/>
            <w:shd w:fill="F3F6F7"/>
          </w:tcPr>
          <w:p>
            <w:pPr>
              <w:keepNext w:val="0"/>
              <w:spacing w:after="50" w:before="20" w:line="250" w:lineRule="auto"/>
            </w:pPr>
            <w:r>
              <w:rPr>
                <w:rFonts w:ascii="Arial" w:hAnsi="Arial"/>
                <w:sz w:val="18"/>
              </w:rPr>
              <w:t>A short explanation of each balance</w:t>
            </w:r>
          </w:p>
        </w:tc>
        <w:tc>
          <w:tcPr>
            <w:tcW w:type="dxa" w:w="4680"/>
            <w:vAlign w:val="top"/>
            <w:shd w:fill="F3F6F7"/>
          </w:tcPr>
          <w:p>
            <w:pPr>
              <w:keepNext w:val="0"/>
              <w:spacing w:after="50" w:before="20" w:line="250" w:lineRule="auto"/>
            </w:pPr>
            <w:r>
              <w:rPr>
                <w:rFonts w:ascii="Arial" w:hAnsi="Arial"/>
                <w:sz w:val="18"/>
              </w:rPr>
              <w:t>The owner can see why earned revenue, collected money and the bank payout differ.</w:t>
            </w:r>
          </w:p>
        </w:tc>
        <w:tc>
          <w:tcPr>
            <w:tcW w:type="dxa" w:w="3168"/>
            <w:vAlign w:val="top"/>
            <w:shd w:fill="F3F6F7"/>
          </w:tcPr>
          <w:p>
            <w:pPr>
              <w:keepNext w:val="0"/>
              <w:spacing w:after="50" w:before="20" w:line="250" w:lineRule="auto"/>
            </w:pPr>
            <w:r>
              <w:rPr>
                <w:rFonts w:ascii="Arial" w:hAnsi="Arial"/>
                <w:sz w:val="18"/>
              </w:rPr>
              <w:t>F068 F074 F090</w:t>
              <w:br/>
              <w:t>K48 K49 reconciliation; support cases</w:t>
            </w:r>
          </w:p>
        </w:tc>
      </w:tr>
      <w:tr>
        <w:trPr>
          <w:cantSplit/>
        </w:trPr>
        <w:tc>
          <w:tcPr>
            <w:tcW w:type="dxa" w:w="2376"/>
            <w:vAlign w:val="top"/>
          </w:tcPr>
          <w:p>
            <w:pPr>
              <w:keepNext w:val="0"/>
              <w:spacing w:after="50" w:before="20" w:line="250" w:lineRule="auto"/>
            </w:pPr>
            <w:r>
              <w:rPr>
                <w:rFonts w:ascii="Arial" w:hAnsi="Arial"/>
                <w:sz w:val="18"/>
              </w:rPr>
              <w:t>Recognition of demand they cannot serve</w:t>
            </w:r>
          </w:p>
        </w:tc>
        <w:tc>
          <w:tcPr>
            <w:tcW w:type="dxa" w:w="4680"/>
            <w:vAlign w:val="top"/>
          </w:tcPr>
          <w:p>
            <w:pPr>
              <w:keepNext w:val="0"/>
              <w:spacing w:after="50" w:before="20" w:line="250" w:lineRule="auto"/>
            </w:pPr>
            <w:r>
              <w:rPr>
                <w:rFonts w:ascii="Arial" w:hAnsi="Arial"/>
                <w:sz w:val="18"/>
              </w:rPr>
              <w:t>A turn-away log preserves explicit requests even when no booking or waitlist entry exists.</w:t>
            </w:r>
          </w:p>
        </w:tc>
        <w:tc>
          <w:tcPr>
            <w:tcW w:type="dxa" w:w="3168"/>
            <w:vAlign w:val="top"/>
          </w:tcPr>
          <w:p>
            <w:pPr>
              <w:keepNext w:val="0"/>
              <w:spacing w:after="50" w:before="20" w:line="250" w:lineRule="auto"/>
            </w:pPr>
            <w:r>
              <w:rPr>
                <w:rFonts w:ascii="Arial" w:hAnsi="Arial"/>
                <w:sz w:val="18"/>
              </w:rPr>
              <w:t>F192</w:t>
              <w:br/>
              <w:t>K11 addressable demand; completed recoveries</w:t>
            </w:r>
          </w:p>
        </w:tc>
      </w:tr>
      <w:tr>
        <w:trPr>
          <w:cantSplit/>
        </w:trPr>
        <w:tc>
          <w:tcPr>
            <w:tcW w:type="dxa" w:w="2376"/>
            <w:vAlign w:val="top"/>
            <w:shd w:fill="F3F6F7"/>
          </w:tcPr>
          <w:p>
            <w:pPr>
              <w:keepNext w:val="0"/>
              <w:spacing w:after="50" w:before="20" w:line="250" w:lineRule="auto"/>
            </w:pPr>
            <w:r>
              <w:rPr>
                <w:rFonts w:ascii="Arial" w:hAnsi="Arial"/>
                <w:sz w:val="18"/>
              </w:rPr>
              <w:t>A visit that fits real life</w:t>
            </w:r>
          </w:p>
        </w:tc>
        <w:tc>
          <w:tcPr>
            <w:tcW w:type="dxa" w:w="4680"/>
            <w:vAlign w:val="top"/>
            <w:shd w:fill="F3F6F7"/>
          </w:tcPr>
          <w:p>
            <w:pPr>
              <w:keepNext w:val="0"/>
              <w:spacing w:after="50" w:before="20" w:line="250" w:lineRule="auto"/>
            </w:pPr>
            <w:r>
              <w:rPr>
                <w:rFonts w:ascii="Arial" w:hAnsi="Arial"/>
                <w:sz w:val="18"/>
              </w:rPr>
              <w:t>A client states a budget and departure deadline before comparing approved options.</w:t>
            </w:r>
          </w:p>
        </w:tc>
        <w:tc>
          <w:tcPr>
            <w:tcW w:type="dxa" w:w="3168"/>
            <w:vAlign w:val="top"/>
            <w:shd w:fill="F3F6F7"/>
          </w:tcPr>
          <w:p>
            <w:pPr>
              <w:keepNext w:val="0"/>
              <w:spacing w:after="50" w:before="20" w:line="250" w:lineRule="auto"/>
            </w:pPr>
            <w:r>
              <w:rPr>
                <w:rFonts w:ascii="Arial" w:hAnsi="Arial"/>
                <w:sz w:val="18"/>
              </w:rPr>
              <w:t>F193 F194</w:t>
              <w:br/>
              <w:t>Feasible choice rate; missed-deadline corrections</w:t>
            </w:r>
          </w:p>
        </w:tc>
      </w:tr>
      <w:tr>
        <w:trPr>
          <w:cantSplit/>
        </w:trPr>
        <w:tc>
          <w:tcPr>
            <w:tcW w:type="dxa" w:w="2376"/>
            <w:vAlign w:val="top"/>
          </w:tcPr>
          <w:p>
            <w:pPr>
              <w:keepNext w:val="0"/>
              <w:spacing w:after="50" w:before="20" w:line="250" w:lineRule="auto"/>
            </w:pPr>
            <w:r>
              <w:rPr>
                <w:rFonts w:ascii="Arial" w:hAnsi="Arial"/>
                <w:sz w:val="18"/>
              </w:rPr>
              <w:t>A better working week</w:t>
            </w:r>
          </w:p>
        </w:tc>
        <w:tc>
          <w:tcPr>
            <w:tcW w:type="dxa" w:w="4680"/>
            <w:vAlign w:val="top"/>
          </w:tcPr>
          <w:p>
            <w:pPr>
              <w:keepNext w:val="0"/>
              <w:spacing w:after="50" w:before="20" w:line="250" w:lineRule="auto"/>
            </w:pPr>
            <w:r>
              <w:rPr>
                <w:rFonts w:ascii="Arial" w:hAnsi="Arial"/>
                <w:sz w:val="18"/>
              </w:rPr>
              <w:t>Scenario planning supports protected breaks or a day off alongside a contribution target.</w:t>
            </w:r>
          </w:p>
        </w:tc>
        <w:tc>
          <w:tcPr>
            <w:tcW w:type="dxa" w:w="3168"/>
            <w:vAlign w:val="top"/>
          </w:tcPr>
          <w:p>
            <w:pPr>
              <w:keepNext w:val="0"/>
              <w:spacing w:after="50" w:before="20" w:line="250" w:lineRule="auto"/>
            </w:pPr>
            <w:r>
              <w:rPr>
                <w:rFonts w:ascii="Arial" w:hAnsi="Arial"/>
                <w:sz w:val="18"/>
              </w:rPr>
              <w:t>F020 F143 F151</w:t>
              <w:br/>
              <w:t>Owner time goal; K03 contribution</w:t>
            </w:r>
          </w:p>
        </w:tc>
      </w:tr>
      <w:tr>
        <w:trPr>
          <w:cantSplit/>
        </w:trPr>
        <w:tc>
          <w:tcPr>
            <w:tcW w:type="dxa" w:w="2376"/>
            <w:vAlign w:val="top"/>
            <w:shd w:fill="F3F6F7"/>
          </w:tcPr>
          <w:p>
            <w:pPr>
              <w:keepNext w:val="0"/>
              <w:spacing w:after="50" w:before="20" w:line="250" w:lineRule="auto"/>
            </w:pPr>
            <w:r>
              <w:rPr>
                <w:rFonts w:ascii="Arial" w:hAnsi="Arial"/>
                <w:sz w:val="18"/>
              </w:rPr>
              <w:t>An app that can be trusted with change</w:t>
            </w:r>
          </w:p>
        </w:tc>
        <w:tc>
          <w:tcPr>
            <w:tcW w:type="dxa" w:w="4680"/>
            <w:vAlign w:val="top"/>
            <w:shd w:fill="F3F6F7"/>
          </w:tcPr>
          <w:p>
            <w:pPr>
              <w:keepNext w:val="0"/>
              <w:spacing w:after="50" w:before="20" w:line="250" w:lineRule="auto"/>
            </w:pPr>
            <w:r>
              <w:rPr>
                <w:rFonts w:ascii="Arial" w:hAnsi="Arial"/>
                <w:sz w:val="18"/>
              </w:rPr>
              <w:t>Rehearse a policy, message or price update and inspect every affected appointment first.</w:t>
            </w:r>
          </w:p>
        </w:tc>
        <w:tc>
          <w:tcPr>
            <w:tcW w:type="dxa" w:w="3168"/>
            <w:vAlign w:val="top"/>
            <w:shd w:fill="F3F6F7"/>
          </w:tcPr>
          <w:p>
            <w:pPr>
              <w:keepNext w:val="0"/>
              <w:spacing w:after="50" w:before="20" w:line="250" w:lineRule="auto"/>
            </w:pPr>
            <w:r>
              <w:rPr>
                <w:rFonts w:ascii="Arial" w:hAnsi="Arial"/>
                <w:sz w:val="18"/>
              </w:rPr>
              <w:t>F108 F153 F169</w:t>
              <w:br/>
              <w:t>Unexpected effects; rollback and correction rate</w:t>
            </w:r>
          </w:p>
        </w:tc>
      </w:tr>
      <w:tr>
        <w:trPr>
          <w:cantSplit/>
        </w:trPr>
        <w:tc>
          <w:tcPr>
            <w:tcW w:type="dxa" w:w="2376"/>
            <w:vAlign w:val="top"/>
          </w:tcPr>
          <w:p>
            <w:pPr>
              <w:keepNext w:val="0"/>
              <w:spacing w:after="50" w:before="20" w:line="250" w:lineRule="auto"/>
            </w:pPr>
            <w:r>
              <w:rPr>
                <w:rFonts w:ascii="Arial" w:hAnsi="Arial"/>
                <w:sz w:val="18"/>
              </w:rPr>
              <w:t>Help without another download</w:t>
            </w:r>
          </w:p>
        </w:tc>
        <w:tc>
          <w:tcPr>
            <w:tcW w:type="dxa" w:w="4680"/>
            <w:vAlign w:val="top"/>
          </w:tcPr>
          <w:p>
            <w:pPr>
              <w:keepNext w:val="0"/>
              <w:spacing w:after="50" w:before="20" w:line="250" w:lineRule="auto"/>
            </w:pPr>
            <w:r>
              <w:rPr>
                <w:rFonts w:ascii="Arial" w:hAnsi="Arial"/>
                <w:sz w:val="18"/>
              </w:rPr>
              <w:t>Guest links, approved assisted completion and delegated payers support clients with low digital confidence.</w:t>
            </w:r>
          </w:p>
        </w:tc>
        <w:tc>
          <w:tcPr>
            <w:tcW w:type="dxa" w:w="3168"/>
            <w:vAlign w:val="top"/>
          </w:tcPr>
          <w:p>
            <w:pPr>
              <w:keepNext w:val="0"/>
              <w:spacing w:after="50" w:before="20" w:line="250" w:lineRule="auto"/>
            </w:pPr>
            <w:r>
              <w:rPr>
                <w:rFonts w:ascii="Arial" w:hAnsi="Arial"/>
                <w:sz w:val="18"/>
              </w:rPr>
              <w:t>F031 F075 F128 F195</w:t>
              <w:br/>
              <w:t>K56 critical-task success; assisted completion</w:t>
            </w:r>
          </w:p>
        </w:tc>
      </w:tr>
      <w:tr>
        <w:trPr>
          <w:cantSplit/>
        </w:trPr>
        <w:tc>
          <w:tcPr>
            <w:tcW w:type="dxa" w:w="2376"/>
            <w:vAlign w:val="top"/>
            <w:shd w:fill="F3F6F7"/>
          </w:tcPr>
          <w:p>
            <w:pPr>
              <w:keepNext w:val="0"/>
              <w:spacing w:after="50" w:before="20" w:line="250" w:lineRule="auto"/>
            </w:pPr>
            <w:r>
              <w:rPr>
                <w:rFonts w:ascii="Arial" w:hAnsi="Arial"/>
                <w:sz w:val="18"/>
              </w:rPr>
              <w:t>Freedom to leave safely</w:t>
            </w:r>
          </w:p>
        </w:tc>
        <w:tc>
          <w:tcPr>
            <w:tcW w:type="dxa" w:w="4680"/>
            <w:vAlign w:val="top"/>
            <w:shd w:fill="F3F6F7"/>
          </w:tcPr>
          <w:p>
            <w:pPr>
              <w:keepNext w:val="0"/>
              <w:spacing w:after="50" w:before="20" w:line="250" w:lineRule="auto"/>
            </w:pPr>
            <w:r>
              <w:rPr>
                <w:rFonts w:ascii="Arial" w:hAnsi="Arial"/>
                <w:sz w:val="18"/>
              </w:rPr>
              <w:t>A usable exit pack, preserved issued records and clear cancellation reduce lock-in anxiety.</w:t>
            </w:r>
          </w:p>
        </w:tc>
        <w:tc>
          <w:tcPr>
            <w:tcW w:type="dxa" w:w="3168"/>
            <w:vAlign w:val="top"/>
            <w:shd w:fill="F3F6F7"/>
          </w:tcPr>
          <w:p>
            <w:pPr>
              <w:keepNext w:val="0"/>
              <w:spacing w:after="50" w:before="20" w:line="250" w:lineRule="auto"/>
            </w:pPr>
            <w:r>
              <w:rPr>
                <w:rFonts w:ascii="Arial" w:hAnsi="Arial"/>
                <w:sz w:val="18"/>
              </w:rPr>
              <w:t>F057 F119 F190</w:t>
              <w:br/>
              <w:t>Export completeness; unresolved exit cases</w:t>
            </w:r>
          </w:p>
        </w:tc>
      </w:tr>
    </w:tbl>
    <w:p>
      <w:pPr>
        <w:spacing w:after="40" w:before="0" w:line="240" w:lineRule="auto"/>
      </w:pPr>
      <w:r>
        <w:rPr>
          <w:sz w:val="4"/>
        </w:rPr>
      </w:r>
    </w:p>
    <w:p>
      <w:r>
        <w:t>An especially useful signal is the satisfied Mangomint customer who asked for turn-away tracking. That supports investigating the workflow, not assuming a large market or monetizable lost revenue. Availability browsing and explicit unmet requests must be counted separately. [CRS04]</w:t>
      </w:r>
    </w:p>
    <w:p>
      <w:bookmarkStart w:id="5" w:name="transfers"/>
      <w:pPr>
        <w:pStyle w:val="Heading1"/>
        <w:pageBreakBefore/>
      </w:pPr>
      <w:r>
        <w:t>4 Ideas from other industries</w:t>
      </w:r>
      <w:bookmarkEnd w:id="5"/>
    </w:p>
    <w:p>
      <w:r>
        <w:t>The strongest transfers simplify a repeated task, connect steps that normally feel separate, or make consequences visible. Popularity evidence is uneven: feature usage, controlled experiments and platform size are different kinds of evidence. None proves that the same numerical outcome will occur in this app.</w:t>
      </w:r>
    </w:p>
    <w:p>
      <w:pPr>
        <w:pStyle w:val="Heading2"/>
      </w:pPr>
      <w:r>
        <w:t>4 1 Thirteen researched transfer patterns</w:t>
      </w:r>
    </w:p>
    <w:p>
      <w:pPr>
        <w:pStyle w:val="Heading3"/>
      </w:pPr>
      <w:r>
        <w:t>HoneyBook in Creative and professional services</w:t>
      </w:r>
    </w:p>
    <w:p>
      <w:r>
        <w:t>One branded link carries the whole sale. Smart Files combine service choice, questions, signature, scheduling and payment. [X01, X02]</w:t>
      </w:r>
    </w:p>
    <w:p>
      <w:r>
        <w:rPr>
          <w:b/>
        </w:rPr>
        <w:t>Evidence of popularity or effect:</w:t>
      </w:r>
      <w:r>
        <w:t xml:space="preserve"> Capability proven. Platform claims 100K+ businesses; no Smart Files adoption or causal lift found.</w:t>
      </w:r>
    </w:p>
    <w:p>
      <w:r>
        <w:rPr>
          <w:b/>
        </w:rPr>
        <w:t>Proposed adaptation:</w:t>
      </w:r>
      <w:r>
        <w:t xml:space="preserve"> Consultation-to-treatment or bridal proposal: scope, options, policy, consent, deposit and appointment in one coherent journey. Preserve separately signed versions.</w:t>
      </w:r>
    </w:p>
    <w:p>
      <w:pPr>
        <w:pStyle w:val="Heading3"/>
      </w:pPr>
      <w:r>
        <w:t>Jobber in Home services</w:t>
      </w:r>
    </w:p>
    <w:p>
      <w:r>
        <w:t>Client self-service follows the job's state. Client Hub supports work requests, quote approval/change requests, appointment details and payments. [X03, X04]</w:t>
      </w:r>
    </w:p>
    <w:p>
      <w:r>
        <w:rPr>
          <w:b/>
        </w:rPr>
        <w:t>Evidence of popularity or effect:</w:t>
      </w:r>
      <w:r>
        <w:t xml:space="preserve"> Capability proven. 400,000 service-pro claim is platform-wide, not Client Hub usage.</w:t>
      </w:r>
    </w:p>
    <w:p>
      <w:r>
        <w:rPr>
          <w:b/>
        </w:rPr>
        <w:t>Proposed adaptation:</w:t>
      </w:r>
      <w:r>
        <w:t xml:space="preserve"> Give every client one private link showing what needs attention now: approve a changed service, finish intake, pay balance, download receipt or rebook.</w:t>
      </w:r>
    </w:p>
    <w:p>
      <w:pPr>
        <w:pStyle w:val="Heading3"/>
      </w:pPr>
      <w:r>
        <w:t>Shopify / Shop Pay in Commerce</w:t>
      </w:r>
    </w:p>
    <w:p>
      <w:r>
        <w:t>Recognize returning customers and minimize repeat entry. Saved details accelerate checkout; Shopify reports up to 50% conversion lift vs guest from an external 2023 study. [X05]</w:t>
      </w:r>
    </w:p>
    <w:p>
      <w:r>
        <w:rPr>
          <w:b/>
        </w:rPr>
        <w:t>Evidence of popularity or effect:</w:t>
      </w:r>
      <w:r>
        <w:t xml:space="preserve"> Feature outcome evidence exists, vendor-reported; not a promised booking conversion gain.</w:t>
      </w:r>
    </w:p>
    <w:p>
      <w:r>
        <w:rPr>
          <w:b/>
        </w:rPr>
        <w:t>Proposed adaptation:</w:t>
      </w:r>
      <w:r>
        <w:t xml:space="preserve"> Offer guest booking plus secure returning-client recognition, prefilled details and wallet checkout. Avoid forced app downloads or an extra account before viewing availability.</w:t>
      </w:r>
    </w:p>
    <w:p>
      <w:pPr>
        <w:pStyle w:val="Heading3"/>
      </w:pPr>
      <w:r>
        <w:t>Canva in Design</w:t>
      </w:r>
    </w:p>
    <w:p>
      <w:r>
        <w:t>Brand once, reuse across formats. Brand Kit and one-click branding of templates; Canva reports 5 billion Brand Kit uses in 2025. [X06, X07]</w:t>
      </w:r>
    </w:p>
    <w:p>
      <w:r>
        <w:rPr>
          <w:b/>
        </w:rPr>
        <w:t>Evidence of popularity or effect:</w:t>
      </w:r>
      <w:r>
        <w:t xml:space="preserve"> Direct feature-usage evidence; uses are not unique users and do not prove business ROI.</w:t>
      </w:r>
    </w:p>
    <w:p>
      <w:r>
        <w:rPr>
          <w:b/>
        </w:rPr>
        <w:t>Proposed adaptation:</w:t>
      </w:r>
      <w:r>
        <w:t xml:space="preserve"> One approved brand system drives booking site, forms, estimates, aftercare, gift cards, menu boards, social tiles and PDFs; one preview shows the whole client journey.</w:t>
      </w:r>
    </w:p>
    <w:p>
      <w:pPr>
        <w:pStyle w:val="Heading3"/>
      </w:pPr>
      <w:r>
        <w:t>Toast / xtraCHEF in Restaurants</w:t>
      </w:r>
    </w:p>
    <w:p>
      <w:r>
        <w:t>Connect the item sold to its actual inputs. Recipes, invoice items and POS product mix support cost and margin reporting. [X08, X30, X23, X24]</w:t>
      </w:r>
    </w:p>
    <w:p>
      <w:r>
        <w:rPr>
          <w:b/>
        </w:rPr>
        <w:t>Evidence of popularity or effect:</w:t>
      </w:r>
      <w:r>
        <w:t xml:space="preserve"> Capability proven; feature-level popularity or causal savings not established in the cited docs.</w:t>
      </w:r>
    </w:p>
    <w:p>
      <w:r>
        <w:rPr>
          <w:b/>
        </w:rPr>
        <w:t>Proposed adaptation:</w:t>
      </w:r>
      <w:r>
        <w:t xml:space="preserve"> Service recipes connect consumables, time and commission to margin. Vish and SalonScale already cover adjacent salon costing; differentiate through integrated action and usability.</w:t>
      </w:r>
    </w:p>
    <w:p>
      <w:pPr>
        <w:pStyle w:val="Heading3"/>
      </w:pPr>
      <w:r>
        <w:t>OpenTable in Hospitality</w:t>
      </w:r>
    </w:p>
    <w:p>
      <w:r>
        <w:t>Remember unmet demand, then react to inventory opening. Notify Me connects unavailable booking requests with later openings and restaurant waitlists. [X09, X10]</w:t>
      </w:r>
    </w:p>
    <w:p>
      <w:r>
        <w:rPr>
          <w:b/>
        </w:rPr>
        <w:t>Evidence of popularity or effect:</w:t>
      </w:r>
      <w:r>
        <w:t xml:space="preserve"> Established capability; no quantified adoption established here.</w:t>
      </w:r>
    </w:p>
    <w:p>
      <w:r>
        <w:rPr>
          <w:b/>
        </w:rPr>
        <w:t>Proposed adaptation:</w:t>
      </w:r>
      <w:r>
        <w:t xml:space="preserve"> Store client availability windows, provider flexibility and required service duration, then offer a compatible cancellation slot with a clear claim deadline.</w:t>
      </w:r>
    </w:p>
    <w:p>
      <w:pPr>
        <w:pStyle w:val="Heading3"/>
      </w:pPr>
      <w:r>
        <w:t>Duolingo in Education</w:t>
      </w:r>
    </w:p>
    <w:p>
      <w:r>
        <w:t>Lower the smallest useful action and test retention. A controlled historical experiment separating streak and daily goal reported +3.3% relative Day-14 retention; goal completion fell. [X11]</w:t>
      </w:r>
    </w:p>
    <w:p>
      <w:r>
        <w:rPr>
          <w:b/>
        </w:rPr>
        <w:t>Evidence of popularity or effect:</w:t>
      </w:r>
      <w:r>
        <w:t xml:space="preserve"> Measured feature experiment, with tradeoff. No transfer-size claim.</w:t>
      </w:r>
    </w:p>
    <w:p>
      <w:r>
        <w:rPr>
          <w:b/>
        </w:rPr>
        <w:t>Proposed adaptation:</w:t>
      </w:r>
      <w:r>
        <w:t xml:space="preserve"> Make staff onboarding one real task at a time and business care a short weekly checklist. Use progress voluntarily; optimize task mastery and saved time rather than time spent in app.</w:t>
      </w:r>
    </w:p>
    <w:p>
      <w:pPr>
        <w:pStyle w:val="Heading3"/>
      </w:pPr>
      <w:r>
        <w:t>Oura in Consumer wellness</w:t>
      </w:r>
    </w:p>
    <w:p>
      <w:r>
        <w:t>Explain changes relative to the person's own baseline. Personal baselines and tagged trends provide context. [X12, X13]</w:t>
      </w:r>
    </w:p>
    <w:p>
      <w:r>
        <w:rPr>
          <w:b/>
        </w:rPr>
        <w:t>Evidence of popularity or effect:</w:t>
      </w:r>
      <w:r>
        <w:t xml:space="preserve"> Capability proven; not evidence of this pattern's adoption or effect.</w:t>
      </w:r>
    </w:p>
    <w:p>
      <w:r>
        <w:rPr>
          <w:b/>
        </w:rPr>
        <w:t>Proposed adaptation:</w:t>
      </w:r>
      <w:r>
        <w:t xml:space="preserve"> Compare a salon's rebooking, utilization and margin to its own seasonally appropriate baseline; show uncertainty and operational explanations. No medical scoring.</w:t>
      </w:r>
    </w:p>
    <w:p>
      <w:pPr>
        <w:pStyle w:val="Heading3"/>
      </w:pPr>
      <w:r>
        <w:t>Linear in Software teams</w:t>
      </w:r>
    </w:p>
    <w:p>
      <w:r>
        <w:t>An exception inbox with ownership and reversible decisions. Triage offers accept/decline/duplicate/snooze, routing and assigned responsibility. [X14, X15]</w:t>
      </w:r>
    </w:p>
    <w:p>
      <w:r>
        <w:rPr>
          <w:b/>
        </w:rPr>
        <w:t>Evidence of popularity or effect:</w:t>
      </w:r>
      <w:r>
        <w:t xml:space="preserve"> Capability proven; no feature-specific adoption found.</w:t>
      </w:r>
    </w:p>
    <w:p>
      <w:r>
        <w:rPr>
          <w:b/>
        </w:rPr>
        <w:t>Proposed adaptation:</w:t>
      </w:r>
      <w:r>
        <w:t xml:space="preserve"> One daily inbox for unfilled slots, missing consents, duplicate clients, failed payments and complaints, with a responsible person and a concrete next action.</w:t>
      </w:r>
    </w:p>
    <w:p>
      <w:pPr>
        <w:pStyle w:val="Heading3"/>
      </w:pPr>
      <w:r>
        <w:t>Notion in Team operations</w:t>
      </w:r>
    </w:p>
    <w:p>
      <w:r>
        <w:t>Forms and automations share structured data. Form questions map to database properties and changes can trigger actions. [X16, X17]</w:t>
      </w:r>
    </w:p>
    <w:p>
      <w:r>
        <w:rPr>
          <w:b/>
        </w:rPr>
        <w:t>Evidence of popularity or effect:</w:t>
      </w:r>
      <w:r>
        <w:t xml:space="preserve"> Capability proven; no feature-specific adoption found.</w:t>
      </w:r>
    </w:p>
    <w:p>
      <w:r>
        <w:rPr>
          <w:b/>
        </w:rPr>
        <w:t>Proposed adaptation:</w:t>
      </w:r>
      <w:r>
        <w:t xml:space="preserve"> Owners customize a small set of fields and approved workflows without managing separate forms, spreadsheets and messaging tools.</w:t>
      </w:r>
    </w:p>
    <w:p>
      <w:pPr>
        <w:pStyle w:val="Heading3"/>
      </w:pPr>
      <w:r>
        <w:t>NexHealth in Dental / medical administration</w:t>
      </w:r>
    </w:p>
    <w:p>
      <w:r>
        <w:t>Ask only what changed and embed the next booking step. Prefilled history updates and recall links containing appointment slots reduce repeat entry. [X18, X19, X20]</w:t>
      </w:r>
    </w:p>
    <w:p>
      <w:r>
        <w:rPr>
          <w:b/>
        </w:rPr>
        <w:t>Evidence of popularity or effect:</w:t>
      </w:r>
      <w:r>
        <w:t xml:space="preserve"> Capability proven; feature-level adoption not established in selected sources.</w:t>
      </w:r>
    </w:p>
    <w:p>
      <w:r>
        <w:rPr>
          <w:b/>
        </w:rPr>
        <w:t>Proposed adaptation:</w:t>
      </w:r>
      <w:r>
        <w:t xml:space="preserve"> Returning clients confirm changes to preferences/intake rather than restart forms; rebooking messages show two valid choices. Keep health data separate with appropriate review.</w:t>
      </w:r>
    </w:p>
    <w:p>
      <w:pPr>
        <w:pStyle w:val="Heading3"/>
      </w:pPr>
      <w:r>
        <w:t>Calendly in Sales and meeting scheduling</w:t>
      </w:r>
    </w:p>
    <w:p>
      <w:r>
        <w:t>Route from intent to the appropriate appointment. Structured answers route people to relevant scheduling paths. [X21]</w:t>
      </w:r>
    </w:p>
    <w:p>
      <w:r>
        <w:rPr>
          <w:b/>
        </w:rPr>
        <w:t>Evidence of popularity or effect:</w:t>
      </w:r>
      <w:r>
        <w:t xml:space="preserve"> Capability proven; no feature-level adoption found.</w:t>
      </w:r>
    </w:p>
    <w:p>
      <w:r>
        <w:rPr>
          <w:b/>
        </w:rPr>
        <w:t>Proposed adaptation:</w:t>
      </w:r>
      <w:r>
        <w:t xml:space="preserve"> A short 'help me choose' flow routes a client to a suitable service or consultation using business-defined rules and explains the choice.</w:t>
      </w:r>
    </w:p>
    <w:p>
      <w:pPr>
        <w:pStyle w:val="Heading3"/>
      </w:pPr>
      <w:r>
        <w:t>Stripe in Payments infrastructure</w:t>
      </w:r>
    </w:p>
    <w:p>
      <w:r>
        <w:t>Rehearse the future without changing live operations. Test clocks simulate billing events and failures in a sandbox. [X22]</w:t>
      </w:r>
    </w:p>
    <w:p>
      <w:r>
        <w:rPr>
          <w:b/>
        </w:rPr>
        <w:t>Evidence of popularity or effect:</w:t>
      </w:r>
      <w:r>
        <w:t xml:space="preserve"> Capability proven; no feature-level adoption found.</w:t>
      </w:r>
    </w:p>
    <w:p>
      <w:r>
        <w:rPr>
          <w:b/>
        </w:rPr>
        <w:t>Proposed adaptation:</w:t>
      </w:r>
      <w:r>
        <w:t xml:space="preserve"> A business rehearsal mode lets owners test a price change, membership rule, cancellation policy, staff absence or migration before activation.</w:t>
      </w:r>
    </w:p>
    <w:p>
      <w:pPr>
        <w:pStyle w:val="Heading2"/>
      </w:pPr>
      <w:r>
        <w:t>4 2 Additional workbook examples checked against official sources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1944"/>
        <w:gridCol w:w="3384"/>
        <w:gridCol w:w="4896"/>
      </w:tblGrid>
      <w:tr>
        <w:trPr>
          <w:tblHeader/>
        </w:trPr>
        <w:tc>
          <w:tcPr>
            <w:tcW w:type="dxa" w:w="1944"/>
            <w:vAlign w:val="top"/>
            <w:shd w:fill="173F50"/>
          </w:tcPr>
          <w:p>
            <w:pPr>
              <w:keepNext/>
              <w:spacing w:after="50" w:before="20" w:line="250" w:lineRule="auto"/>
            </w:pPr>
            <w:r>
              <w:rPr>
                <w:rFonts w:ascii="Arial" w:hAnsi="Arial"/>
                <w:b/>
                <w:color w:val="FFFFFF"/>
                <w:sz w:val="18"/>
              </w:rPr>
              <w:t>Application and industry</w:t>
            </w:r>
          </w:p>
        </w:tc>
        <w:tc>
          <w:tcPr>
            <w:tcW w:type="dxa" w:w="3384"/>
            <w:vAlign w:val="top"/>
            <w:shd w:fill="173F50"/>
          </w:tcPr>
          <w:p>
            <w:pPr>
              <w:keepNext/>
              <w:spacing w:after="50" w:before="20" w:line="250" w:lineRule="auto"/>
            </w:pPr>
            <w:r>
              <w:rPr>
                <w:rFonts w:ascii="Arial" w:hAnsi="Arial"/>
                <w:b/>
                <w:color w:val="FFFFFF"/>
                <w:sz w:val="18"/>
              </w:rPr>
              <w:t>Documented pattern</w:t>
            </w:r>
          </w:p>
        </w:tc>
        <w:tc>
          <w:tcPr>
            <w:tcW w:type="dxa" w:w="4896"/>
            <w:vAlign w:val="top"/>
            <w:shd w:fill="173F50"/>
          </w:tcPr>
          <w:p>
            <w:pPr>
              <w:keepNext/>
              <w:spacing w:after="50" w:before="20" w:line="250" w:lineRule="auto"/>
            </w:pPr>
            <w:r>
              <w:rPr>
                <w:rFonts w:ascii="Arial" w:hAnsi="Arial"/>
                <w:b/>
                <w:color w:val="FFFFFF"/>
                <w:sz w:val="18"/>
              </w:rPr>
              <w:t>Adaptation and limits</w:t>
            </w:r>
          </w:p>
        </w:tc>
      </w:tr>
      <w:tr>
        <w:trPr>
          <w:cantSplit/>
        </w:trPr>
        <w:tc>
          <w:tcPr>
            <w:tcW w:type="dxa" w:w="1944"/>
            <w:vAlign w:val="top"/>
          </w:tcPr>
          <w:p>
            <w:pPr>
              <w:keepNext w:val="0"/>
              <w:spacing w:after="50" w:before="20" w:line="250" w:lineRule="auto"/>
            </w:pPr>
            <w:r>
              <w:rPr>
                <w:rFonts w:ascii="Arial" w:hAnsi="Arial"/>
                <w:b/>
                <w:sz w:val="18"/>
              </w:rPr>
              <w:t>Jane</w:t>
            </w:r>
            <w:r>
              <w:rPr>
                <w:rFonts w:ascii="Arial" w:hAnsi="Arial"/>
                <w:b w:val="0"/>
                <w:sz w:val="18"/>
              </w:rPr>
              <w:br/>
              <w:t>Health practice administration</w:t>
            </w:r>
          </w:p>
        </w:tc>
        <w:tc>
          <w:tcPr>
            <w:tcW w:type="dxa" w:w="3384"/>
            <w:vAlign w:val="top"/>
          </w:tcPr>
          <w:p>
            <w:pPr>
              <w:keepNext w:val="0"/>
              <w:spacing w:after="50" w:before="20" w:line="250" w:lineRule="auto"/>
            </w:pPr>
            <w:r>
              <w:rPr>
                <w:rFonts w:ascii="Arial" w:hAnsi="Arial"/>
                <w:sz w:val="18"/>
              </w:rPr>
              <w:t>Balance limits monthly appointments; AI Scribe is an optional add-on. [R14]</w:t>
            </w:r>
          </w:p>
        </w:tc>
        <w:tc>
          <w:tcPr>
            <w:tcW w:type="dxa" w:w="4896"/>
            <w:vAlign w:val="top"/>
          </w:tcPr>
          <w:p>
            <w:pPr>
              <w:keepNext w:val="0"/>
              <w:spacing w:after="50" w:before="20" w:line="250" w:lineRule="auto"/>
            </w:pPr>
            <w:r>
              <w:rPr>
                <w:rFonts w:ascii="Arial" w:hAnsi="Arial"/>
                <w:sz w:val="18"/>
              </w:rPr>
              <w:t>Test a sustainable low-volume entry plan and optional AI use rather than hiding essential booking behind a costly bundle.</w:t>
              <w:br/>
              <w:t>Commercial design example; no feature-level adoption or salon conversion evidence established.</w:t>
              <w:br/>
              <w:t>F189, F148</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1944"/>
        <w:gridCol w:w="3384"/>
        <w:gridCol w:w="4896"/>
      </w:tblGrid>
      <w:tr>
        <w:trPr>
          <w:tblHeader/>
        </w:trPr>
        <w:tc>
          <w:tcPr>
            <w:tcW w:type="dxa" w:w="1944"/>
            <w:vAlign w:val="top"/>
            <w:shd w:fill="173F50"/>
          </w:tcPr>
          <w:p>
            <w:pPr>
              <w:keepNext/>
              <w:spacing w:after="50" w:before="20" w:line="250" w:lineRule="auto"/>
            </w:pPr>
            <w:r>
              <w:rPr>
                <w:rFonts w:ascii="Arial" w:hAnsi="Arial"/>
                <w:b/>
                <w:color w:val="FFFFFF"/>
                <w:sz w:val="18"/>
              </w:rPr>
              <w:t>Application and industry</w:t>
            </w:r>
          </w:p>
        </w:tc>
        <w:tc>
          <w:tcPr>
            <w:tcW w:type="dxa" w:w="3384"/>
            <w:vAlign w:val="top"/>
            <w:shd w:fill="173F50"/>
          </w:tcPr>
          <w:p>
            <w:pPr>
              <w:keepNext/>
              <w:spacing w:after="50" w:before="20" w:line="250" w:lineRule="auto"/>
            </w:pPr>
            <w:r>
              <w:rPr>
                <w:rFonts w:ascii="Arial" w:hAnsi="Arial"/>
                <w:b/>
                <w:color w:val="FFFFFF"/>
                <w:sz w:val="18"/>
              </w:rPr>
              <w:t>Documented pattern</w:t>
            </w:r>
          </w:p>
        </w:tc>
        <w:tc>
          <w:tcPr>
            <w:tcW w:type="dxa" w:w="4896"/>
            <w:vAlign w:val="top"/>
            <w:shd w:fill="173F50"/>
          </w:tcPr>
          <w:p>
            <w:pPr>
              <w:keepNext/>
              <w:spacing w:after="50" w:before="20" w:line="250" w:lineRule="auto"/>
            </w:pPr>
            <w:r>
              <w:rPr>
                <w:rFonts w:ascii="Arial" w:hAnsi="Arial"/>
                <w:b/>
                <w:color w:val="FFFFFF"/>
                <w:sz w:val="18"/>
              </w:rPr>
              <w:t>Adaptation and limits</w:t>
            </w:r>
          </w:p>
        </w:tc>
      </w:tr>
      <w:tr>
        <w:trPr>
          <w:cantSplit/>
        </w:trPr>
        <w:tc>
          <w:tcPr>
            <w:tcW w:type="dxa" w:w="1944"/>
            <w:vAlign w:val="top"/>
          </w:tcPr>
          <w:p>
            <w:pPr>
              <w:keepNext w:val="0"/>
              <w:spacing w:after="50" w:before="20" w:line="250" w:lineRule="auto"/>
            </w:pPr>
            <w:r>
              <w:rPr>
                <w:rFonts w:ascii="Arial" w:hAnsi="Arial"/>
                <w:b/>
                <w:sz w:val="18"/>
              </w:rPr>
              <w:t>SimplePractice</w:t>
            </w:r>
            <w:r>
              <w:rPr>
                <w:rFonts w:ascii="Arial" w:hAnsi="Arial"/>
                <w:b w:val="0"/>
                <w:sz w:val="18"/>
              </w:rPr>
              <w:br/>
              <w:t>Health practice administration</w:t>
            </w:r>
          </w:p>
        </w:tc>
        <w:tc>
          <w:tcPr>
            <w:tcW w:type="dxa" w:w="3384"/>
            <w:vAlign w:val="top"/>
          </w:tcPr>
          <w:p>
            <w:pPr>
              <w:keepNext w:val="0"/>
              <w:spacing w:after="50" w:before="20" w:line="250" w:lineRule="auto"/>
            </w:pPr>
            <w:r>
              <w:rPr>
                <w:rFonts w:ascii="Arial" w:hAnsi="Arial"/>
                <w:sz w:val="18"/>
              </w:rPr>
              <w:t>Its portal combines messaging, forms, document uploads, billing and appointment requests. [R15]</w:t>
            </w:r>
          </w:p>
        </w:tc>
        <w:tc>
          <w:tcPr>
            <w:tcW w:type="dxa" w:w="4896"/>
            <w:vAlign w:val="top"/>
          </w:tcPr>
          <w:p>
            <w:pPr>
              <w:keepNext w:val="0"/>
              <w:spacing w:after="50" w:before="20" w:line="250" w:lineRule="auto"/>
            </w:pPr>
            <w:r>
              <w:rPr>
                <w:rFonts w:ascii="Arial" w:hAnsi="Arial"/>
                <w:sz w:val="18"/>
              </w:rPr>
              <w:t>A private visit workspace accepts changed information and authorized photos between visits, with an accountable recipient.</w:t>
              <w:br/>
              <w:t>Do not copy clinical practice assumptions or claim all functions are in every plan.</w:t>
              <w:br/>
              <w:t>F031, F035, F063, F065, F100</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1944"/>
        <w:gridCol w:w="3384"/>
        <w:gridCol w:w="4896"/>
      </w:tblGrid>
      <w:tr>
        <w:trPr>
          <w:tblHeader/>
        </w:trPr>
        <w:tc>
          <w:tcPr>
            <w:tcW w:type="dxa" w:w="1944"/>
            <w:vAlign w:val="top"/>
            <w:shd w:fill="173F50"/>
          </w:tcPr>
          <w:p>
            <w:pPr>
              <w:keepNext/>
              <w:spacing w:after="50" w:before="20" w:line="250" w:lineRule="auto"/>
            </w:pPr>
            <w:r>
              <w:rPr>
                <w:rFonts w:ascii="Arial" w:hAnsi="Arial"/>
                <w:b/>
                <w:color w:val="FFFFFF"/>
                <w:sz w:val="18"/>
              </w:rPr>
              <w:t>Application and industry</w:t>
            </w:r>
          </w:p>
        </w:tc>
        <w:tc>
          <w:tcPr>
            <w:tcW w:type="dxa" w:w="3384"/>
            <w:vAlign w:val="top"/>
            <w:shd w:fill="173F50"/>
          </w:tcPr>
          <w:p>
            <w:pPr>
              <w:keepNext/>
              <w:spacing w:after="50" w:before="20" w:line="250" w:lineRule="auto"/>
            </w:pPr>
            <w:r>
              <w:rPr>
                <w:rFonts w:ascii="Arial" w:hAnsi="Arial"/>
                <w:b/>
                <w:color w:val="FFFFFF"/>
                <w:sz w:val="18"/>
              </w:rPr>
              <w:t>Documented pattern</w:t>
            </w:r>
          </w:p>
        </w:tc>
        <w:tc>
          <w:tcPr>
            <w:tcW w:type="dxa" w:w="4896"/>
            <w:vAlign w:val="top"/>
            <w:shd w:fill="173F50"/>
          </w:tcPr>
          <w:p>
            <w:pPr>
              <w:keepNext/>
              <w:spacing w:after="50" w:before="20" w:line="250" w:lineRule="auto"/>
            </w:pPr>
            <w:r>
              <w:rPr>
                <w:rFonts w:ascii="Arial" w:hAnsi="Arial"/>
                <w:b/>
                <w:color w:val="FFFFFF"/>
                <w:sz w:val="18"/>
              </w:rPr>
              <w:t>Adaptation and limits</w:t>
            </w:r>
          </w:p>
        </w:tc>
      </w:tr>
      <w:tr>
        <w:trPr>
          <w:cantSplit/>
        </w:trPr>
        <w:tc>
          <w:tcPr>
            <w:tcW w:type="dxa" w:w="1944"/>
            <w:vAlign w:val="top"/>
          </w:tcPr>
          <w:p>
            <w:pPr>
              <w:keepNext w:val="0"/>
              <w:spacing w:after="50" w:before="20" w:line="250" w:lineRule="auto"/>
            </w:pPr>
            <w:r>
              <w:rPr>
                <w:rFonts w:ascii="Arial" w:hAnsi="Arial"/>
                <w:b/>
                <w:sz w:val="18"/>
              </w:rPr>
              <w:t>Housecall Pro</w:t>
            </w:r>
            <w:r>
              <w:rPr>
                <w:rFonts w:ascii="Arial" w:hAnsi="Arial"/>
                <w:b w:val="0"/>
                <w:sz w:val="18"/>
              </w:rPr>
              <w:br/>
              <w:t>Home services</w:t>
            </w:r>
          </w:p>
        </w:tc>
        <w:tc>
          <w:tcPr>
            <w:tcW w:type="dxa" w:w="3384"/>
            <w:vAlign w:val="top"/>
          </w:tcPr>
          <w:p>
            <w:pPr>
              <w:keepNext w:val="0"/>
              <w:spacing w:after="50" w:before="20" w:line="250" w:lineRule="auto"/>
            </w:pPr>
            <w:r>
              <w:rPr>
                <w:rFonts w:ascii="Arial" w:hAnsi="Arial"/>
                <w:sz w:val="18"/>
              </w:rPr>
              <w:t>Financing is offered through partners within proposals/invoices; Instapay provides a separate accelerated payout option. [R16, R17]</w:t>
            </w:r>
          </w:p>
        </w:tc>
        <w:tc>
          <w:tcPr>
            <w:tcW w:type="dxa" w:w="4896"/>
            <w:vAlign w:val="top"/>
          </w:tcPr>
          <w:p>
            <w:pPr>
              <w:keepNext w:val="0"/>
              <w:spacing w:after="50" w:before="20" w:line="250" w:lineRule="auto"/>
            </w:pPr>
            <w:r>
              <w:rPr>
                <w:rFonts w:ascii="Arial" w:hAnsi="Arial"/>
                <w:sz w:val="18"/>
              </w:rPr>
              <w:t>Separate client financing from the owner's payout timing and explain each product's cost and eligibility.</w:t>
              <w:br/>
              <w:t>Partner capability, not evidence that financing improves salon outcomes.</w:t>
              <w:br/>
              <w:t>F186, F090, F199</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1944"/>
        <w:gridCol w:w="3384"/>
        <w:gridCol w:w="4896"/>
      </w:tblGrid>
      <w:tr>
        <w:trPr>
          <w:tblHeader/>
        </w:trPr>
        <w:tc>
          <w:tcPr>
            <w:tcW w:type="dxa" w:w="1944"/>
            <w:vAlign w:val="top"/>
            <w:shd w:fill="173F50"/>
          </w:tcPr>
          <w:p>
            <w:pPr>
              <w:keepNext/>
              <w:spacing w:after="50" w:before="20" w:line="250" w:lineRule="auto"/>
            </w:pPr>
            <w:r>
              <w:rPr>
                <w:rFonts w:ascii="Arial" w:hAnsi="Arial"/>
                <w:b/>
                <w:color w:val="FFFFFF"/>
                <w:sz w:val="18"/>
              </w:rPr>
              <w:t>Application and industry</w:t>
            </w:r>
          </w:p>
        </w:tc>
        <w:tc>
          <w:tcPr>
            <w:tcW w:type="dxa" w:w="3384"/>
            <w:vAlign w:val="top"/>
            <w:shd w:fill="173F50"/>
          </w:tcPr>
          <w:p>
            <w:pPr>
              <w:keepNext/>
              <w:spacing w:after="50" w:before="20" w:line="250" w:lineRule="auto"/>
            </w:pPr>
            <w:r>
              <w:rPr>
                <w:rFonts w:ascii="Arial" w:hAnsi="Arial"/>
                <w:b/>
                <w:color w:val="FFFFFF"/>
                <w:sz w:val="18"/>
              </w:rPr>
              <w:t>Documented pattern</w:t>
            </w:r>
          </w:p>
        </w:tc>
        <w:tc>
          <w:tcPr>
            <w:tcW w:type="dxa" w:w="4896"/>
            <w:vAlign w:val="top"/>
            <w:shd w:fill="173F50"/>
          </w:tcPr>
          <w:p>
            <w:pPr>
              <w:keepNext/>
              <w:spacing w:after="50" w:before="20" w:line="250" w:lineRule="auto"/>
            </w:pPr>
            <w:r>
              <w:rPr>
                <w:rFonts w:ascii="Arial" w:hAnsi="Arial"/>
                <w:b/>
                <w:color w:val="FFFFFF"/>
                <w:sz w:val="18"/>
              </w:rPr>
              <w:t>Adaptation and limits</w:t>
            </w:r>
          </w:p>
        </w:tc>
      </w:tr>
      <w:tr>
        <w:trPr>
          <w:cantSplit/>
        </w:trPr>
        <w:tc>
          <w:tcPr>
            <w:tcW w:type="dxa" w:w="1944"/>
            <w:vAlign w:val="top"/>
          </w:tcPr>
          <w:p>
            <w:pPr>
              <w:keepNext w:val="0"/>
              <w:spacing w:after="50" w:before="20" w:line="250" w:lineRule="auto"/>
            </w:pPr>
            <w:r>
              <w:rPr>
                <w:rFonts w:ascii="Arial" w:hAnsi="Arial"/>
                <w:b/>
                <w:sz w:val="18"/>
              </w:rPr>
              <w:t>theCut</w:t>
            </w:r>
            <w:r>
              <w:rPr>
                <w:rFonts w:ascii="Arial" w:hAnsi="Arial"/>
                <w:b w:val="0"/>
                <w:sz w:val="18"/>
              </w:rPr>
              <w:br/>
              <w:t>Barbers and grooming</w:t>
            </w:r>
          </w:p>
        </w:tc>
        <w:tc>
          <w:tcPr>
            <w:tcW w:type="dxa" w:w="3384"/>
            <w:vAlign w:val="top"/>
          </w:tcPr>
          <w:p>
            <w:pPr>
              <w:keepNext w:val="0"/>
              <w:spacing w:after="50" w:before="20" w:line="250" w:lineRule="auto"/>
            </w:pPr>
            <w:r>
              <w:rPr>
                <w:rFonts w:ascii="Arial" w:hAnsi="Arial"/>
                <w:sz w:val="18"/>
              </w:rPr>
              <w:t>Official pricing includes a free plan and paid growth features. [R18]</w:t>
            </w:r>
          </w:p>
        </w:tc>
        <w:tc>
          <w:tcPr>
            <w:tcW w:type="dxa" w:w="4896"/>
            <w:vAlign w:val="top"/>
          </w:tcPr>
          <w:p>
            <w:pPr>
              <w:keepNext w:val="0"/>
              <w:spacing w:after="50" w:before="20" w:line="250" w:lineRule="auto"/>
            </w:pPr>
            <w:r>
              <w:rPr>
                <w:rFonts w:ascii="Arial" w:hAnsi="Arial"/>
                <w:sz w:val="18"/>
              </w:rPr>
              <w:t>Test free core booking with explicit limits and a comprehensible upgrade path; model all client and provider costs.</w:t>
              <w:br/>
              <w:t>Adjacent industry benchmark. Do not assume a free subscription eliminates transaction or acquisition costs.</w:t>
              <w:br/>
              <w:t>F189, F061, F017</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1944"/>
        <w:gridCol w:w="3384"/>
        <w:gridCol w:w="4896"/>
      </w:tblGrid>
      <w:tr>
        <w:trPr>
          <w:tblHeader/>
        </w:trPr>
        <w:tc>
          <w:tcPr>
            <w:tcW w:type="dxa" w:w="1944"/>
            <w:vAlign w:val="top"/>
            <w:shd w:fill="173F50"/>
          </w:tcPr>
          <w:p>
            <w:pPr>
              <w:keepNext/>
              <w:spacing w:after="50" w:before="20" w:line="250" w:lineRule="auto"/>
            </w:pPr>
            <w:r>
              <w:rPr>
                <w:rFonts w:ascii="Arial" w:hAnsi="Arial"/>
                <w:b/>
                <w:color w:val="FFFFFF"/>
                <w:sz w:val="18"/>
              </w:rPr>
              <w:t>Application and industry</w:t>
            </w:r>
          </w:p>
        </w:tc>
        <w:tc>
          <w:tcPr>
            <w:tcW w:type="dxa" w:w="3384"/>
            <w:vAlign w:val="top"/>
            <w:shd w:fill="173F50"/>
          </w:tcPr>
          <w:p>
            <w:pPr>
              <w:keepNext/>
              <w:spacing w:after="50" w:before="20" w:line="250" w:lineRule="auto"/>
            </w:pPr>
            <w:r>
              <w:rPr>
                <w:rFonts w:ascii="Arial" w:hAnsi="Arial"/>
                <w:b/>
                <w:color w:val="FFFFFF"/>
                <w:sz w:val="18"/>
              </w:rPr>
              <w:t>Documented pattern</w:t>
            </w:r>
          </w:p>
        </w:tc>
        <w:tc>
          <w:tcPr>
            <w:tcW w:type="dxa" w:w="4896"/>
            <w:vAlign w:val="top"/>
            <w:shd w:fill="173F50"/>
          </w:tcPr>
          <w:p>
            <w:pPr>
              <w:keepNext/>
              <w:spacing w:after="50" w:before="20" w:line="250" w:lineRule="auto"/>
            </w:pPr>
            <w:r>
              <w:rPr>
                <w:rFonts w:ascii="Arial" w:hAnsi="Arial"/>
                <w:b/>
                <w:color w:val="FFFFFF"/>
                <w:sz w:val="18"/>
              </w:rPr>
              <w:t>Adaptation and limits</w:t>
            </w:r>
          </w:p>
        </w:tc>
      </w:tr>
      <w:tr>
        <w:trPr>
          <w:cantSplit/>
        </w:trPr>
        <w:tc>
          <w:tcPr>
            <w:tcW w:type="dxa" w:w="1944"/>
            <w:vAlign w:val="top"/>
          </w:tcPr>
          <w:p>
            <w:pPr>
              <w:keepNext w:val="0"/>
              <w:spacing w:after="50" w:before="20" w:line="250" w:lineRule="auto"/>
            </w:pPr>
            <w:r>
              <w:rPr>
                <w:rFonts w:ascii="Arial" w:hAnsi="Arial"/>
                <w:b/>
                <w:sz w:val="18"/>
              </w:rPr>
              <w:t>SQUIRE</w:t>
            </w:r>
            <w:r>
              <w:rPr>
                <w:rFonts w:ascii="Arial" w:hAnsi="Arial"/>
                <w:b w:val="0"/>
                <w:sz w:val="18"/>
              </w:rPr>
              <w:br/>
              <w:t>Barbershops</w:t>
            </w:r>
          </w:p>
        </w:tc>
        <w:tc>
          <w:tcPr>
            <w:tcW w:type="dxa" w:w="3384"/>
            <w:vAlign w:val="top"/>
          </w:tcPr>
          <w:p>
            <w:pPr>
              <w:keepNext w:val="0"/>
              <w:spacing w:after="50" w:before="20" w:line="250" w:lineRule="auto"/>
            </w:pPr>
            <w:r>
              <w:rPr>
                <w:rFonts w:ascii="Arial" w:hAnsi="Arial"/>
                <w:sz w:val="18"/>
              </w:rPr>
              <w:t>Waitlist documentation describes a timed sequential claim window. [R10]</w:t>
            </w:r>
          </w:p>
        </w:tc>
        <w:tc>
          <w:tcPr>
            <w:tcW w:type="dxa" w:w="4896"/>
            <w:vAlign w:val="top"/>
          </w:tcPr>
          <w:p>
            <w:pPr>
              <w:keepNext w:val="0"/>
              <w:spacing w:after="50" w:before="20" w:line="250" w:lineRule="auto"/>
            </w:pPr>
            <w:r>
              <w:rPr>
                <w:rFonts w:ascii="Arial" w:hAnsi="Arial"/>
                <w:sz w:val="18"/>
              </w:rPr>
              <w:t>Make cancellation offers fair, explain eligibility and prevent two clients claiming the same exclusive slot.</w:t>
              <w:br/>
              <w:t>Already present within beauty; configurable timing is more useful than copying one timeout.</w:t>
              <w:br/>
              <w:t>F081, F136</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1944"/>
        <w:gridCol w:w="3384"/>
        <w:gridCol w:w="4896"/>
      </w:tblGrid>
      <w:tr>
        <w:trPr>
          <w:tblHeader/>
        </w:trPr>
        <w:tc>
          <w:tcPr>
            <w:tcW w:type="dxa" w:w="1944"/>
            <w:vAlign w:val="top"/>
            <w:shd w:fill="173F50"/>
          </w:tcPr>
          <w:p>
            <w:pPr>
              <w:keepNext/>
              <w:spacing w:after="50" w:before="20" w:line="250" w:lineRule="auto"/>
            </w:pPr>
            <w:r>
              <w:rPr>
                <w:rFonts w:ascii="Arial" w:hAnsi="Arial"/>
                <w:b/>
                <w:color w:val="FFFFFF"/>
                <w:sz w:val="18"/>
              </w:rPr>
              <w:t>Application and industry</w:t>
            </w:r>
          </w:p>
        </w:tc>
        <w:tc>
          <w:tcPr>
            <w:tcW w:type="dxa" w:w="3384"/>
            <w:vAlign w:val="top"/>
            <w:shd w:fill="173F50"/>
          </w:tcPr>
          <w:p>
            <w:pPr>
              <w:keepNext/>
              <w:spacing w:after="50" w:before="20" w:line="250" w:lineRule="auto"/>
            </w:pPr>
            <w:r>
              <w:rPr>
                <w:rFonts w:ascii="Arial" w:hAnsi="Arial"/>
                <w:b/>
                <w:color w:val="FFFFFF"/>
                <w:sz w:val="18"/>
              </w:rPr>
              <w:t>Documented pattern</w:t>
            </w:r>
          </w:p>
        </w:tc>
        <w:tc>
          <w:tcPr>
            <w:tcW w:type="dxa" w:w="4896"/>
            <w:vAlign w:val="top"/>
            <w:shd w:fill="173F50"/>
          </w:tcPr>
          <w:p>
            <w:pPr>
              <w:keepNext/>
              <w:spacing w:after="50" w:before="20" w:line="250" w:lineRule="auto"/>
            </w:pPr>
            <w:r>
              <w:rPr>
                <w:rFonts w:ascii="Arial" w:hAnsi="Arial"/>
                <w:b/>
                <w:color w:val="FFFFFF"/>
                <w:sz w:val="18"/>
              </w:rPr>
              <w:t>Adaptation and limits</w:t>
            </w:r>
          </w:p>
        </w:tc>
      </w:tr>
      <w:tr>
        <w:trPr>
          <w:cantSplit/>
        </w:trPr>
        <w:tc>
          <w:tcPr>
            <w:tcW w:type="dxa" w:w="1944"/>
            <w:vAlign w:val="top"/>
          </w:tcPr>
          <w:p>
            <w:pPr>
              <w:keepNext w:val="0"/>
              <w:spacing w:after="50" w:before="20" w:line="250" w:lineRule="auto"/>
            </w:pPr>
            <w:r>
              <w:rPr>
                <w:rFonts w:ascii="Arial" w:hAnsi="Arial"/>
                <w:b/>
                <w:sz w:val="18"/>
              </w:rPr>
              <w:t>Gingr</w:t>
            </w:r>
            <w:r>
              <w:rPr>
                <w:rFonts w:ascii="Arial" w:hAnsi="Arial"/>
                <w:b w:val="0"/>
                <w:sz w:val="18"/>
              </w:rPr>
              <w:br/>
              <w:t>Pet care operations</w:t>
            </w:r>
          </w:p>
        </w:tc>
        <w:tc>
          <w:tcPr>
            <w:tcW w:type="dxa" w:w="3384"/>
            <w:vAlign w:val="top"/>
          </w:tcPr>
          <w:p>
            <w:pPr>
              <w:keepNext w:val="0"/>
              <w:spacing w:after="50" w:before="20" w:line="250" w:lineRule="auto"/>
            </w:pPr>
            <w:r>
              <w:rPr>
                <w:rFonts w:ascii="Arial" w:hAnsi="Arial"/>
                <w:sz w:val="18"/>
              </w:rPr>
              <w:t>Record validity can govern reservation requests/check-in, reminders and authorized overrides. [R19]</w:t>
            </w:r>
          </w:p>
        </w:tc>
        <w:tc>
          <w:tcPr>
            <w:tcW w:type="dxa" w:w="4896"/>
            <w:vAlign w:val="top"/>
          </w:tcPr>
          <w:p>
            <w:pPr>
              <w:keepNext w:val="0"/>
              <w:spacing w:after="50" w:before="20" w:line="250" w:lineRule="auto"/>
            </w:pPr>
            <w:r>
              <w:rPr>
                <w:rFonts w:ascii="Arial" w:hAnsi="Arial"/>
                <w:sz w:val="18"/>
              </w:rPr>
              <w:t>Build professional-approved readiness checks, missing-record tasks and documented overrides; deliver a clear visit summary.</w:t>
              <w:br/>
              <w:t>Transfer the administrative workflow only. Human clinical eligibility requires qualified rules and review, not pet-care logic.</w:t>
              <w:br/>
              <w:t>F042, F126, F129</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1944"/>
        <w:gridCol w:w="3384"/>
        <w:gridCol w:w="4896"/>
      </w:tblGrid>
      <w:tr>
        <w:trPr>
          <w:tblHeader/>
        </w:trPr>
        <w:tc>
          <w:tcPr>
            <w:tcW w:type="dxa" w:w="1944"/>
            <w:vAlign w:val="top"/>
            <w:shd w:fill="173F50"/>
          </w:tcPr>
          <w:p>
            <w:pPr>
              <w:keepNext/>
              <w:spacing w:after="50" w:before="20" w:line="250" w:lineRule="auto"/>
            </w:pPr>
            <w:r>
              <w:rPr>
                <w:rFonts w:ascii="Arial" w:hAnsi="Arial"/>
                <w:b/>
                <w:color w:val="FFFFFF"/>
                <w:sz w:val="18"/>
              </w:rPr>
              <w:t>Application and industry</w:t>
            </w:r>
          </w:p>
        </w:tc>
        <w:tc>
          <w:tcPr>
            <w:tcW w:type="dxa" w:w="3384"/>
            <w:vAlign w:val="top"/>
            <w:shd w:fill="173F50"/>
          </w:tcPr>
          <w:p>
            <w:pPr>
              <w:keepNext/>
              <w:spacing w:after="50" w:before="20" w:line="250" w:lineRule="auto"/>
            </w:pPr>
            <w:r>
              <w:rPr>
                <w:rFonts w:ascii="Arial" w:hAnsi="Arial"/>
                <w:b/>
                <w:color w:val="FFFFFF"/>
                <w:sz w:val="18"/>
              </w:rPr>
              <w:t>Documented pattern</w:t>
            </w:r>
          </w:p>
        </w:tc>
        <w:tc>
          <w:tcPr>
            <w:tcW w:type="dxa" w:w="4896"/>
            <w:vAlign w:val="top"/>
            <w:shd w:fill="173F50"/>
          </w:tcPr>
          <w:p>
            <w:pPr>
              <w:keepNext/>
              <w:spacing w:after="50" w:before="20" w:line="250" w:lineRule="auto"/>
            </w:pPr>
            <w:r>
              <w:rPr>
                <w:rFonts w:ascii="Arial" w:hAnsi="Arial"/>
                <w:b/>
                <w:color w:val="FFFFFF"/>
                <w:sz w:val="18"/>
              </w:rPr>
              <w:t>Adaptation and limits</w:t>
            </w:r>
          </w:p>
        </w:tc>
      </w:tr>
      <w:tr>
        <w:trPr>
          <w:cantSplit/>
        </w:trPr>
        <w:tc>
          <w:tcPr>
            <w:tcW w:type="dxa" w:w="1944"/>
            <w:vAlign w:val="top"/>
          </w:tcPr>
          <w:p>
            <w:pPr>
              <w:keepNext w:val="0"/>
              <w:spacing w:after="50" w:before="20" w:line="250" w:lineRule="auto"/>
            </w:pPr>
            <w:r>
              <w:rPr>
                <w:rFonts w:ascii="Arial" w:hAnsi="Arial"/>
                <w:b/>
                <w:sz w:val="18"/>
              </w:rPr>
              <w:t>ClassPass</w:t>
            </w:r>
            <w:r>
              <w:rPr>
                <w:rFonts w:ascii="Arial" w:hAnsi="Arial"/>
                <w:b w:val="0"/>
                <w:sz w:val="18"/>
              </w:rPr>
              <w:br/>
              <w:t>Fitness and wellness distribution</w:t>
            </w:r>
          </w:p>
        </w:tc>
        <w:tc>
          <w:tcPr>
            <w:tcW w:type="dxa" w:w="3384"/>
            <w:vAlign w:val="top"/>
          </w:tcPr>
          <w:p>
            <w:pPr>
              <w:keepNext w:val="0"/>
              <w:spacing w:after="50" w:before="20" w:line="250" w:lineRule="auto"/>
            </w:pPr>
            <w:r>
              <w:rPr>
                <w:rFonts w:ascii="Arial" w:hAnsi="Arial"/>
                <w:sz w:val="18"/>
              </w:rPr>
              <w:t>SmartSpot controls listed inventory; SmartRate operates with negotiated payout floors for qualifying reservations. [R20]</w:t>
            </w:r>
          </w:p>
        </w:tc>
        <w:tc>
          <w:tcPr>
            <w:tcW w:type="dxa" w:w="4896"/>
            <w:vAlign w:val="top"/>
          </w:tcPr>
          <w:p>
            <w:pPr>
              <w:keepNext w:val="0"/>
              <w:spacing w:after="50" w:before="20" w:line="250" w:lineRule="auto"/>
            </w:pPr>
            <w:r>
              <w:rPr>
                <w:rFonts w:ascii="Arial" w:hAnsi="Arial"/>
                <w:sz w:val="18"/>
              </w:rPr>
              <w:t>Experiment with controlled off-peak inventory and contribution floors, measuring displaced full-price demand and completed-visit value.</w:t>
              <w:br/>
              <w:t>A floor does not establish zero cannibalization. A distribution marketplace requires recruited supply and demand.</w:t>
              <w:br/>
              <w:t>F143, F152, F177</w:t>
            </w:r>
          </w:p>
        </w:tc>
      </w:tr>
    </w:tbl>
    <w:p>
      <w:pPr>
        <w:spacing w:after="40" w:before="0" w:line="240" w:lineRule="auto"/>
      </w:pPr>
      <w:r>
        <w:rPr>
          <w:sz w:val="4"/>
        </w:rPr>
      </w:r>
    </w:p>
    <w:p>
      <w:pPr>
        <w:pStyle w:val="Heading2"/>
      </w:pPr>
      <w:r>
        <w:t>4 3 Ten concepts to prototype first</w:t>
      </w:r>
    </w:p>
    <w:p>
      <w:pPr>
        <w:pStyle w:val="Heading3"/>
      </w:pPr>
      <w:r>
        <w:t>1 A complete branded business in one setup</w:t>
      </w:r>
    </w:p>
    <w:p>
      <w:r>
        <w:t>Directly matches the user's customization/document ambition and has strong adjacent feature-use evidence. F001, F006, F032, F036, F106, F166.</w:t>
      </w:r>
    </w:p>
    <w:p>
      <w:r>
        <w:t>Evidence and interpretation: Canva X06: 5B Brand Kit uses; no promised salon outcome.</w:t>
      </w:r>
    </w:p>
    <w:p>
      <w:pPr>
        <w:pStyle w:val="Heading3"/>
      </w:pPr>
      <w:r>
        <w:t>2 One link from request to prepared visit</w:t>
      </w:r>
    </w:p>
    <w:p>
      <w:r>
        <w:t>Removes gaps between choices, repeated forms, signatures, deposit and booking. F034, F041, F043, F100, F107.</w:t>
      </w:r>
    </w:p>
    <w:p>
      <w:r>
        <w:t>Evidence and interpretation: HoneyBook X01; NexHealth X18.</w:t>
      </w:r>
    </w:p>
    <w:p>
      <w:pPr>
        <w:pStyle w:val="Heading3"/>
      </w:pPr>
      <w:r>
        <w:t>3 Prove the switch and the exit</w:t>
      </w:r>
    </w:p>
    <w:p>
      <w:r>
        <w:t>Addresses practical adoption risk and owner trust before any sophisticated AI. F104, F105, F119.</w:t>
      </w:r>
    </w:p>
    <w:p>
      <w:r>
        <w:t>Evidence and interpretation: Fragmentation anecdote X25; proposed trust experience is a hypothesis.</w:t>
      </w:r>
    </w:p>
    <w:p>
      <w:pPr>
        <w:pStyle w:val="Heading3"/>
      </w:pPr>
      <w:r>
        <w:t>4 One action queue and a ready tomorrow</w:t>
      </w:r>
    </w:p>
    <w:p>
      <w:r>
        <w:t>Makes daily work visibly easier without requiring a new habit of studying dashboards. F015, F018, F058, F126.</w:t>
      </w:r>
    </w:p>
    <w:p>
      <w:r>
        <w:t>Evidence and interpretation: Linear X14; salon workflow fragmentation X25.</w:t>
      </w:r>
    </w:p>
    <w:p>
      <w:pPr>
        <w:pStyle w:val="Heading3"/>
      </w:pPr>
      <w:r>
        <w:t>5 Rehearse consequential changes</w:t>
      </w:r>
    </w:p>
    <w:p>
      <w:r>
        <w:t>Turns automation from a risk into an understandable, reviewable action. F108, F151, F153, F169.</w:t>
      </w:r>
    </w:p>
    <w:p>
      <w:r>
        <w:t>Evidence and interpretation: Stripe X22; proposed salon adaptation.</w:t>
      </w:r>
    </w:p>
    <w:p>
      <w:pPr>
        <w:pStyle w:val="Heading3"/>
      </w:pPr>
      <w:r>
        <w:t>6 Book around real-life time and budget</w:t>
      </w:r>
    </w:p>
    <w:p>
      <w:r>
        <w:t>Solves the client's actual constraints instead of asking them to decode the menu. F193, F194.</w:t>
      </w:r>
    </w:p>
    <w:p>
      <w:r>
        <w:t>Evidence and interpretation: Calendly X21; HoneyBook X01; salon demand is unproven.</w:t>
      </w:r>
    </w:p>
    <w:p>
      <w:pPr>
        <w:pStyle w:val="Heading3"/>
      </w:pPr>
      <w:r>
        <w:t>7 Capture demand the calendar currently loses</w:t>
      </w:r>
    </w:p>
    <w:p>
      <w:r>
        <w:t>Connects waitlists, service expansion and opening-hours decisions to explicit customer requests. F081, F136, F192.</w:t>
      </w:r>
    </w:p>
    <w:p>
      <w:r>
        <w:t>Evidence and interpretation: OpenTable X09/X10; direct turn-away tracking request CRS04. This is a hypothesis to test, not a proven market-wide gap.</w:t>
      </w:r>
    </w:p>
    <w:p>
      <w:pPr>
        <w:pStyle w:val="Heading3"/>
      </w:pPr>
      <w:r>
        <w:t>8 Explain profit and enable a better week</w:t>
      </w:r>
    </w:p>
    <w:p>
      <w:r>
        <w:t>Measures contribution and supports owner-chosen time off, not just a fuller calendar. F115, F127, F143, F151, F173.</w:t>
      </w:r>
    </w:p>
    <w:p>
      <w:r>
        <w:t>Evidence and interpretation: Toast X08 and existing salon costing X23/X24; lifecycle objective is a hypothesis.</w:t>
      </w:r>
    </w:p>
    <w:p>
      <w:pPr>
        <w:pStyle w:val="Heading3"/>
      </w:pPr>
      <w:r>
        <w:t>9 A successful visit for clients who dislike apps</w:t>
      </w:r>
    </w:p>
    <w:p>
      <w:r>
        <w:t>Ease of use should include people without a smartphone or high digital confidence. F014, F067, F070, F195.</w:t>
      </w:r>
    </w:p>
    <w:p>
      <w:r>
        <w:t>Evidence and interpretation: Channel/age preference variation X29; test locally.</w:t>
      </w:r>
    </w:p>
    <w:p>
      <w:pPr>
        <w:pStyle w:val="Heading3"/>
      </w:pPr>
      <w:r>
        <w:t>10 Learn only the task needed today</w:t>
      </w:r>
    </w:p>
    <w:p>
      <w:r>
        <w:t>Prevents a large feature set from creating a large learning burden. F012, F196.</w:t>
      </w:r>
    </w:p>
    <w:p>
      <w:r>
        <w:t>Evidence and interpretation: Duolingo X11 historical experiment; no borrowed effect-size promise.</w:t>
      </w:r>
    </w:p>
    <w:p>
      <w:r>
        <w:t>The ten concepts are a design shortlist, not ten new modules. They combine existing feature primitives into experiences that can be tested. Detailed scope and boundaries appear in the master matrix; the small validation experiments appear in Chapter 9.</w:t>
      </w:r>
    </w:p>
    <w:p>
      <w:bookmarkStart w:id="6" w:name="branding"/>
      <w:pPr>
        <w:pStyle w:val="Heading1"/>
        <w:pageBreakBefore/>
      </w:pPr>
      <w:r>
        <w:t>5 Custom branding and document generation</w:t>
      </w:r>
      <w:bookmarkEnd w:id="6"/>
    </w:p>
    <w:p>
      <w:r>
        <w:t>Branding and documents should form a shared system. The business provides its identity, approved language and service details once; each client touchpoint uses that versioned information. A visual editor can make drafts easy, while signed and issued artifacts remain intact. This is a proposed product architecture, informed by cross-format branding and combined proposal workflows. [X01, X06, X07]</w:t>
      </w:r>
    </w:p>
    <w:p>
      <w:pPr>
        <w:pStyle w:val="Heading2"/>
      </w:pPr>
      <w:r>
        <w:t>5 1 The owner workflow</w:t>
      </w:r>
    </w:p>
    <w:p>
      <w:pPr>
        <w:pStyle w:val="ListBullet"/>
      </w:pPr>
      <w:r>
        <w:t>Choose a specialty and a restrained template family; upload existing assets or use a text-only identity. Select accessible colors, approved fonts, tone and the business contact details.</w:t>
      </w:r>
    </w:p>
    <w:p>
      <w:pPr>
        <w:pStyle w:val="ListBullet"/>
      </w:pPr>
      <w:r>
        <w:t>Import or create the service catalog. Add practitioner overrides, preparation rules, prices, policies and approved aftercare. Flag missing business-specific information rather than filling it with invented content.</w:t>
      </w:r>
    </w:p>
    <w:p>
      <w:pPr>
        <w:pStyle w:val="ListBullet"/>
      </w:pPr>
      <w:r>
        <w:t>Preview a complete client journey: booking page, confirmation, intake, estimate, consent where relevant, checkout, receipt and aftercare. Preview mobile, desktop and print.</w:t>
      </w:r>
    </w:p>
    <w:p>
      <w:pPr>
        <w:pStyle w:val="ListBullet"/>
      </w:pPr>
      <w:r>
        <w:t>Resolve approval tasks. The owner approves brand and commercial wording; a qualified professional approves service or clinical content; counsel reviews reusable legal templates where needed.</w:t>
      </w:r>
    </w:p>
    <w:p>
      <w:pPr>
        <w:pStyle w:val="ListBullet"/>
      </w:pPr>
      <w:r>
        <w:t>Publish one version. New documents bind to client, visit, catalog and template versions. An issued document has a stable identifier, access history and explicit correction process.</w:t>
      </w:r>
    </w:p>
    <w:p>
      <w:pPr>
        <w:pStyle w:val="ListBullet"/>
      </w:pPr>
      <w:r>
        <w:t>When the business changes its branding or policies, preview affected future outputs. Preserve past issued artifacts and create a new version for reissued content.</w:t>
      </w:r>
    </w:p>
    <w:p>
      <w:pPr>
        <w:pStyle w:val="Heading2"/>
      </w:pPr>
      <w:r>
        <w:t>5 2 Required capabilities</w:t>
      </w:r>
    </w:p>
    <w:p>
      <w:pPr>
        <w:pStyle w:val="Heading3"/>
      </w:pPr>
      <w:r>
        <w:t>Simple brand setup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592"/>
        <w:gridCol w:w="7632"/>
      </w:tblGrid>
      <w:tr>
        <w:trPr>
          <w:tblHeader/>
        </w:trPr>
        <w:tc>
          <w:tcPr>
            <w:tcW w:type="dxa" w:w="2592"/>
            <w:vAlign w:val="top"/>
            <w:shd w:fill="173F50"/>
          </w:tcPr>
          <w:p>
            <w:pPr>
              <w:keepNext/>
              <w:spacing w:after="50" w:before="20" w:line="250" w:lineRule="auto"/>
            </w:pPr>
            <w:r>
              <w:rPr>
                <w:rFonts w:ascii="Arial" w:hAnsi="Arial"/>
                <w:b/>
                <w:color w:val="FFFFFF"/>
                <w:sz w:val="18"/>
              </w:rPr>
              <w:t>Requirement</w:t>
            </w:r>
          </w:p>
        </w:tc>
        <w:tc>
          <w:tcPr>
            <w:tcW w:type="dxa" w:w="7632"/>
            <w:vAlign w:val="top"/>
            <w:shd w:fill="173F50"/>
          </w:tcPr>
          <w:p>
            <w:pPr>
              <w:keepNext/>
              <w:spacing w:after="50" w:before="20" w:line="250" w:lineRule="auto"/>
            </w:pPr>
            <w:r>
              <w:rPr>
                <w:rFonts w:ascii="Arial" w:hAnsi="Arial"/>
                <w:b/>
                <w:color w:val="FFFFFF"/>
                <w:sz w:val="18"/>
              </w:rPr>
              <w:t>Behavior and acceptance</w:t>
            </w:r>
          </w:p>
        </w:tc>
      </w:tr>
      <w:tr>
        <w:trPr>
          <w:cantSplit/>
        </w:trPr>
        <w:tc>
          <w:tcPr>
            <w:tcW w:type="dxa" w:w="2592"/>
            <w:vAlign w:val="top"/>
          </w:tcPr>
          <w:p>
            <w:pPr>
              <w:keepNext w:val="0"/>
              <w:spacing w:after="50" w:before="20" w:line="250" w:lineRule="auto"/>
            </w:pPr>
            <w:r>
              <w:rPr>
                <w:rFonts w:ascii="Arial" w:hAnsi="Arial"/>
                <w:b/>
                <w:sz w:val="18"/>
              </w:rPr>
              <w:t>BR01  Start with a few choices</w:t>
            </w:r>
          </w:p>
        </w:tc>
        <w:tc>
          <w:tcPr>
            <w:tcW w:type="dxa" w:w="7632"/>
            <w:vAlign w:val="top"/>
          </w:tcPr>
          <w:p>
            <w:pPr>
              <w:keepNext w:val="0"/>
              <w:spacing w:after="50" w:before="20" w:line="250" w:lineRule="auto"/>
            </w:pPr>
            <w:r>
              <w:rPr>
                <w:rFonts w:ascii="Arial" w:hAnsi="Arial"/>
                <w:sz w:val="18"/>
              </w:rPr>
              <w:t>Ask for business name, logo if available, preferred mood and one accent color. Offer three curated layouts and readable defaults so a business can publish without learning a design editor.</w:t>
              <w:br/>
              <w:t>Check: A novice reaches a coherent preview without entering hex codes or choosing individual font sizes.</w:t>
              <w:br/>
              <w:t>F001, F010, F011, F166</w:t>
            </w:r>
          </w:p>
        </w:tc>
      </w:tr>
      <w:tr>
        <w:trPr>
          <w:cantSplit/>
        </w:trPr>
        <w:tc>
          <w:tcPr>
            <w:tcW w:type="dxa" w:w="2592"/>
            <w:vAlign w:val="top"/>
            <w:shd w:fill="F3F6F7"/>
          </w:tcPr>
          <w:p>
            <w:pPr>
              <w:keepNext w:val="0"/>
              <w:spacing w:after="50" w:before="20" w:line="250" w:lineRule="auto"/>
            </w:pPr>
            <w:r>
              <w:rPr>
                <w:rFonts w:ascii="Arial" w:hAnsi="Arial"/>
                <w:b/>
                <w:sz w:val="18"/>
              </w:rPr>
              <w:t>BR02  Import and confirm an existing identity</w:t>
            </w:r>
          </w:p>
        </w:tc>
        <w:tc>
          <w:tcPr>
            <w:tcW w:type="dxa" w:w="7632"/>
            <w:vAlign w:val="top"/>
            <w:shd w:fill="F3F6F7"/>
          </w:tcPr>
          <w:p>
            <w:pPr>
              <w:keepNext w:val="0"/>
              <w:spacing w:after="50" w:before="20" w:line="250" w:lineRule="auto"/>
            </w:pPr>
            <w:r>
              <w:rPr>
                <w:rFonts w:ascii="Arial" w:hAnsi="Arial"/>
                <w:sz w:val="18"/>
              </w:rPr>
              <w:t>Extract suggested colors, logo placements and typography from the business's supplied assets or authorized site. Present the inferred choices for correction before applying them.</w:t>
              <w:br/>
              <w:t>Check: Every imported asset has visible provenance and an editable mapping; extraction errors do not publish automatically.</w:t>
              <w:br/>
              <w:t>F001, F106, F166</w:t>
            </w:r>
          </w:p>
        </w:tc>
      </w:tr>
      <w:tr>
        <w:trPr>
          <w:cantSplit/>
        </w:trPr>
        <w:tc>
          <w:tcPr>
            <w:tcW w:type="dxa" w:w="2592"/>
            <w:vAlign w:val="top"/>
          </w:tcPr>
          <w:p>
            <w:pPr>
              <w:keepNext w:val="0"/>
              <w:spacing w:after="50" w:before="20" w:line="250" w:lineRule="auto"/>
            </w:pPr>
            <w:r>
              <w:rPr>
                <w:rFonts w:ascii="Arial" w:hAnsi="Arial"/>
                <w:b/>
                <w:sz w:val="18"/>
              </w:rPr>
              <w:t>BR03  Preview the whole client journey</w:t>
            </w:r>
          </w:p>
        </w:tc>
        <w:tc>
          <w:tcPr>
            <w:tcW w:type="dxa" w:w="7632"/>
            <w:vAlign w:val="top"/>
          </w:tcPr>
          <w:p>
            <w:pPr>
              <w:keepNext w:val="0"/>
              <w:spacing w:after="50" w:before="20" w:line="250" w:lineRule="auto"/>
            </w:pPr>
            <w:r>
              <w:rPr>
                <w:rFonts w:ascii="Arial" w:hAnsi="Arial"/>
                <w:sz w:val="18"/>
              </w:rPr>
              <w:t>Show booking, confirmation, intake, care card, invoice and receipt together. One change updates all draft previews, making inconsistent colors, tone or business details obvious.</w:t>
              <w:br/>
              <w:t>Check: A changed contact number appears consistently on every new or unsent draft touchpoint; previously issued records retain the number shown at issue.</w:t>
              <w:br/>
              <w:t>F001, F007, F032, F036, F106</w:t>
            </w:r>
          </w:p>
        </w:tc>
      </w:tr>
      <w:tr>
        <w:trPr>
          <w:cantSplit/>
        </w:trPr>
        <w:tc>
          <w:tcPr>
            <w:tcW w:type="dxa" w:w="2592"/>
            <w:vAlign w:val="top"/>
            <w:shd w:fill="F3F6F7"/>
          </w:tcPr>
          <w:p>
            <w:pPr>
              <w:keepNext w:val="0"/>
              <w:spacing w:after="50" w:before="20" w:line="250" w:lineRule="auto"/>
            </w:pPr>
            <w:r>
              <w:rPr>
                <w:rFonts w:ascii="Arial" w:hAnsi="Arial"/>
                <w:b/>
                <w:sz w:val="18"/>
              </w:rPr>
              <w:t>BR04  Use business language for visual choices</w:t>
            </w:r>
          </w:p>
        </w:tc>
        <w:tc>
          <w:tcPr>
            <w:tcW w:type="dxa" w:w="7632"/>
            <w:vAlign w:val="top"/>
            <w:shd w:fill="F3F6F7"/>
          </w:tcPr>
          <w:p>
            <w:pPr>
              <w:keepNext w:val="0"/>
              <w:spacing w:after="50" w:before="20" w:line="250" w:lineRule="auto"/>
            </w:pPr>
            <w:r>
              <w:rPr>
                <w:rFonts w:ascii="Arial" w:hAnsi="Arial"/>
                <w:sz w:val="18"/>
              </w:rPr>
              <w:t>Let users choose calm, expressive, minimal or warm presets, then expose advanced controls only when requested. Offer contrast-safe alternatives when a chosen palette becomes hard to read.</w:t>
              <w:br/>
              <w:t>Check: The system explains a recommended contrast adjustment and allows a clear preview before applying it.</w:t>
              <w:br/>
              <w:t>F001, F010, F166</w:t>
            </w:r>
          </w:p>
        </w:tc>
      </w:tr>
      <w:tr>
        <w:trPr>
          <w:cantSplit/>
        </w:trPr>
        <w:tc>
          <w:tcPr>
            <w:tcW w:type="dxa" w:w="2592"/>
            <w:vAlign w:val="top"/>
          </w:tcPr>
          <w:p>
            <w:pPr>
              <w:keepNext w:val="0"/>
              <w:spacing w:after="50" w:before="20" w:line="250" w:lineRule="auto"/>
            </w:pPr>
            <w:r>
              <w:rPr>
                <w:rFonts w:ascii="Arial" w:hAnsi="Arial"/>
                <w:b/>
                <w:sz w:val="18"/>
              </w:rPr>
              <w:t>BR05  Separate brand design from substantive content</w:t>
            </w:r>
          </w:p>
        </w:tc>
        <w:tc>
          <w:tcPr>
            <w:tcW w:type="dxa" w:w="7632"/>
            <w:vAlign w:val="top"/>
          </w:tcPr>
          <w:p>
            <w:pPr>
              <w:keepNext w:val="0"/>
              <w:spacing w:after="50" w:before="20" w:line="250" w:lineRule="auto"/>
            </w:pPr>
            <w:r>
              <w:rPr>
                <w:rFonts w:ascii="Arial" w:hAnsi="Arial"/>
                <w:sz w:val="18"/>
              </w:rPr>
              <w:t>Changing layout, fonts or colors does not alter consent wording, service terms, prices or financial calculations. Brand edits apply to new drafts/future outputs; every issued record stays fixed. Content changes follow their own approval and version rules.</w:t>
              <w:br/>
              <w:t>Check: A theme update changes new draft appearance while issued invoices, aftercare, estimates and signed records preserve their exact historical content.</w:t>
              <w:br/>
              <w:t>F008, F036, F100, F106</w:t>
            </w:r>
          </w:p>
        </w:tc>
      </w:tr>
      <w:tr>
        <w:trPr>
          <w:cantSplit/>
        </w:trPr>
        <w:tc>
          <w:tcPr>
            <w:tcW w:type="dxa" w:w="2592"/>
            <w:vAlign w:val="top"/>
            <w:shd w:fill="F3F6F7"/>
          </w:tcPr>
          <w:p>
            <w:pPr>
              <w:keepNext w:val="0"/>
              <w:spacing w:after="50" w:before="20" w:line="250" w:lineRule="auto"/>
            </w:pPr>
            <w:r>
              <w:rPr>
                <w:rFonts w:ascii="Arial" w:hAnsi="Arial"/>
                <w:b/>
                <w:sz w:val="18"/>
              </w:rPr>
              <w:t>BR06  Brand voice with factual boundaries</w:t>
            </w:r>
          </w:p>
        </w:tc>
        <w:tc>
          <w:tcPr>
            <w:tcW w:type="dxa" w:w="7632"/>
            <w:vAlign w:val="top"/>
            <w:shd w:fill="F3F6F7"/>
          </w:tcPr>
          <w:p>
            <w:pPr>
              <w:keepNext w:val="0"/>
              <w:spacing w:after="50" w:before="20" w:line="250" w:lineRule="auto"/>
            </w:pPr>
            <w:r>
              <w:rPr>
                <w:rFonts w:ascii="Arial" w:hAnsi="Arial"/>
                <w:sz w:val="18"/>
              </w:rPr>
              <w:t>Store preferred tone, vocabulary, greetings and prohibited phrases. Generate editable message variants using approved factual fields; keep clinical instructions and consequential policy wording within reviewed content.</w:t>
              <w:br/>
              <w:t>Check: A warmer rewrite preserves dates, costs, cancellation conditions and required disclosures exactly.</w:t>
              <w:br/>
              <w:t>F007, F008, F037, F048, F166</w:t>
            </w:r>
          </w:p>
        </w:tc>
      </w:tr>
      <w:tr>
        <w:trPr>
          <w:cantSplit/>
        </w:trPr>
        <w:tc>
          <w:tcPr>
            <w:tcW w:type="dxa" w:w="2592"/>
            <w:vAlign w:val="top"/>
          </w:tcPr>
          <w:p>
            <w:pPr>
              <w:keepNext w:val="0"/>
              <w:spacing w:after="50" w:before="20" w:line="250" w:lineRule="auto"/>
            </w:pPr>
            <w:r>
              <w:rPr>
                <w:rFonts w:ascii="Arial" w:hAnsi="Arial"/>
                <w:b/>
                <w:sz w:val="18"/>
              </w:rPr>
              <w:t>BR07  Control local exceptions</w:t>
            </w:r>
          </w:p>
        </w:tc>
        <w:tc>
          <w:tcPr>
            <w:tcW w:type="dxa" w:w="7632"/>
            <w:vAlign w:val="top"/>
          </w:tcPr>
          <w:p>
            <w:pPr>
              <w:keepNext w:val="0"/>
              <w:spacing w:after="50" w:before="20" w:line="250" w:lineRule="auto"/>
            </w:pPr>
            <w:r>
              <w:rPr>
                <w:rFonts w:ascii="Arial" w:hAnsi="Arial"/>
                <w:sz w:val="18"/>
              </w:rPr>
              <w:t>Let a group share its main identity while locations override addresses, hours and designated imagery. Preview every affected surface and show local exceptions before a global change.</w:t>
              <w:br/>
              <w:t>Check: A global color change does not replace a location's legal business entity or payment merchant identity.</w:t>
              <w:br/>
              <w:t>F024, F106, F139, F140</w:t>
            </w:r>
          </w:p>
        </w:tc>
      </w:tr>
      <w:tr>
        <w:trPr>
          <w:cantSplit/>
        </w:trPr>
        <w:tc>
          <w:tcPr>
            <w:tcW w:type="dxa" w:w="2592"/>
            <w:vAlign w:val="top"/>
            <w:shd w:fill="F3F6F7"/>
          </w:tcPr>
          <w:p>
            <w:pPr>
              <w:keepNext w:val="0"/>
              <w:spacing w:after="50" w:before="20" w:line="250" w:lineRule="auto"/>
            </w:pPr>
            <w:r>
              <w:rPr>
                <w:rFonts w:ascii="Arial" w:hAnsi="Arial"/>
                <w:b/>
                <w:sz w:val="18"/>
              </w:rPr>
              <w:t>BR08  Make digital and printed materials agree</w:t>
            </w:r>
          </w:p>
        </w:tc>
        <w:tc>
          <w:tcPr>
            <w:tcW w:type="dxa" w:w="7632"/>
            <w:vAlign w:val="top"/>
            <w:shd w:fill="F3F6F7"/>
          </w:tcPr>
          <w:p>
            <w:pPr>
              <w:keepNext w:val="0"/>
              <w:spacing w:after="50" w:before="20" w:line="250" w:lineRule="auto"/>
            </w:pPr>
            <w:r>
              <w:rPr>
                <w:rFonts w:ascii="Arial" w:hAnsi="Arial"/>
                <w:sz w:val="18"/>
              </w:rPr>
              <w:t>Generate menus, cards, signs and QR codes from the same catalog and policies used online. Include generation/version dates where information may become outdated.</w:t>
              <w:br/>
              <w:t>Check: A newly generated printed menu and current booking flow show identical service details and an explicit price basis.</w:t>
              <w:br/>
              <w:t>F002, F005, F006, F032</w:t>
            </w:r>
          </w:p>
        </w:tc>
      </w:tr>
      <w:tr>
        <w:trPr>
          <w:cantSplit/>
        </w:trPr>
        <w:tc>
          <w:tcPr>
            <w:tcW w:type="dxa" w:w="2592"/>
            <w:vAlign w:val="top"/>
          </w:tcPr>
          <w:p>
            <w:pPr>
              <w:keepNext w:val="0"/>
              <w:spacing w:after="50" w:before="20" w:line="250" w:lineRule="auto"/>
            </w:pPr>
            <w:r>
              <w:rPr>
                <w:rFonts w:ascii="Arial" w:hAnsi="Arial"/>
                <w:b/>
                <w:sz w:val="18"/>
              </w:rPr>
              <w:t>BR09  Explain the scope of white labeling</w:t>
            </w:r>
          </w:p>
        </w:tc>
        <w:tc>
          <w:tcPr>
            <w:tcW w:type="dxa" w:w="7632"/>
            <w:vAlign w:val="top"/>
          </w:tcPr>
          <w:p>
            <w:pPr>
              <w:keepNext w:val="0"/>
              <w:spacing w:after="50" w:before="20" w:line="250" w:lineRule="auto"/>
            </w:pPr>
            <w:r>
              <w:rPr>
                <w:rFonts w:ascii="Arial" w:hAnsi="Arial"/>
                <w:sz w:val="18"/>
              </w:rPr>
              <w:t>Let the business brand supported pages, documents, email identity and optional custom domains. Clearly identify unavoidable payment-provider, security or native-app ownership elements during setup.</w:t>
              <w:br/>
              <w:t>Check: The preview matches the delivered experience; there are no surprise platform logos or misleading merchant identities.</w:t>
              <w:br/>
              <w:t>F032, F036, F072, F106, F138</w:t>
            </w:r>
          </w:p>
        </w:tc>
      </w:tr>
      <w:tr>
        <w:trPr>
          <w:cantSplit/>
        </w:trPr>
        <w:tc>
          <w:tcPr>
            <w:tcW w:type="dxa" w:w="2592"/>
            <w:vAlign w:val="top"/>
            <w:shd w:fill="F3F6F7"/>
          </w:tcPr>
          <w:p>
            <w:pPr>
              <w:keepNext w:val="0"/>
              <w:spacing w:after="50" w:before="20" w:line="250" w:lineRule="auto"/>
            </w:pPr>
            <w:r>
              <w:rPr>
                <w:rFonts w:ascii="Arial" w:hAnsi="Arial"/>
                <w:b/>
                <w:sz w:val="18"/>
              </w:rPr>
              <w:t>BR10  Offer safe staging and recovery</w:t>
            </w:r>
          </w:p>
        </w:tc>
        <w:tc>
          <w:tcPr>
            <w:tcW w:type="dxa" w:w="7632"/>
            <w:vAlign w:val="top"/>
            <w:shd w:fill="F3F6F7"/>
          </w:tcPr>
          <w:p>
            <w:pPr>
              <w:keepNext w:val="0"/>
              <w:spacing w:after="50" w:before="20" w:line="250" w:lineRule="auto"/>
            </w:pPr>
            <w:r>
              <w:rPr>
                <w:rFonts w:ascii="Arial" w:hAnsi="Arial"/>
                <w:sz w:val="18"/>
              </w:rPr>
              <w:t>Keep a private brand preview, change summary, scheduled publication and rollback for public surfaces. Restore a prior theme for future views without overwriting any issued artifact, transaction history or approved content version.</w:t>
              <w:br/>
              <w:t>Check: Users can inspect mobile, desktop and print previews, publish once, and reverse an unwanted appearance change.</w:t>
              <w:br/>
              <w:t>F012, F106, F134, F169</w:t>
            </w:r>
          </w:p>
        </w:tc>
      </w:tr>
    </w:tbl>
    <w:p>
      <w:pPr>
        <w:spacing w:after="40" w:before="0" w:line="240" w:lineRule="auto"/>
      </w:pPr>
      <w:r>
        <w:rPr>
          <w:sz w:val="4"/>
        </w:rPr>
      </w:r>
    </w:p>
    <w:p>
      <w:pPr>
        <w:pStyle w:val="Heading3"/>
      </w:pPr>
      <w:r>
        <w:t>Shared document engine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592"/>
        <w:gridCol w:w="7632"/>
      </w:tblGrid>
      <w:tr>
        <w:trPr>
          <w:tblHeader/>
        </w:trPr>
        <w:tc>
          <w:tcPr>
            <w:tcW w:type="dxa" w:w="2592"/>
            <w:vAlign w:val="top"/>
            <w:shd w:fill="173F50"/>
          </w:tcPr>
          <w:p>
            <w:pPr>
              <w:keepNext/>
              <w:spacing w:after="50" w:before="20" w:line="250" w:lineRule="auto"/>
            </w:pPr>
            <w:r>
              <w:rPr>
                <w:rFonts w:ascii="Arial" w:hAnsi="Arial"/>
                <w:b/>
                <w:color w:val="FFFFFF"/>
                <w:sz w:val="18"/>
              </w:rPr>
              <w:t>Requirement</w:t>
            </w:r>
          </w:p>
        </w:tc>
        <w:tc>
          <w:tcPr>
            <w:tcW w:type="dxa" w:w="7632"/>
            <w:vAlign w:val="top"/>
            <w:shd w:fill="173F50"/>
          </w:tcPr>
          <w:p>
            <w:pPr>
              <w:keepNext/>
              <w:spacing w:after="50" w:before="20" w:line="250" w:lineRule="auto"/>
            </w:pPr>
            <w:r>
              <w:rPr>
                <w:rFonts w:ascii="Arial" w:hAnsi="Arial"/>
                <w:b/>
                <w:color w:val="FFFFFF"/>
                <w:sz w:val="18"/>
              </w:rPr>
              <w:t>Behavior</w:t>
            </w:r>
          </w:p>
        </w:tc>
      </w:tr>
      <w:tr>
        <w:trPr>
          <w:cantSplit/>
        </w:trPr>
        <w:tc>
          <w:tcPr>
            <w:tcW w:type="dxa" w:w="2592"/>
            <w:vAlign w:val="top"/>
          </w:tcPr>
          <w:p>
            <w:pPr>
              <w:keepNext w:val="0"/>
              <w:spacing w:after="50" w:before="20" w:line="250" w:lineRule="auto"/>
            </w:pPr>
            <w:r>
              <w:rPr>
                <w:rFonts w:ascii="Arial" w:hAnsi="Arial"/>
                <w:b/>
                <w:sz w:val="18"/>
              </w:rPr>
              <w:t>DR01  Structured data before prose</w:t>
            </w:r>
          </w:p>
        </w:tc>
        <w:tc>
          <w:tcPr>
            <w:tcW w:type="dxa" w:w="7632"/>
            <w:vAlign w:val="top"/>
          </w:tcPr>
          <w:p>
            <w:pPr>
              <w:keepNext w:val="0"/>
              <w:spacing w:after="50" w:before="20" w:line="250" w:lineRule="auto"/>
            </w:pPr>
            <w:r>
              <w:rPr>
                <w:rFonts w:ascii="Arial" w:hAnsi="Arial"/>
                <w:sz w:val="18"/>
              </w:rPr>
              <w:t>Generate from typed business, client, appointment, price, policy and ledger fields. Required blanks remain visible and block finalization where necessary. AI may draft wording, but may not invent prices, events, credentials, signatures or treatment facts.</w:t>
              <w:br/>
              <w:t>F002, F008, F036, F053</w:t>
            </w:r>
          </w:p>
        </w:tc>
      </w:tr>
      <w:tr>
        <w:trPr>
          <w:cantSplit/>
        </w:trPr>
        <w:tc>
          <w:tcPr>
            <w:tcW w:type="dxa" w:w="2592"/>
            <w:vAlign w:val="top"/>
            <w:shd w:fill="F3F6F7"/>
          </w:tcPr>
          <w:p>
            <w:pPr>
              <w:keepNext w:val="0"/>
              <w:spacing w:after="50" w:before="20" w:line="250" w:lineRule="auto"/>
            </w:pPr>
            <w:r>
              <w:rPr>
                <w:rFonts w:ascii="Arial" w:hAnsi="Arial"/>
                <w:b/>
                <w:sz w:val="18"/>
              </w:rPr>
              <w:t>DR02  Reusable approved content</w:t>
            </w:r>
          </w:p>
        </w:tc>
        <w:tc>
          <w:tcPr>
            <w:tcW w:type="dxa" w:w="7632"/>
            <w:vAlign w:val="top"/>
            <w:shd w:fill="F3F6F7"/>
          </w:tcPr>
          <w:p>
            <w:pPr>
              <w:keepNext w:val="0"/>
              <w:spacing w:after="50" w:before="20" w:line="250" w:lineRule="auto"/>
            </w:pPr>
            <w:r>
              <w:rPr>
                <w:rFonts w:ascii="Arial" w:hAnsi="Arial"/>
                <w:sz w:val="18"/>
              </w:rPr>
              <w:t>Store clauses, care instructions and layouts separately. Each content block carries owner, version, applicable service/jurisdiction, review type and expiry/review date. Distinguish business-supplied, counsel-reviewed and clinician-reviewed content without a blanket 'compliant' badge.</w:t>
              <w:br/>
              <w:t>F008, F037, F053, F156</w:t>
            </w:r>
          </w:p>
        </w:tc>
      </w:tr>
      <w:tr>
        <w:trPr>
          <w:cantSplit/>
        </w:trPr>
        <w:tc>
          <w:tcPr>
            <w:tcW w:type="dxa" w:w="2592"/>
            <w:vAlign w:val="top"/>
          </w:tcPr>
          <w:p>
            <w:pPr>
              <w:keepNext w:val="0"/>
              <w:spacing w:after="50" w:before="20" w:line="250" w:lineRule="auto"/>
            </w:pPr>
            <w:r>
              <w:rPr>
                <w:rFonts w:ascii="Arial" w:hAnsi="Arial"/>
                <w:b/>
                <w:sz w:val="18"/>
              </w:rPr>
              <w:t>DR03  Preview and approvals</w:t>
            </w:r>
          </w:p>
        </w:tc>
        <w:tc>
          <w:tcPr>
            <w:tcW w:type="dxa" w:w="7632"/>
            <w:vAlign w:val="top"/>
          </w:tcPr>
          <w:p>
            <w:pPr>
              <w:keepNext w:val="0"/>
              <w:spacing w:after="50" w:before="20" w:line="250" w:lineRule="auto"/>
            </w:pPr>
            <w:r>
              <w:rPr>
                <w:rFonts w:ascii="Arial" w:hAnsi="Arial"/>
                <w:sz w:val="18"/>
              </w:rPr>
              <w:t>Preview the actual recipient view and printable output before sending. Approval rules depend on purpose: ordinary operational templates can be self-service; legal and clinical content needs appropriate review; financial records must match the ledger.</w:t>
              <w:br/>
              <w:t>F036, F100, F134, F161</w:t>
            </w:r>
          </w:p>
        </w:tc>
      </w:tr>
      <w:tr>
        <w:trPr>
          <w:cantSplit/>
        </w:trPr>
        <w:tc>
          <w:tcPr>
            <w:tcW w:type="dxa" w:w="2592"/>
            <w:vAlign w:val="top"/>
            <w:shd w:fill="F3F6F7"/>
          </w:tcPr>
          <w:p>
            <w:pPr>
              <w:keepNext w:val="0"/>
              <w:spacing w:after="50" w:before="20" w:line="250" w:lineRule="auto"/>
            </w:pPr>
            <w:r>
              <w:rPr>
                <w:rFonts w:ascii="Arial" w:hAnsi="Arial"/>
                <w:b/>
                <w:sz w:val="18"/>
              </w:rPr>
              <w:t>DR04  Every issued artifact stays fixed</w:t>
            </w:r>
          </w:p>
        </w:tc>
        <w:tc>
          <w:tcPr>
            <w:tcW w:type="dxa" w:w="7632"/>
            <w:vAlign w:val="top"/>
            <w:shd w:fill="F3F6F7"/>
          </w:tcPr>
          <w:p>
            <w:pPr>
              <w:keepNext w:val="0"/>
              <w:spacing w:after="50" w:before="20" w:line="250" w:lineRule="auto"/>
            </w:pPr>
            <w:r>
              <w:rPr>
                <w:rFonts w:ascii="Arial" w:hAnsi="Arial"/>
                <w:sz w:val="18"/>
              </w:rPr>
              <w:t>Issuing, sending or exporting a document preserves its exact content, values, brand, template and policy versions, timestamp and integrity reference, even if unsigned. Signed records also retain signer evidence. Corrections create a linked replacement or amendment; branding changes affect only new drafts and future outputs.</w:t>
              <w:br/>
              <w:t>F100, F101, F106</w:t>
            </w:r>
          </w:p>
        </w:tc>
      </w:tr>
      <w:tr>
        <w:trPr>
          <w:cantSplit/>
        </w:trPr>
        <w:tc>
          <w:tcPr>
            <w:tcW w:type="dxa" w:w="2592"/>
            <w:vAlign w:val="top"/>
          </w:tcPr>
          <w:p>
            <w:pPr>
              <w:keepNext w:val="0"/>
              <w:spacing w:after="50" w:before="20" w:line="250" w:lineRule="auto"/>
            </w:pPr>
            <w:r>
              <w:rPr>
                <w:rFonts w:ascii="Arial" w:hAnsi="Arial"/>
                <w:b/>
                <w:sz w:val="18"/>
              </w:rPr>
              <w:t>DR05  Consent and payment are different actions</w:t>
            </w:r>
          </w:p>
        </w:tc>
        <w:tc>
          <w:tcPr>
            <w:tcW w:type="dxa" w:w="7632"/>
            <w:vAlign w:val="top"/>
          </w:tcPr>
          <w:p>
            <w:pPr>
              <w:keepNext w:val="0"/>
              <w:spacing w:after="50" w:before="20" w:line="250" w:lineRule="auto"/>
            </w:pPr>
            <w:r>
              <w:rPr>
                <w:rFonts w:ascii="Arial" w:hAnsi="Arial"/>
                <w:sz w:val="18"/>
              </w:rPr>
              <w:t>Treatment consent, media permission, communication consent and card/debit authorization are separate records. Accepting an estimate or signing a form must not silently authorize an unrelated charge. Guardian and authorized-payer roles are independent.</w:t>
              <w:br/>
              <w:t>F062, F064, F084, F100, F111, F128</w:t>
            </w:r>
          </w:p>
        </w:tc>
      </w:tr>
      <w:tr>
        <w:trPr>
          <w:cantSplit/>
        </w:trPr>
        <w:tc>
          <w:tcPr>
            <w:tcW w:type="dxa" w:w="2592"/>
            <w:vAlign w:val="top"/>
            <w:shd w:fill="F3F6F7"/>
          </w:tcPr>
          <w:p>
            <w:pPr>
              <w:keepNext w:val="0"/>
              <w:spacing w:after="50" w:before="20" w:line="250" w:lineRule="auto"/>
            </w:pPr>
            <w:r>
              <w:rPr>
                <w:rFonts w:ascii="Arial" w:hAnsi="Arial"/>
                <w:b/>
                <w:sz w:val="18"/>
              </w:rPr>
              <w:t>DR06  Multiple useful outputs</w:t>
            </w:r>
          </w:p>
        </w:tc>
        <w:tc>
          <w:tcPr>
            <w:tcW w:type="dxa" w:w="7632"/>
            <w:vAlign w:val="top"/>
            <w:shd w:fill="F3F6F7"/>
          </w:tcPr>
          <w:p>
            <w:pPr>
              <w:keepNext w:val="0"/>
              <w:spacing w:after="50" w:before="20" w:line="250" w:lineRule="auto"/>
            </w:pPr>
            <w:r>
              <w:rPr>
                <w:rFonts w:ascii="Arial" w:hAnsi="Arial"/>
                <w:sz w:val="18"/>
              </w:rPr>
              <w:t>Provide responsive HTML for completion, accessible PDF for fixed records, and an editable DOCX export for authorized business templates. Archive every issued output and export, with version/index metadata and amendments. A separately labeled live portal view may show current balances without altering an issued statement.</w:t>
              <w:br/>
              <w:t>F036, F053, F057, F119</w:t>
            </w:r>
          </w:p>
        </w:tc>
      </w:tr>
      <w:tr>
        <w:trPr>
          <w:cantSplit/>
        </w:trPr>
        <w:tc>
          <w:tcPr>
            <w:tcW w:type="dxa" w:w="2592"/>
            <w:vAlign w:val="top"/>
          </w:tcPr>
          <w:p>
            <w:pPr>
              <w:keepNext w:val="0"/>
              <w:spacing w:after="50" w:before="20" w:line="250" w:lineRule="auto"/>
            </w:pPr>
            <w:r>
              <w:rPr>
                <w:rFonts w:ascii="Arial" w:hAnsi="Arial"/>
                <w:b/>
                <w:sz w:val="18"/>
              </w:rPr>
              <w:t>DR07  Recipient-specific delivery</w:t>
            </w:r>
          </w:p>
        </w:tc>
        <w:tc>
          <w:tcPr>
            <w:tcW w:type="dxa" w:w="7632"/>
            <w:vAlign w:val="top"/>
          </w:tcPr>
          <w:p>
            <w:pPr>
              <w:keepNext w:val="0"/>
              <w:spacing w:after="50" w:before="20" w:line="250" w:lineRule="auto"/>
            </w:pPr>
            <w:r>
              <w:rPr>
                <w:rFonts w:ascii="Arial" w:hAnsi="Arial"/>
                <w:sz w:val="18"/>
              </w:rPr>
              <w:t>Apply tenant and role permissions before generating a file, preview, email attachment or portal link. Sensitive documents use authenticated or purpose-limited delivery; the marketing team does not inherit clinical access through the template system.</w:t>
              <w:br/>
              <w:t>F031, F073, F101, F111</w:t>
            </w:r>
          </w:p>
        </w:tc>
      </w:tr>
      <w:tr>
        <w:trPr>
          <w:cantSplit/>
        </w:trPr>
        <w:tc>
          <w:tcPr>
            <w:tcW w:type="dxa" w:w="2592"/>
            <w:vAlign w:val="top"/>
            <w:shd w:fill="F3F6F7"/>
          </w:tcPr>
          <w:p>
            <w:pPr>
              <w:keepNext w:val="0"/>
              <w:spacing w:after="50" w:before="20" w:line="250" w:lineRule="auto"/>
            </w:pPr>
            <w:r>
              <w:rPr>
                <w:rFonts w:ascii="Arial" w:hAnsi="Arial"/>
                <w:b/>
                <w:sz w:val="18"/>
              </w:rPr>
              <w:t>DR08  Readable and printable by default</w:t>
            </w:r>
          </w:p>
        </w:tc>
        <w:tc>
          <w:tcPr>
            <w:tcW w:type="dxa" w:w="7632"/>
            <w:vAlign w:val="top"/>
            <w:shd w:fill="F3F6F7"/>
          </w:tcPr>
          <w:p>
            <w:pPr>
              <w:keepNext w:val="0"/>
              <w:spacing w:after="50" w:before="20" w:line="250" w:lineRule="auto"/>
            </w:pPr>
            <w:r>
              <w:rPr>
                <w:rFonts w:ascii="Arial" w:hAnsi="Arial"/>
                <w:sz w:val="18"/>
              </w:rPr>
              <w:t>Support semantic headings, keyboard completion, labeled fields, sufficient contrast, readable type, logical reading order, low-ink printing and page numbers. Detect clipped text, missing glyphs, broken tables and unreadable QR codes before release.</w:t>
              <w:br/>
              <w:t>F006, F036, F070, F120, F195</w:t>
            </w:r>
          </w:p>
        </w:tc>
      </w:tr>
      <w:tr>
        <w:trPr>
          <w:cantSplit/>
        </w:trPr>
        <w:tc>
          <w:tcPr>
            <w:tcW w:type="dxa" w:w="2592"/>
            <w:vAlign w:val="top"/>
          </w:tcPr>
          <w:p>
            <w:pPr>
              <w:keepNext w:val="0"/>
              <w:spacing w:after="50" w:before="20" w:line="250" w:lineRule="auto"/>
            </w:pPr>
            <w:r>
              <w:rPr>
                <w:rFonts w:ascii="Arial" w:hAnsi="Arial"/>
                <w:b/>
                <w:sz w:val="18"/>
              </w:rPr>
              <w:t>DR09  Translations retain approval scope</w:t>
            </w:r>
          </w:p>
        </w:tc>
        <w:tc>
          <w:tcPr>
            <w:tcW w:type="dxa" w:w="7632"/>
            <w:vAlign w:val="top"/>
          </w:tcPr>
          <w:p>
            <w:pPr>
              <w:keepNext w:val="0"/>
              <w:spacing w:after="50" w:before="20" w:line="250" w:lineRule="auto"/>
            </w:pPr>
            <w:r>
              <w:rPr>
                <w:rFonts w:ascii="Arial" w:hAnsi="Arial"/>
                <w:sz w:val="18"/>
              </w:rPr>
              <w:t>Store language and translation version with the document. Show which translations received human review. A translation changes neither prices nor entitlements; clinical/legal translations route to a suitable reviewer before publication.</w:t>
              <w:br/>
              <w:t>F070, F100, F161</w:t>
            </w:r>
          </w:p>
        </w:tc>
      </w:tr>
      <w:tr>
        <w:trPr>
          <w:cantSplit/>
        </w:trPr>
        <w:tc>
          <w:tcPr>
            <w:tcW w:type="dxa" w:w="2592"/>
            <w:vAlign w:val="top"/>
            <w:shd w:fill="F3F6F7"/>
          </w:tcPr>
          <w:p>
            <w:pPr>
              <w:keepNext w:val="0"/>
              <w:spacing w:after="50" w:before="20" w:line="250" w:lineRule="auto"/>
            </w:pPr>
            <w:r>
              <w:rPr>
                <w:rFonts w:ascii="Arial" w:hAnsi="Arial"/>
                <w:b/>
                <w:sz w:val="18"/>
              </w:rPr>
              <w:t>DR10  Lifecycle and evidence</w:t>
            </w:r>
          </w:p>
        </w:tc>
        <w:tc>
          <w:tcPr>
            <w:tcW w:type="dxa" w:w="7632"/>
            <w:vAlign w:val="top"/>
            <w:shd w:fill="F3F6F7"/>
          </w:tcPr>
          <w:p>
            <w:pPr>
              <w:keepNext w:val="0"/>
              <w:spacing w:after="50" w:before="20" w:line="250" w:lineRule="auto"/>
            </w:pPr>
            <w:r>
              <w:rPr>
                <w:rFonts w:ascii="Arial" w:hAnsi="Arial"/>
                <w:sz w:val="18"/>
              </w:rPr>
              <w:t>Track generated, previewed, sent, delivered, opened where supported, completed, signed, expired, revoked and superseded states separately. Record duplicate-send protection and delivery failures. Opening a document never counts as informed consent or signature.</w:t>
              <w:br/>
              <w:t>F025, F036, F100, F111, F117</w:t>
            </w:r>
          </w:p>
        </w:tc>
      </w:tr>
    </w:tbl>
    <w:p>
      <w:pPr>
        <w:spacing w:after="40" w:before="0" w:line="240" w:lineRule="auto"/>
      </w:pPr>
      <w:r>
        <w:rPr>
          <w:sz w:val="4"/>
        </w:rPr>
      </w:r>
    </w:p>
    <w:p>
      <w:r>
        <w:rPr>
          <w:b/>
        </w:rPr>
        <w:t>Clinical:</w:t>
      </w:r>
      <w:r>
        <w:t xml:space="preserve"> Medical consent, clinical note approval, interpretation and escalation are enabled only within the appropriate practice workflow. Ordinary branding and salon document generation do not create a prescribing or telehealth service.</w:t>
      </w:r>
    </w:p>
    <w:p>
      <w:r>
        <w:rPr>
          <w:b/>
        </w:rPr>
        <w:t>Legal:</w:t>
      </w:r>
      <w:r>
        <w:t xml:space="preserve"> A template can record business instructions and review provenance. Only the appropriate adviser can assess jurisdictional suitability; the product must not advertise universal enforceability or turn a signature into a blanket liability release.</w:t>
      </w:r>
    </w:p>
    <w:p>
      <w:r>
        <w:rPr>
          <w:b/>
        </w:rPr>
        <w:t>Payments:</w:t>
      </w:r>
      <w:r>
        <w:t xml:space="preserve"> Invoices, acknowledgements and service-plan signatures are distinct from payment initiation. Charge/refund/recurring authorization follows the processor and configured approval path. Receipts derive from authoritative money records; rent receivables and renter merchant/client-service funds remain separate.</w:t>
      </w:r>
    </w:p>
    <w:p>
      <w:r>
        <w:rPr>
          <w:b/>
        </w:rPr>
        <w:t>Recruitment:</w:t>
      </w:r>
      <w:r>
        <w:t xml:space="preserve"> The reusable engine can be self-service. Recruitment is needed for content-library expertise, managed design/document services, clinical features, legal localization and financial configuration—not for every generated document.</w:t>
      </w:r>
    </w:p>
    <w:p>
      <w:pPr>
        <w:pStyle w:val="Heading2"/>
      </w:pPr>
      <w:r>
        <w:t>5 3 Template inventory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664"/>
        <w:gridCol w:w="7560"/>
      </w:tblGrid>
      <w:tr>
        <w:trPr>
          <w:tblHeader/>
        </w:trPr>
        <w:tc>
          <w:tcPr>
            <w:tcW w:type="dxa" w:w="2664"/>
            <w:vAlign w:val="top"/>
            <w:shd w:fill="173F50"/>
          </w:tcPr>
          <w:p>
            <w:pPr>
              <w:keepNext/>
              <w:spacing w:after="50" w:before="20" w:line="250" w:lineRule="auto"/>
            </w:pPr>
            <w:r>
              <w:rPr>
                <w:rFonts w:ascii="Arial" w:hAnsi="Arial"/>
                <w:b/>
                <w:color w:val="FFFFFF"/>
                <w:sz w:val="18"/>
              </w:rPr>
              <w:t>Template</w:t>
            </w:r>
          </w:p>
        </w:tc>
        <w:tc>
          <w:tcPr>
            <w:tcW w:type="dxa" w:w="7560"/>
            <w:vAlign w:val="top"/>
            <w:shd w:fill="173F50"/>
          </w:tcPr>
          <w:p>
            <w:pPr>
              <w:keepNext/>
              <w:spacing w:after="50" w:before="20" w:line="250" w:lineRule="auto"/>
            </w:pPr>
            <w:r>
              <w:rPr>
                <w:rFonts w:ascii="Arial" w:hAnsi="Arial"/>
                <w:b/>
                <w:color w:val="FFFFFF"/>
                <w:sz w:val="18"/>
              </w:rPr>
              <w:t>Generation and controls</w:t>
            </w:r>
          </w:p>
        </w:tc>
      </w:tr>
      <w:tr>
        <w:trPr>
          <w:cantSplit/>
        </w:trPr>
        <w:tc>
          <w:tcPr>
            <w:tcW w:type="dxa" w:w="2664"/>
            <w:vAlign w:val="top"/>
          </w:tcPr>
          <w:p>
            <w:pPr>
              <w:keepNext w:val="0"/>
              <w:spacing w:after="50" w:before="20" w:line="250" w:lineRule="auto"/>
            </w:pPr>
            <w:r>
              <w:rPr>
                <w:rFonts w:ascii="Arial" w:hAnsi="Arial"/>
                <w:b/>
                <w:sz w:val="18"/>
              </w:rPr>
              <w:t>D01 Service menu and price card</w:t>
            </w:r>
          </w:p>
        </w:tc>
        <w:tc>
          <w:tcPr>
            <w:tcW w:type="dxa" w:w="7560"/>
            <w:vAlign w:val="top"/>
          </w:tcPr>
          <w:p>
            <w:pPr>
              <w:keepNext w:val="0"/>
              <w:spacing w:after="50" w:before="20" w:line="250" w:lineRule="auto"/>
            </w:pPr>
            <w:r>
              <w:rPr>
                <w:rFonts w:ascii="Arial" w:hAnsi="Arial"/>
                <w:sz w:val="18"/>
              </w:rPr>
              <w:t>Trigger: Publish or revise a service catalog; print desk or takeaway materials.</w:t>
              <w:br/>
              <w:t>Required data: Services, duration, exact price or honest range, tax/fee basis, add-on eligibility, business details.</w:t>
              <w:br/>
              <w:t>Approval signature: Business owner approval; no client signature.</w:t>
              <w:br/>
              <w:t>History output: Preserve each issued dated catalog snapshot. Regenerate a new version after prices change; the live website can update without rewriting earlier PDFs.</w:t>
              <w:br/>
              <w:t>Features: F002, F006, F023, F036, F132</w:t>
              <w:br/>
              <w:t>Specialist: Designer optional; finance review for tax/fee wording.</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664"/>
        <w:gridCol w:w="7560"/>
      </w:tblGrid>
      <w:tr>
        <w:trPr>
          <w:tblHeader/>
        </w:trPr>
        <w:tc>
          <w:tcPr>
            <w:tcW w:type="dxa" w:w="2664"/>
            <w:vAlign w:val="top"/>
            <w:shd w:fill="173F50"/>
          </w:tcPr>
          <w:p>
            <w:pPr>
              <w:keepNext/>
              <w:spacing w:after="50" w:before="20" w:line="250" w:lineRule="auto"/>
            </w:pPr>
            <w:r>
              <w:rPr>
                <w:rFonts w:ascii="Arial" w:hAnsi="Arial"/>
                <w:b/>
                <w:color w:val="FFFFFF"/>
                <w:sz w:val="18"/>
              </w:rPr>
              <w:t>Template</w:t>
            </w:r>
          </w:p>
        </w:tc>
        <w:tc>
          <w:tcPr>
            <w:tcW w:type="dxa" w:w="7560"/>
            <w:vAlign w:val="top"/>
            <w:shd w:fill="173F50"/>
          </w:tcPr>
          <w:p>
            <w:pPr>
              <w:keepNext/>
              <w:spacing w:after="50" w:before="20" w:line="250" w:lineRule="auto"/>
            </w:pPr>
            <w:r>
              <w:rPr>
                <w:rFonts w:ascii="Arial" w:hAnsi="Arial"/>
                <w:b/>
                <w:color w:val="FFFFFF"/>
                <w:sz w:val="18"/>
              </w:rPr>
              <w:t>Generation and controls</w:t>
            </w:r>
          </w:p>
        </w:tc>
      </w:tr>
      <w:tr>
        <w:trPr>
          <w:cantSplit/>
        </w:trPr>
        <w:tc>
          <w:tcPr>
            <w:tcW w:type="dxa" w:w="2664"/>
            <w:vAlign w:val="top"/>
          </w:tcPr>
          <w:p>
            <w:pPr>
              <w:keepNext w:val="0"/>
              <w:spacing w:after="50" w:before="20" w:line="250" w:lineRule="auto"/>
            </w:pPr>
            <w:r>
              <w:rPr>
                <w:rFonts w:ascii="Arial" w:hAnsi="Arial"/>
                <w:b/>
                <w:sz w:val="18"/>
              </w:rPr>
              <w:t>D02 Booking confirmation and visit itinerary</w:t>
            </w:r>
          </w:p>
        </w:tc>
        <w:tc>
          <w:tcPr>
            <w:tcW w:type="dxa" w:w="7560"/>
            <w:vAlign w:val="top"/>
          </w:tcPr>
          <w:p>
            <w:pPr>
              <w:keepNext w:val="0"/>
              <w:spacing w:after="50" w:before="20" w:line="250" w:lineRule="auto"/>
            </w:pPr>
            <w:r>
              <w:rPr>
                <w:rFonts w:ascii="Arial" w:hAnsi="Arial"/>
                <w:sz w:val="18"/>
              </w:rPr>
              <w:t>Trigger: Confirmed booking, approved reschedule or multi-service visit.</w:t>
              <w:br/>
              <w:t>Required data: Visit and service sequence, providers, location, time zone, arrival instructions, deposit status, policy links.</w:t>
              <w:br/>
              <w:t>Approval signature: Automatic from confirmed records; client acknowledgement only where explicitly required.</w:t>
              <w:br/>
              <w:t>History output: Keep original and revised itinerary, explain changed fields, suppress duplicate notices.</w:t>
              <w:br/>
              <w:t>Features: F025, F028, F030, F036, F078, F107</w:t>
              <w:br/>
              <w:t>Specialist: Core engineering; no recruited provider required.</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664"/>
        <w:gridCol w:w="7560"/>
      </w:tblGrid>
      <w:tr>
        <w:trPr>
          <w:tblHeader/>
        </w:trPr>
        <w:tc>
          <w:tcPr>
            <w:tcW w:type="dxa" w:w="2664"/>
            <w:vAlign w:val="top"/>
            <w:shd w:fill="173F50"/>
          </w:tcPr>
          <w:p>
            <w:pPr>
              <w:keepNext/>
              <w:spacing w:after="50" w:before="20" w:line="250" w:lineRule="auto"/>
            </w:pPr>
            <w:r>
              <w:rPr>
                <w:rFonts w:ascii="Arial" w:hAnsi="Arial"/>
                <w:b/>
                <w:color w:val="FFFFFF"/>
                <w:sz w:val="18"/>
              </w:rPr>
              <w:t>Template</w:t>
            </w:r>
          </w:p>
        </w:tc>
        <w:tc>
          <w:tcPr>
            <w:tcW w:type="dxa" w:w="7560"/>
            <w:vAlign w:val="top"/>
            <w:shd w:fill="173F50"/>
          </w:tcPr>
          <w:p>
            <w:pPr>
              <w:keepNext/>
              <w:spacing w:after="50" w:before="20" w:line="250" w:lineRule="auto"/>
            </w:pPr>
            <w:r>
              <w:rPr>
                <w:rFonts w:ascii="Arial" w:hAnsi="Arial"/>
                <w:b/>
                <w:color w:val="FFFFFF"/>
                <w:sz w:val="18"/>
              </w:rPr>
              <w:t>Generation and controls</w:t>
            </w:r>
          </w:p>
        </w:tc>
      </w:tr>
      <w:tr>
        <w:trPr>
          <w:cantSplit/>
        </w:trPr>
        <w:tc>
          <w:tcPr>
            <w:tcW w:type="dxa" w:w="2664"/>
            <w:vAlign w:val="top"/>
          </w:tcPr>
          <w:p>
            <w:pPr>
              <w:keepNext w:val="0"/>
              <w:spacing w:after="50" w:before="20" w:line="250" w:lineRule="auto"/>
            </w:pPr>
            <w:r>
              <w:rPr>
                <w:rFonts w:ascii="Arial" w:hAnsi="Arial"/>
                <w:b/>
                <w:sz w:val="18"/>
              </w:rPr>
              <w:t>D03 Service-specific intake questionnaire</w:t>
            </w:r>
          </w:p>
        </w:tc>
        <w:tc>
          <w:tcPr>
            <w:tcW w:type="dxa" w:w="7560"/>
            <w:vAlign w:val="top"/>
          </w:tcPr>
          <w:p>
            <w:pPr>
              <w:keepNext w:val="0"/>
              <w:spacing w:after="50" w:before="20" w:line="250" w:lineRule="auto"/>
            </w:pPr>
            <w:r>
              <w:rPr>
                <w:rFonts w:ascii="Arial" w:hAnsi="Arial"/>
                <w:sz w:val="18"/>
              </w:rPr>
              <w:t>Trigger: New service or expired/incomplete required intake.</w:t>
              <w:br/>
              <w:t>Required data: Client identity, service, applicable questions, existing permitted answers, privacy purpose and version.</w:t>
              <w:br/>
              <w:t>Approval signature: Client submits; service professional reviews relevant exceptions. Guardian flow where appropriate.</w:t>
              <w:br/>
              <w:t>History output: Retain submitted answers and amendment chain; authenticated HTML and fixed PDF export.</w:t>
              <w:br/>
              <w:t>Features: F035, F041, F043, F100, F101, F128</w:t>
              <w:br/>
              <w:t>Specialist: Service adviser; clinician for medical questions; privacy counsel for data scope.</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664"/>
        <w:gridCol w:w="7560"/>
      </w:tblGrid>
      <w:tr>
        <w:trPr>
          <w:tblHeader/>
        </w:trPr>
        <w:tc>
          <w:tcPr>
            <w:tcW w:type="dxa" w:w="2664"/>
            <w:vAlign w:val="top"/>
            <w:shd w:fill="173F50"/>
          </w:tcPr>
          <w:p>
            <w:pPr>
              <w:keepNext/>
              <w:spacing w:after="50" w:before="20" w:line="250" w:lineRule="auto"/>
            </w:pPr>
            <w:r>
              <w:rPr>
                <w:rFonts w:ascii="Arial" w:hAnsi="Arial"/>
                <w:b/>
                <w:color w:val="FFFFFF"/>
                <w:sz w:val="18"/>
              </w:rPr>
              <w:t>Template</w:t>
            </w:r>
          </w:p>
        </w:tc>
        <w:tc>
          <w:tcPr>
            <w:tcW w:type="dxa" w:w="7560"/>
            <w:vAlign w:val="top"/>
            <w:shd w:fill="173F50"/>
          </w:tcPr>
          <w:p>
            <w:pPr>
              <w:keepNext/>
              <w:spacing w:after="50" w:before="20" w:line="250" w:lineRule="auto"/>
            </w:pPr>
            <w:r>
              <w:rPr>
                <w:rFonts w:ascii="Arial" w:hAnsi="Arial"/>
                <w:b/>
                <w:color w:val="FFFFFF"/>
                <w:sz w:val="18"/>
              </w:rPr>
              <w:t>Generation and controls</w:t>
            </w:r>
          </w:p>
        </w:tc>
      </w:tr>
      <w:tr>
        <w:trPr>
          <w:cantSplit/>
        </w:trPr>
        <w:tc>
          <w:tcPr>
            <w:tcW w:type="dxa" w:w="2664"/>
            <w:vAlign w:val="top"/>
          </w:tcPr>
          <w:p>
            <w:pPr>
              <w:keepNext w:val="0"/>
              <w:spacing w:after="50" w:before="20" w:line="250" w:lineRule="auto"/>
            </w:pPr>
            <w:r>
              <w:rPr>
                <w:rFonts w:ascii="Arial" w:hAnsi="Arial"/>
                <w:b/>
                <w:sz w:val="18"/>
              </w:rPr>
              <w:t>D04 Itemized estimate and service-plan approval</w:t>
            </w:r>
          </w:p>
        </w:tc>
        <w:tc>
          <w:tcPr>
            <w:tcW w:type="dxa" w:w="7560"/>
            <w:vAlign w:val="top"/>
          </w:tcPr>
          <w:p>
            <w:pPr>
              <w:keepNext w:val="0"/>
              <w:spacing w:after="50" w:before="20" w:line="250" w:lineRule="auto"/>
            </w:pPr>
            <w:r>
              <w:rPr>
                <w:rFonts w:ascii="Arial" w:hAnsi="Arial"/>
                <w:sz w:val="18"/>
              </w:rPr>
              <w:t>Trigger: Consultation, requested package or materially changed scope.</w:t>
              <w:br/>
              <w:t>Required data: Selected services/products, quantities, durations, price range, discount/tax assumptions, validity and optional alternatives.</w:t>
              <w:br/>
              <w:t>Approval signature: Business approves estimate; client explicitly accepts the selected scope. Acceptance is separate from payment authorization.</w:t>
              <w:br/>
              <w:t>History output: Preserve accepted version; later scope/price changes create a new approval record.</w:t>
              <w:br/>
              <w:t>Features: F036, F044, F045, F100, F134</w:t>
              <w:br/>
              <w:t>Specialist: Counsel reviews terms; core engine handles arithmetic and versions.</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664"/>
        <w:gridCol w:w="7560"/>
      </w:tblGrid>
      <w:tr>
        <w:trPr>
          <w:tblHeader/>
        </w:trPr>
        <w:tc>
          <w:tcPr>
            <w:tcW w:type="dxa" w:w="2664"/>
            <w:vAlign w:val="top"/>
            <w:shd w:fill="173F50"/>
          </w:tcPr>
          <w:p>
            <w:pPr>
              <w:keepNext/>
              <w:spacing w:after="50" w:before="20" w:line="250" w:lineRule="auto"/>
            </w:pPr>
            <w:r>
              <w:rPr>
                <w:rFonts w:ascii="Arial" w:hAnsi="Arial"/>
                <w:b/>
                <w:color w:val="FFFFFF"/>
                <w:sz w:val="18"/>
              </w:rPr>
              <w:t>Template</w:t>
            </w:r>
          </w:p>
        </w:tc>
        <w:tc>
          <w:tcPr>
            <w:tcW w:type="dxa" w:w="7560"/>
            <w:vAlign w:val="top"/>
            <w:shd w:fill="173F50"/>
          </w:tcPr>
          <w:p>
            <w:pPr>
              <w:keepNext/>
              <w:spacing w:after="50" w:before="20" w:line="250" w:lineRule="auto"/>
            </w:pPr>
            <w:r>
              <w:rPr>
                <w:rFonts w:ascii="Arial" w:hAnsi="Arial"/>
                <w:b/>
                <w:color w:val="FFFFFF"/>
                <w:sz w:val="18"/>
              </w:rPr>
              <w:t>Generation and controls</w:t>
            </w:r>
          </w:p>
        </w:tc>
      </w:tr>
      <w:tr>
        <w:trPr>
          <w:cantSplit/>
        </w:trPr>
        <w:tc>
          <w:tcPr>
            <w:tcW w:type="dxa" w:w="2664"/>
            <w:vAlign w:val="top"/>
          </w:tcPr>
          <w:p>
            <w:pPr>
              <w:keepNext w:val="0"/>
              <w:spacing w:after="50" w:before="20" w:line="250" w:lineRule="auto"/>
            </w:pPr>
            <w:r>
              <w:rPr>
                <w:rFonts w:ascii="Arial" w:hAnsi="Arial"/>
                <w:b/>
                <w:sz w:val="18"/>
              </w:rPr>
              <w:t>D05 Cancellation, deposit and booking-policy acknowledgement</w:t>
            </w:r>
          </w:p>
        </w:tc>
        <w:tc>
          <w:tcPr>
            <w:tcW w:type="dxa" w:w="7560"/>
            <w:vAlign w:val="top"/>
          </w:tcPr>
          <w:p>
            <w:pPr>
              <w:keepNext w:val="0"/>
              <w:spacing w:after="50" w:before="20" w:line="250" w:lineRule="auto"/>
            </w:pPr>
            <w:r>
              <w:rPr>
                <w:rFonts w:ascii="Arial" w:hAnsi="Arial"/>
                <w:sz w:val="18"/>
              </w:rPr>
              <w:t>Trigger: Booking with a policy requirement or an applicable policy revision.</w:t>
              <w:br/>
              <w:t>Required data: Accepted policy version, deadlines, cancellation/refund conditions, deposit amount, exceptions and contact route.</w:t>
              <w:br/>
              <w:t>Approval signature: Client acknowledges specific terms; card authorization remains a separate supported processor flow.</w:t>
              <w:br/>
              <w:t>History output: Attach snapshot to the booking. Do not retroactively replace historical policy with the latest version.</w:t>
              <w:br/>
              <w:t>Features: F004, F026, F084, F088, F100</w:t>
              <w:br/>
              <w:t>Specialist: Legal review per intended jurisdiction; payments partner for authorization.</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664"/>
        <w:gridCol w:w="7560"/>
      </w:tblGrid>
      <w:tr>
        <w:trPr>
          <w:tblHeader/>
        </w:trPr>
        <w:tc>
          <w:tcPr>
            <w:tcW w:type="dxa" w:w="2664"/>
            <w:vAlign w:val="top"/>
            <w:shd w:fill="173F50"/>
          </w:tcPr>
          <w:p>
            <w:pPr>
              <w:keepNext/>
              <w:spacing w:after="50" w:before="20" w:line="250" w:lineRule="auto"/>
            </w:pPr>
            <w:r>
              <w:rPr>
                <w:rFonts w:ascii="Arial" w:hAnsi="Arial"/>
                <w:b/>
                <w:color w:val="FFFFFF"/>
                <w:sz w:val="18"/>
              </w:rPr>
              <w:t>Template</w:t>
            </w:r>
          </w:p>
        </w:tc>
        <w:tc>
          <w:tcPr>
            <w:tcW w:type="dxa" w:w="7560"/>
            <w:vAlign w:val="top"/>
            <w:shd w:fill="173F50"/>
          </w:tcPr>
          <w:p>
            <w:pPr>
              <w:keepNext/>
              <w:spacing w:after="50" w:before="20" w:line="250" w:lineRule="auto"/>
            </w:pPr>
            <w:r>
              <w:rPr>
                <w:rFonts w:ascii="Arial" w:hAnsi="Arial"/>
                <w:b/>
                <w:color w:val="FFFFFF"/>
                <w:sz w:val="18"/>
              </w:rPr>
              <w:t>Generation and controls</w:t>
            </w:r>
          </w:p>
        </w:tc>
      </w:tr>
      <w:tr>
        <w:trPr>
          <w:cantSplit/>
        </w:trPr>
        <w:tc>
          <w:tcPr>
            <w:tcW w:type="dxa" w:w="2664"/>
            <w:vAlign w:val="top"/>
          </w:tcPr>
          <w:p>
            <w:pPr>
              <w:keepNext w:val="0"/>
              <w:spacing w:after="50" w:before="20" w:line="250" w:lineRule="auto"/>
            </w:pPr>
            <w:r>
              <w:rPr>
                <w:rFonts w:ascii="Arial" w:hAnsi="Arial"/>
                <w:b/>
                <w:sz w:val="18"/>
              </w:rPr>
              <w:t>D06 Nonmedical service consent</w:t>
            </w:r>
          </w:p>
        </w:tc>
        <w:tc>
          <w:tcPr>
            <w:tcW w:type="dxa" w:w="7560"/>
            <w:vAlign w:val="top"/>
          </w:tcPr>
          <w:p>
            <w:pPr>
              <w:keepNext w:val="0"/>
              <w:spacing w:after="50" w:before="20" w:line="250" w:lineRule="auto"/>
            </w:pPr>
            <w:r>
              <w:rPr>
                <w:rFonts w:ascii="Arial" w:hAnsi="Arial"/>
                <w:sz w:val="18"/>
              </w:rPr>
              <w:t>Trigger: A service's configured consent requirement.</w:t>
              <w:br/>
              <w:t>Required data: Service description, relevant risks/limitations supplied by a qualified reviewer, client questions, provider details and consent version.</w:t>
              <w:br/>
              <w:t>Approval signature: Client signs; qualified service professional reviews suitability. Do not treat signature as a waiver of all responsibility.</w:t>
              <w:br/>
              <w:t>History output: Fixed signed record with amendments and service linkage; no automatic clinical extension.</w:t>
              <w:br/>
              <w:t>Features: F008, F035, F036, F043, F100</w:t>
              <w:br/>
              <w:t>Specialist: Qualified service adviser and counsel; not necessarily a medical practitioner.</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664"/>
        <w:gridCol w:w="7560"/>
      </w:tblGrid>
      <w:tr>
        <w:trPr>
          <w:tblHeader/>
        </w:trPr>
        <w:tc>
          <w:tcPr>
            <w:tcW w:type="dxa" w:w="2664"/>
            <w:vAlign w:val="top"/>
            <w:shd w:fill="173F50"/>
          </w:tcPr>
          <w:p>
            <w:pPr>
              <w:keepNext/>
              <w:spacing w:after="50" w:before="20" w:line="250" w:lineRule="auto"/>
            </w:pPr>
            <w:r>
              <w:rPr>
                <w:rFonts w:ascii="Arial" w:hAnsi="Arial"/>
                <w:b/>
                <w:color w:val="FFFFFF"/>
                <w:sz w:val="18"/>
              </w:rPr>
              <w:t>Template</w:t>
            </w:r>
          </w:p>
        </w:tc>
        <w:tc>
          <w:tcPr>
            <w:tcW w:type="dxa" w:w="7560"/>
            <w:vAlign w:val="top"/>
            <w:shd w:fill="173F50"/>
          </w:tcPr>
          <w:p>
            <w:pPr>
              <w:keepNext/>
              <w:spacing w:after="50" w:before="20" w:line="250" w:lineRule="auto"/>
            </w:pPr>
            <w:r>
              <w:rPr>
                <w:rFonts w:ascii="Arial" w:hAnsi="Arial"/>
                <w:b/>
                <w:color w:val="FFFFFF"/>
                <w:sz w:val="18"/>
              </w:rPr>
              <w:t>Generation and controls</w:t>
            </w:r>
          </w:p>
        </w:tc>
      </w:tr>
      <w:tr>
        <w:trPr>
          <w:cantSplit/>
        </w:trPr>
        <w:tc>
          <w:tcPr>
            <w:tcW w:type="dxa" w:w="2664"/>
            <w:vAlign w:val="top"/>
          </w:tcPr>
          <w:p>
            <w:pPr>
              <w:keepNext w:val="0"/>
              <w:spacing w:after="50" w:before="20" w:line="250" w:lineRule="auto"/>
            </w:pPr>
            <w:r>
              <w:rPr>
                <w:rFonts w:ascii="Arial" w:hAnsi="Arial"/>
                <w:b/>
                <w:sz w:val="18"/>
              </w:rPr>
              <w:t>D07 Medical-procedure consent</w:t>
            </w:r>
          </w:p>
        </w:tc>
        <w:tc>
          <w:tcPr>
            <w:tcW w:type="dxa" w:w="7560"/>
            <w:vAlign w:val="top"/>
          </w:tcPr>
          <w:p>
            <w:pPr>
              <w:keepNext w:val="0"/>
              <w:spacing w:after="50" w:before="20" w:line="250" w:lineRule="auto"/>
            </w:pPr>
            <w:r>
              <w:rPr>
                <w:rFonts w:ascii="Arial" w:hAnsi="Arial"/>
                <w:sz w:val="18"/>
              </w:rPr>
              <w:t>Trigger: Only within enabled clinical workflows for an authorized practice.</w:t>
              <w:br/>
              <w:t>Required data: Specific procedure, clinician-approved risks/alternatives, required clinical context, practitioner, capacity/guardian checks and version.</w:t>
              <w:br/>
              <w:t>Approval signature: Patient/authorized decision-maker and required clinician review; software does not replace the consent conversation.</w:t>
              <w:br/>
              <w:t>History output: Restricted signed clinical record; amended/re-consented when required by approved practice policy.</w:t>
              <w:br/>
              <w:t>Features: F100, F101, F128, F134, F161</w:t>
              <w:br/>
              <w:t>Specialist: Licensed clinician, medical director where required, clinical/privacy counsel.</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664"/>
        <w:gridCol w:w="7560"/>
      </w:tblGrid>
      <w:tr>
        <w:trPr>
          <w:tblHeader/>
        </w:trPr>
        <w:tc>
          <w:tcPr>
            <w:tcW w:type="dxa" w:w="2664"/>
            <w:vAlign w:val="top"/>
            <w:shd w:fill="173F50"/>
          </w:tcPr>
          <w:p>
            <w:pPr>
              <w:keepNext/>
              <w:spacing w:after="50" w:before="20" w:line="250" w:lineRule="auto"/>
            </w:pPr>
            <w:r>
              <w:rPr>
                <w:rFonts w:ascii="Arial" w:hAnsi="Arial"/>
                <w:b/>
                <w:color w:val="FFFFFF"/>
                <w:sz w:val="18"/>
              </w:rPr>
              <w:t>Template</w:t>
            </w:r>
          </w:p>
        </w:tc>
        <w:tc>
          <w:tcPr>
            <w:tcW w:type="dxa" w:w="7560"/>
            <w:vAlign w:val="top"/>
            <w:shd w:fill="173F50"/>
          </w:tcPr>
          <w:p>
            <w:pPr>
              <w:keepNext/>
              <w:spacing w:after="50" w:before="20" w:line="250" w:lineRule="auto"/>
            </w:pPr>
            <w:r>
              <w:rPr>
                <w:rFonts w:ascii="Arial" w:hAnsi="Arial"/>
                <w:b/>
                <w:color w:val="FFFFFF"/>
                <w:sz w:val="18"/>
              </w:rPr>
              <w:t>Generation and controls</w:t>
            </w:r>
          </w:p>
        </w:tc>
      </w:tr>
      <w:tr>
        <w:trPr>
          <w:cantSplit/>
        </w:trPr>
        <w:tc>
          <w:tcPr>
            <w:tcW w:type="dxa" w:w="2664"/>
            <w:vAlign w:val="top"/>
          </w:tcPr>
          <w:p>
            <w:pPr>
              <w:keepNext w:val="0"/>
              <w:spacing w:after="50" w:before="20" w:line="250" w:lineRule="auto"/>
            </w:pPr>
            <w:r>
              <w:rPr>
                <w:rFonts w:ascii="Arial" w:hAnsi="Arial"/>
                <w:b/>
                <w:sz w:val="18"/>
              </w:rPr>
              <w:t>D08 Visit record and treatment note</w:t>
            </w:r>
          </w:p>
        </w:tc>
        <w:tc>
          <w:tcPr>
            <w:tcW w:type="dxa" w:w="7560"/>
            <w:vAlign w:val="top"/>
          </w:tcPr>
          <w:p>
            <w:pPr>
              <w:keepNext w:val="0"/>
              <w:spacing w:after="50" w:before="20" w:line="250" w:lineRule="auto"/>
            </w:pPr>
            <w:r>
              <w:rPr>
                <w:rFonts w:ascii="Arial" w:hAnsi="Arial"/>
                <w:sz w:val="18"/>
              </w:rPr>
              <w:t>Trigger: Service completion or an authorized note amendment.</w:t>
              <w:br/>
              <w:t>Required data: Service performed, provider, timing, observed facts, products/settings where applicable, relevant response and follow-up.</w:t>
              <w:br/>
              <w:t>Approval signature: Responsible professional reviews and signs; AI/dictation drafts stay unfinalized until approved.</w:t>
              <w:br/>
              <w:t>History output: Preserve original note, signer, amendments and clinical access history; export only authorized scope.</w:t>
              <w:br/>
              <w:t>Features: F038, F100, F101, F129, F148, F161</w:t>
              <w:br/>
              <w:t>Specialist: Service-domain adviser; clinical reviewer for medical notes.</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664"/>
        <w:gridCol w:w="7560"/>
      </w:tblGrid>
      <w:tr>
        <w:trPr>
          <w:tblHeader/>
        </w:trPr>
        <w:tc>
          <w:tcPr>
            <w:tcW w:type="dxa" w:w="2664"/>
            <w:vAlign w:val="top"/>
            <w:shd w:fill="173F50"/>
          </w:tcPr>
          <w:p>
            <w:pPr>
              <w:keepNext/>
              <w:spacing w:after="50" w:before="20" w:line="250" w:lineRule="auto"/>
            </w:pPr>
            <w:r>
              <w:rPr>
                <w:rFonts w:ascii="Arial" w:hAnsi="Arial"/>
                <w:b/>
                <w:color w:val="FFFFFF"/>
                <w:sz w:val="18"/>
              </w:rPr>
              <w:t>Template</w:t>
            </w:r>
          </w:p>
        </w:tc>
        <w:tc>
          <w:tcPr>
            <w:tcW w:type="dxa" w:w="7560"/>
            <w:vAlign w:val="top"/>
            <w:shd w:fill="173F50"/>
          </w:tcPr>
          <w:p>
            <w:pPr>
              <w:keepNext/>
              <w:spacing w:after="50" w:before="20" w:line="250" w:lineRule="auto"/>
            </w:pPr>
            <w:r>
              <w:rPr>
                <w:rFonts w:ascii="Arial" w:hAnsi="Arial"/>
                <w:b/>
                <w:color w:val="FFFFFF"/>
                <w:sz w:val="18"/>
              </w:rPr>
              <w:t>Generation and controls</w:t>
            </w:r>
          </w:p>
        </w:tc>
      </w:tr>
      <w:tr>
        <w:trPr>
          <w:cantSplit/>
        </w:trPr>
        <w:tc>
          <w:tcPr>
            <w:tcW w:type="dxa" w:w="2664"/>
            <w:vAlign w:val="top"/>
          </w:tcPr>
          <w:p>
            <w:pPr>
              <w:keepNext w:val="0"/>
              <w:spacing w:after="50" w:before="20" w:line="250" w:lineRule="auto"/>
            </w:pPr>
            <w:r>
              <w:rPr>
                <w:rFonts w:ascii="Arial" w:hAnsi="Arial"/>
                <w:b/>
                <w:sz w:val="18"/>
              </w:rPr>
              <w:t>D09 Patch-test record</w:t>
            </w:r>
          </w:p>
        </w:tc>
        <w:tc>
          <w:tcPr>
            <w:tcW w:type="dxa" w:w="7560"/>
            <w:vAlign w:val="top"/>
          </w:tcPr>
          <w:p>
            <w:pPr>
              <w:keepNext w:val="0"/>
              <w:spacing w:after="50" w:before="20" w:line="250" w:lineRule="auto"/>
            </w:pPr>
            <w:r>
              <w:rPr>
                <w:rFonts w:ascii="Arial" w:hAnsi="Arial"/>
                <w:sz w:val="18"/>
              </w:rPr>
              <w:t>Trigger: A configured service/product requires a documented patch test.</w:t>
              <w:br/>
              <w:t>Required data: Product/lot where applicable, location of test, application date, observed response, reviewer and planned-service link.</w:t>
              <w:br/>
              <w:t>Approval signature: Qualified professional records result and decides service readiness; no automated guarantee of safety.</w:t>
              <w:br/>
              <w:t>History output: Dated immutable record with later observations; show validity rules and unresolved flags.</w:t>
              <w:br/>
              <w:t>Features: F042, F053, F100, F124, F126</w:t>
              <w:br/>
              <w:t>Specialist: Qualified service/clinical adviser to define protocol; counsel for template scope.</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664"/>
        <w:gridCol w:w="7560"/>
      </w:tblGrid>
      <w:tr>
        <w:trPr>
          <w:tblHeader/>
        </w:trPr>
        <w:tc>
          <w:tcPr>
            <w:tcW w:type="dxa" w:w="2664"/>
            <w:vAlign w:val="top"/>
            <w:shd w:fill="173F50"/>
          </w:tcPr>
          <w:p>
            <w:pPr>
              <w:keepNext/>
              <w:spacing w:after="50" w:before="20" w:line="250" w:lineRule="auto"/>
            </w:pPr>
            <w:r>
              <w:rPr>
                <w:rFonts w:ascii="Arial" w:hAnsi="Arial"/>
                <w:b/>
                <w:color w:val="FFFFFF"/>
                <w:sz w:val="18"/>
              </w:rPr>
              <w:t>Template</w:t>
            </w:r>
          </w:p>
        </w:tc>
        <w:tc>
          <w:tcPr>
            <w:tcW w:type="dxa" w:w="7560"/>
            <w:vAlign w:val="top"/>
            <w:shd w:fill="173F50"/>
          </w:tcPr>
          <w:p>
            <w:pPr>
              <w:keepNext/>
              <w:spacing w:after="50" w:before="20" w:line="250" w:lineRule="auto"/>
            </w:pPr>
            <w:r>
              <w:rPr>
                <w:rFonts w:ascii="Arial" w:hAnsi="Arial"/>
                <w:b/>
                <w:color w:val="FFFFFF"/>
                <w:sz w:val="18"/>
              </w:rPr>
              <w:t>Generation and controls</w:t>
            </w:r>
          </w:p>
        </w:tc>
      </w:tr>
      <w:tr>
        <w:trPr>
          <w:cantSplit/>
        </w:trPr>
        <w:tc>
          <w:tcPr>
            <w:tcW w:type="dxa" w:w="2664"/>
            <w:vAlign w:val="top"/>
          </w:tcPr>
          <w:p>
            <w:pPr>
              <w:keepNext w:val="0"/>
              <w:spacing w:after="50" w:before="20" w:line="250" w:lineRule="auto"/>
            </w:pPr>
            <w:r>
              <w:rPr>
                <w:rFonts w:ascii="Arial" w:hAnsi="Arial"/>
                <w:b/>
                <w:sz w:val="18"/>
              </w:rPr>
              <w:t>D10 Approved preparation and aftercare instructions</w:t>
            </w:r>
          </w:p>
        </w:tc>
        <w:tc>
          <w:tcPr>
            <w:tcW w:type="dxa" w:w="7560"/>
            <w:vAlign w:val="top"/>
          </w:tcPr>
          <w:p>
            <w:pPr>
              <w:keepNext w:val="0"/>
              <w:spacing w:after="50" w:before="20" w:line="250" w:lineRule="auto"/>
            </w:pPr>
            <w:r>
              <w:rPr>
                <w:rFonts w:ascii="Arial" w:hAnsi="Arial"/>
                <w:sz w:val="18"/>
              </w:rPr>
              <w:t>Trigger: Before or after a completed service according to its approved delivery schedule.</w:t>
              <w:br/>
              <w:t>Required data: Service, approved instruction block/version, timing, business contact and appropriate escalation wording.</w:t>
              <w:br/>
              <w:t>Approval signature: Content approved by relevant professional; generated personalization reviewed when it changes substantive advice.</w:t>
              <w:br/>
              <w:t>History output: Save exactly what was sent and when. New guidance does not overwrite the earlier delivered record.</w:t>
              <w:br/>
              <w:t>Features: F007, F037, F043, F053, F108, F111</w:t>
              <w:br/>
              <w:t>Specialist: Qualified service adviser or licensed clinician for medical guidance.</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664"/>
        <w:gridCol w:w="7560"/>
      </w:tblGrid>
      <w:tr>
        <w:trPr>
          <w:tblHeader/>
        </w:trPr>
        <w:tc>
          <w:tcPr>
            <w:tcW w:type="dxa" w:w="2664"/>
            <w:vAlign w:val="top"/>
            <w:shd w:fill="173F50"/>
          </w:tcPr>
          <w:p>
            <w:pPr>
              <w:keepNext/>
              <w:spacing w:after="50" w:before="20" w:line="250" w:lineRule="auto"/>
            </w:pPr>
            <w:r>
              <w:rPr>
                <w:rFonts w:ascii="Arial" w:hAnsi="Arial"/>
                <w:b/>
                <w:color w:val="FFFFFF"/>
                <w:sz w:val="18"/>
              </w:rPr>
              <w:t>Template</w:t>
            </w:r>
          </w:p>
        </w:tc>
        <w:tc>
          <w:tcPr>
            <w:tcW w:type="dxa" w:w="7560"/>
            <w:vAlign w:val="top"/>
            <w:shd w:fill="173F50"/>
          </w:tcPr>
          <w:p>
            <w:pPr>
              <w:keepNext/>
              <w:spacing w:after="50" w:before="20" w:line="250" w:lineRule="auto"/>
            </w:pPr>
            <w:r>
              <w:rPr>
                <w:rFonts w:ascii="Arial" w:hAnsi="Arial"/>
                <w:b/>
                <w:color w:val="FFFFFF"/>
                <w:sz w:val="18"/>
              </w:rPr>
              <w:t>Generation and controls</w:t>
            </w:r>
          </w:p>
        </w:tc>
      </w:tr>
      <w:tr>
        <w:trPr>
          <w:cantSplit/>
        </w:trPr>
        <w:tc>
          <w:tcPr>
            <w:tcW w:type="dxa" w:w="2664"/>
            <w:vAlign w:val="top"/>
          </w:tcPr>
          <w:p>
            <w:pPr>
              <w:keepNext w:val="0"/>
              <w:spacing w:after="50" w:before="20" w:line="250" w:lineRule="auto"/>
            </w:pPr>
            <w:r>
              <w:rPr>
                <w:rFonts w:ascii="Arial" w:hAnsi="Arial"/>
                <w:b/>
                <w:sz w:val="18"/>
              </w:rPr>
              <w:t>D11 Home-care plan and product-use card</w:t>
            </w:r>
          </w:p>
        </w:tc>
        <w:tc>
          <w:tcPr>
            <w:tcW w:type="dxa" w:w="7560"/>
            <w:vAlign w:val="top"/>
          </w:tcPr>
          <w:p>
            <w:pPr>
              <w:keepNext w:val="0"/>
              <w:spacing w:after="50" w:before="20" w:line="250" w:lineRule="auto"/>
            </w:pPr>
            <w:r>
              <w:rPr>
                <w:rFonts w:ascii="Arial" w:hAnsi="Arial"/>
                <w:sz w:val="18"/>
              </w:rPr>
              <w:t>Trigger: Consultation or professional-created follow-up plan.</w:t>
              <w:br/>
              <w:t>Required data: Approved products, exact usage instructions, schedule, preferences, cautions and optional shopping links.</w:t>
              <w:br/>
              <w:t>Approval signature: Professional approves plan; client acknowledgement optional. Clinical advice follows separate clinical approval.</w:t>
              <w:br/>
              <w:t>History output: Versioned client copy with plan-change summary; responsive portal, PDF and printable card.</w:t>
              <w:br/>
              <w:t>Features: F036, F040, F045, F096, F129</w:t>
              <w:br/>
              <w:t>Specialist: Service/clinical reviewer; no requirement to employ retail sales staff.</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664"/>
        <w:gridCol w:w="7560"/>
      </w:tblGrid>
      <w:tr>
        <w:trPr>
          <w:tblHeader/>
        </w:trPr>
        <w:tc>
          <w:tcPr>
            <w:tcW w:type="dxa" w:w="2664"/>
            <w:vAlign w:val="top"/>
            <w:shd w:fill="173F50"/>
          </w:tcPr>
          <w:p>
            <w:pPr>
              <w:keepNext/>
              <w:spacing w:after="50" w:before="20" w:line="250" w:lineRule="auto"/>
            </w:pPr>
            <w:r>
              <w:rPr>
                <w:rFonts w:ascii="Arial" w:hAnsi="Arial"/>
                <w:b/>
                <w:color w:val="FFFFFF"/>
                <w:sz w:val="18"/>
              </w:rPr>
              <w:t>Template</w:t>
            </w:r>
          </w:p>
        </w:tc>
        <w:tc>
          <w:tcPr>
            <w:tcW w:type="dxa" w:w="7560"/>
            <w:vAlign w:val="top"/>
            <w:shd w:fill="173F50"/>
          </w:tcPr>
          <w:p>
            <w:pPr>
              <w:keepNext/>
              <w:spacing w:after="50" w:before="20" w:line="250" w:lineRule="auto"/>
            </w:pPr>
            <w:r>
              <w:rPr>
                <w:rFonts w:ascii="Arial" w:hAnsi="Arial"/>
                <w:b/>
                <w:color w:val="FFFFFF"/>
                <w:sz w:val="18"/>
              </w:rPr>
              <w:t>Generation and controls</w:t>
            </w:r>
          </w:p>
        </w:tc>
      </w:tr>
      <w:tr>
        <w:trPr>
          <w:cantSplit/>
        </w:trPr>
        <w:tc>
          <w:tcPr>
            <w:tcW w:type="dxa" w:w="2664"/>
            <w:vAlign w:val="top"/>
          </w:tcPr>
          <w:p>
            <w:pPr>
              <w:keepNext w:val="0"/>
              <w:spacing w:after="50" w:before="20" w:line="250" w:lineRule="auto"/>
            </w:pPr>
            <w:r>
              <w:rPr>
                <w:rFonts w:ascii="Arial" w:hAnsi="Arial"/>
                <w:b/>
                <w:sz w:val="18"/>
              </w:rPr>
              <w:t>D12 Photo and media-use permission</w:t>
            </w:r>
          </w:p>
        </w:tc>
        <w:tc>
          <w:tcPr>
            <w:tcW w:type="dxa" w:w="7560"/>
            <w:vAlign w:val="top"/>
          </w:tcPr>
          <w:p>
            <w:pPr>
              <w:keepNext w:val="0"/>
              <w:spacing w:after="50" w:before="20" w:line="250" w:lineRule="auto"/>
            </w:pPr>
            <w:r>
              <w:rPr>
                <w:rFonts w:ascii="Arial" w:hAnsi="Arial"/>
                <w:sz w:val="18"/>
              </w:rPr>
              <w:t>Trigger: Capture, proposed publication or a changed publication purpose.</w:t>
              <w:br/>
              <w:t>Required data: Asset scope, permitted uses/channels, identifying details, term, withdrawal route and signer authority.</w:t>
              <w:br/>
              <w:t>Approval signature: Separate explicit media permission; treatment consent alone is insufficient for public use.</w:t>
              <w:br/>
              <w:t>History output: Versioned grant/revocation linked to assets. Prevent new out-of-scope publication; preserve the audit record.</w:t>
              <w:br/>
              <w:t>Features: F039, F064, F100, F101, F102</w:t>
              <w:br/>
              <w:t>Specialist: Privacy/legal review; content operations if publication is managed for clients.</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664"/>
        <w:gridCol w:w="7560"/>
      </w:tblGrid>
      <w:tr>
        <w:trPr>
          <w:tblHeader/>
        </w:trPr>
        <w:tc>
          <w:tcPr>
            <w:tcW w:type="dxa" w:w="2664"/>
            <w:vAlign w:val="top"/>
            <w:shd w:fill="173F50"/>
          </w:tcPr>
          <w:p>
            <w:pPr>
              <w:keepNext/>
              <w:spacing w:after="50" w:before="20" w:line="250" w:lineRule="auto"/>
            </w:pPr>
            <w:r>
              <w:rPr>
                <w:rFonts w:ascii="Arial" w:hAnsi="Arial"/>
                <w:b/>
                <w:color w:val="FFFFFF"/>
                <w:sz w:val="18"/>
              </w:rPr>
              <w:t>Template</w:t>
            </w:r>
          </w:p>
        </w:tc>
        <w:tc>
          <w:tcPr>
            <w:tcW w:type="dxa" w:w="7560"/>
            <w:vAlign w:val="top"/>
            <w:shd w:fill="173F50"/>
          </w:tcPr>
          <w:p>
            <w:pPr>
              <w:keepNext/>
              <w:spacing w:after="50" w:before="20" w:line="250" w:lineRule="auto"/>
            </w:pPr>
            <w:r>
              <w:rPr>
                <w:rFonts w:ascii="Arial" w:hAnsi="Arial"/>
                <w:b/>
                <w:color w:val="FFFFFF"/>
                <w:sz w:val="18"/>
              </w:rPr>
              <w:t>Generation and controls</w:t>
            </w:r>
          </w:p>
        </w:tc>
      </w:tr>
      <w:tr>
        <w:trPr>
          <w:cantSplit/>
        </w:trPr>
        <w:tc>
          <w:tcPr>
            <w:tcW w:type="dxa" w:w="2664"/>
            <w:vAlign w:val="top"/>
          </w:tcPr>
          <w:p>
            <w:pPr>
              <w:keepNext w:val="0"/>
              <w:spacing w:after="50" w:before="20" w:line="250" w:lineRule="auto"/>
            </w:pPr>
            <w:r>
              <w:rPr>
                <w:rFonts w:ascii="Arial" w:hAnsi="Arial"/>
                <w:b/>
                <w:sz w:val="18"/>
              </w:rPr>
              <w:t>D13 Progress summary and before/after report</w:t>
            </w:r>
          </w:p>
        </w:tc>
        <w:tc>
          <w:tcPr>
            <w:tcW w:type="dxa" w:w="7560"/>
            <w:vAlign w:val="top"/>
          </w:tcPr>
          <w:p>
            <w:pPr>
              <w:keepNext w:val="0"/>
              <w:spacing w:after="50" w:before="20" w:line="250" w:lineRule="auto"/>
            </w:pPr>
            <w:r>
              <w:rPr>
                <w:rFonts w:ascii="Arial" w:hAnsi="Arial"/>
                <w:sz w:val="18"/>
              </w:rPr>
              <w:t>Trigger: Client requests a summary or professional reviews a service series.</w:t>
              <w:br/>
              <w:t>Required data: Dated service history, comparable authorized images, factual notes, client-reported outcomes and limitations.</w:t>
              <w:br/>
              <w:t>Approval signature: Responsible professional approves; separate authorization for sharing outside the client portal.</w:t>
              <w:br/>
              <w:t>History output: Snapshot with image dates and context; avoid undocumented efficacy claims or altered clinical imagery.</w:t>
              <w:br/>
              <w:t>Features: F039, F092, F102, F129, F157</w:t>
              <w:br/>
              <w:t>Specialist: Qualified service professional; licensed clinician for clinical interpretation.</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664"/>
        <w:gridCol w:w="7560"/>
      </w:tblGrid>
      <w:tr>
        <w:trPr>
          <w:tblHeader/>
        </w:trPr>
        <w:tc>
          <w:tcPr>
            <w:tcW w:type="dxa" w:w="2664"/>
            <w:vAlign w:val="top"/>
            <w:shd w:fill="173F50"/>
          </w:tcPr>
          <w:p>
            <w:pPr>
              <w:keepNext/>
              <w:spacing w:after="50" w:before="20" w:line="250" w:lineRule="auto"/>
            </w:pPr>
            <w:r>
              <w:rPr>
                <w:rFonts w:ascii="Arial" w:hAnsi="Arial"/>
                <w:b/>
                <w:color w:val="FFFFFF"/>
                <w:sz w:val="18"/>
              </w:rPr>
              <w:t>Template</w:t>
            </w:r>
          </w:p>
        </w:tc>
        <w:tc>
          <w:tcPr>
            <w:tcW w:type="dxa" w:w="7560"/>
            <w:vAlign w:val="top"/>
            <w:shd w:fill="173F50"/>
          </w:tcPr>
          <w:p>
            <w:pPr>
              <w:keepNext/>
              <w:spacing w:after="50" w:before="20" w:line="250" w:lineRule="auto"/>
            </w:pPr>
            <w:r>
              <w:rPr>
                <w:rFonts w:ascii="Arial" w:hAnsi="Arial"/>
                <w:b/>
                <w:color w:val="FFFFFF"/>
                <w:sz w:val="18"/>
              </w:rPr>
              <w:t>Generation and controls</w:t>
            </w:r>
          </w:p>
        </w:tc>
      </w:tr>
      <w:tr>
        <w:trPr>
          <w:cantSplit/>
        </w:trPr>
        <w:tc>
          <w:tcPr>
            <w:tcW w:type="dxa" w:w="2664"/>
            <w:vAlign w:val="top"/>
          </w:tcPr>
          <w:p>
            <w:pPr>
              <w:keepNext w:val="0"/>
              <w:spacing w:after="50" w:before="20" w:line="250" w:lineRule="auto"/>
            </w:pPr>
            <w:r>
              <w:rPr>
                <w:rFonts w:ascii="Arial" w:hAnsi="Arial"/>
                <w:b/>
                <w:sz w:val="18"/>
              </w:rPr>
              <w:t>D14 Invoice, recurring rent statement and payment request</w:t>
            </w:r>
          </w:p>
        </w:tc>
        <w:tc>
          <w:tcPr>
            <w:tcW w:type="dxa" w:w="7560"/>
            <w:vAlign w:val="top"/>
          </w:tcPr>
          <w:p>
            <w:pPr>
              <w:keepNext w:val="0"/>
              <w:spacing w:after="50" w:before="20" w:line="250" w:lineRule="auto"/>
            </w:pPr>
            <w:r>
              <w:rPr>
                <w:rFonts w:ascii="Arial" w:hAnsi="Arial"/>
                <w:sz w:val="18"/>
              </w:rPr>
              <w:t>Trigger: Approved service/retail charge, agreed milestone or contractual booth/chair rent cycle.</w:t>
              <w:br/>
              <w:t>Required data: Invoice number, issuer/payer entities, itemized amounts, rental period where relevant, tax/credit basis, due date, agreement reference and payment options.</w:t>
              <w:br/>
              <w:t>Approval signature: Authorized business/finance approval; issuing an invoice does not charge a card. Renter payment and client-service merchant flows remain separate.</w:t>
              <w:br/>
              <w:t>History output: Preserve every issued invoice/statement. Track receivable ageing and linked credit/reissue records; reconcile rent receipts separately from client sales.</w:t>
              <w:br/>
              <w:t>Features: F036, F044, F074, F085, F132, F140, F198, F199</w:t>
              <w:br/>
              <w:t>Specialist: Accountant/tax adviser for configuration; payments partner for collection.</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664"/>
        <w:gridCol w:w="7560"/>
      </w:tblGrid>
      <w:tr>
        <w:trPr>
          <w:tblHeader/>
        </w:trPr>
        <w:tc>
          <w:tcPr>
            <w:tcW w:type="dxa" w:w="2664"/>
            <w:vAlign w:val="top"/>
            <w:shd w:fill="173F50"/>
          </w:tcPr>
          <w:p>
            <w:pPr>
              <w:keepNext/>
              <w:spacing w:after="50" w:before="20" w:line="250" w:lineRule="auto"/>
            </w:pPr>
            <w:r>
              <w:rPr>
                <w:rFonts w:ascii="Arial" w:hAnsi="Arial"/>
                <w:b/>
                <w:color w:val="FFFFFF"/>
                <w:sz w:val="18"/>
              </w:rPr>
              <w:t>Template</w:t>
            </w:r>
          </w:p>
        </w:tc>
        <w:tc>
          <w:tcPr>
            <w:tcW w:type="dxa" w:w="7560"/>
            <w:vAlign w:val="top"/>
            <w:shd w:fill="173F50"/>
          </w:tcPr>
          <w:p>
            <w:pPr>
              <w:keepNext/>
              <w:spacing w:after="50" w:before="20" w:line="250" w:lineRule="auto"/>
            </w:pPr>
            <w:r>
              <w:rPr>
                <w:rFonts w:ascii="Arial" w:hAnsi="Arial"/>
                <w:b/>
                <w:color w:val="FFFFFF"/>
                <w:sz w:val="18"/>
              </w:rPr>
              <w:t>Generation and controls</w:t>
            </w:r>
          </w:p>
        </w:tc>
      </w:tr>
      <w:tr>
        <w:trPr>
          <w:cantSplit/>
        </w:trPr>
        <w:tc>
          <w:tcPr>
            <w:tcW w:type="dxa" w:w="2664"/>
            <w:vAlign w:val="top"/>
          </w:tcPr>
          <w:p>
            <w:pPr>
              <w:keepNext w:val="0"/>
              <w:spacing w:after="50" w:before="20" w:line="250" w:lineRule="auto"/>
            </w:pPr>
            <w:r>
              <w:rPr>
                <w:rFonts w:ascii="Arial" w:hAnsi="Arial"/>
                <w:b/>
                <w:sz w:val="18"/>
              </w:rPr>
              <w:t>D15 Payment receipt and refund/credit document</w:t>
            </w:r>
          </w:p>
        </w:tc>
        <w:tc>
          <w:tcPr>
            <w:tcW w:type="dxa" w:w="7560"/>
            <w:vAlign w:val="top"/>
          </w:tcPr>
          <w:p>
            <w:pPr>
              <w:keepNext w:val="0"/>
              <w:spacing w:after="50" w:before="20" w:line="250" w:lineRule="auto"/>
            </w:pPr>
            <w:r>
              <w:rPr>
                <w:rFonts w:ascii="Arial" w:hAnsi="Arial"/>
                <w:sz w:val="18"/>
              </w:rPr>
              <w:t>Trigger: Authoritative successful payment, recorded cash tender or processed refund.</w:t>
              <w:br/>
              <w:t>Required data: Original sale/payment IDs, tender breakdown, deposits/credits applied, tax/tip breakdown, remaining balance and refund linkage.</w:t>
              <w:br/>
              <w:t>Approval signature: Generated from confirmed ledger state; refund execution requires the configured authority.</w:t>
              <w:br/>
              <w:t>History output: Keep original receipt and linked refund/credit record. Never change a paid receipt to conceal an adjustment.</w:t>
              <w:br/>
              <w:t>Features: F068, F074, F085, F087, F094, F132, F199</w:t>
              <w:br/>
              <w:t>Specialist: Accountant and payments engineer; financial support operations for exceptions.</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664"/>
        <w:gridCol w:w="7560"/>
      </w:tblGrid>
      <w:tr>
        <w:trPr>
          <w:tblHeader/>
        </w:trPr>
        <w:tc>
          <w:tcPr>
            <w:tcW w:type="dxa" w:w="2664"/>
            <w:vAlign w:val="top"/>
            <w:shd w:fill="173F50"/>
          </w:tcPr>
          <w:p>
            <w:pPr>
              <w:keepNext/>
              <w:spacing w:after="50" w:before="20" w:line="250" w:lineRule="auto"/>
            </w:pPr>
            <w:r>
              <w:rPr>
                <w:rFonts w:ascii="Arial" w:hAnsi="Arial"/>
                <w:b/>
                <w:color w:val="FFFFFF"/>
                <w:sz w:val="18"/>
              </w:rPr>
              <w:t>Template</w:t>
            </w:r>
          </w:p>
        </w:tc>
        <w:tc>
          <w:tcPr>
            <w:tcW w:type="dxa" w:w="7560"/>
            <w:vAlign w:val="top"/>
            <w:shd w:fill="173F50"/>
          </w:tcPr>
          <w:p>
            <w:pPr>
              <w:keepNext/>
              <w:spacing w:after="50" w:before="20" w:line="250" w:lineRule="auto"/>
            </w:pPr>
            <w:r>
              <w:rPr>
                <w:rFonts w:ascii="Arial" w:hAnsi="Arial"/>
                <w:b/>
                <w:color w:val="FFFFFF"/>
                <w:sz w:val="18"/>
              </w:rPr>
              <w:t>Generation and controls</w:t>
            </w:r>
          </w:p>
        </w:tc>
      </w:tr>
      <w:tr>
        <w:trPr>
          <w:cantSplit/>
        </w:trPr>
        <w:tc>
          <w:tcPr>
            <w:tcW w:type="dxa" w:w="2664"/>
            <w:vAlign w:val="top"/>
          </w:tcPr>
          <w:p>
            <w:pPr>
              <w:keepNext w:val="0"/>
              <w:spacing w:after="50" w:before="20" w:line="250" w:lineRule="auto"/>
            </w:pPr>
            <w:r>
              <w:rPr>
                <w:rFonts w:ascii="Arial" w:hAnsi="Arial"/>
                <w:b/>
                <w:sz w:val="18"/>
              </w:rPr>
              <w:t>D16 Membership or package terms and entitlement summary</w:t>
            </w:r>
          </w:p>
        </w:tc>
        <w:tc>
          <w:tcPr>
            <w:tcW w:type="dxa" w:w="7560"/>
            <w:vAlign w:val="top"/>
          </w:tcPr>
          <w:p>
            <w:pPr>
              <w:keepNext w:val="0"/>
              <w:spacing w:after="50" w:before="20" w:line="250" w:lineRule="auto"/>
            </w:pPr>
            <w:r>
              <w:rPr>
                <w:rFonts w:ascii="Arial" w:hAnsi="Arial"/>
                <w:sz w:val="18"/>
              </w:rPr>
              <w:t>Trigger: Enrollment, renewal change, pause, cancellation or transfer where supported.</w:t>
              <w:br/>
              <w:t>Required data: Plan price, billing cadence, included units, exclusions, rollover/expiry, pause/cancel terms and automatic-payment consent.</w:t>
              <w:br/>
              <w:t>Approval signature: Client accepts plan version; recurring charge authorization is recorded separately by the payment flow.</w:t>
              <w:br/>
              <w:t>History output: Maintain agreed terms and entitlement ledger references; changes show effective date and required new consent.</w:t>
              <w:br/>
              <w:t>Features: F092, F093, F100, F132, F134</w:t>
              <w:br/>
              <w:t>Specialist: Counsel and accountant for terms/recognition; processor for recurring billing.</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664"/>
        <w:gridCol w:w="7560"/>
      </w:tblGrid>
      <w:tr>
        <w:trPr>
          <w:tblHeader/>
        </w:trPr>
        <w:tc>
          <w:tcPr>
            <w:tcW w:type="dxa" w:w="2664"/>
            <w:vAlign w:val="top"/>
            <w:shd w:fill="173F50"/>
          </w:tcPr>
          <w:p>
            <w:pPr>
              <w:keepNext/>
              <w:spacing w:after="50" w:before="20" w:line="250" w:lineRule="auto"/>
            </w:pPr>
            <w:r>
              <w:rPr>
                <w:rFonts w:ascii="Arial" w:hAnsi="Arial"/>
                <w:b/>
                <w:color w:val="FFFFFF"/>
                <w:sz w:val="18"/>
              </w:rPr>
              <w:t>Template</w:t>
            </w:r>
          </w:p>
        </w:tc>
        <w:tc>
          <w:tcPr>
            <w:tcW w:type="dxa" w:w="7560"/>
            <w:vAlign w:val="top"/>
            <w:shd w:fill="173F50"/>
          </w:tcPr>
          <w:p>
            <w:pPr>
              <w:keepNext/>
              <w:spacing w:after="50" w:before="20" w:line="250" w:lineRule="auto"/>
            </w:pPr>
            <w:r>
              <w:rPr>
                <w:rFonts w:ascii="Arial" w:hAnsi="Arial"/>
                <w:b/>
                <w:color w:val="FFFFFF"/>
                <w:sz w:val="18"/>
              </w:rPr>
              <w:t>Generation and controls</w:t>
            </w:r>
          </w:p>
        </w:tc>
      </w:tr>
      <w:tr>
        <w:trPr>
          <w:cantSplit/>
        </w:trPr>
        <w:tc>
          <w:tcPr>
            <w:tcW w:type="dxa" w:w="2664"/>
            <w:vAlign w:val="top"/>
          </w:tcPr>
          <w:p>
            <w:pPr>
              <w:keepNext w:val="0"/>
              <w:spacing w:after="50" w:before="20" w:line="250" w:lineRule="auto"/>
            </w:pPr>
            <w:r>
              <w:rPr>
                <w:rFonts w:ascii="Arial" w:hAnsi="Arial"/>
                <w:b/>
                <w:sz w:val="18"/>
              </w:rPr>
              <w:t>D17 Gift-card certificate and balance statement</w:t>
            </w:r>
          </w:p>
        </w:tc>
        <w:tc>
          <w:tcPr>
            <w:tcW w:type="dxa" w:w="7560"/>
            <w:vAlign w:val="top"/>
          </w:tcPr>
          <w:p>
            <w:pPr>
              <w:keepNext w:val="0"/>
              <w:spacing w:after="50" w:before="20" w:line="250" w:lineRule="auto"/>
            </w:pPr>
            <w:r>
              <w:rPr>
                <w:rFonts w:ascii="Arial" w:hAnsi="Arial"/>
                <w:sz w:val="18"/>
              </w:rPr>
              <w:t>Trigger: Gift-card purchase, resend or client balance request.</w:t>
              <w:br/>
              <w:t>Required data: Issuer, instrument ID, purchased/remaining value, currency, applicable redemption terms and recipient message.</w:t>
              <w:br/>
              <w:t>Approval signature: Automatically issue only after the authoritative funding event; no invented funding from document creation.</w:t>
              <w:br/>
              <w:t>History output: Redemption uses the live liability ledger; printable certificate has secure lookup and avoids exposing full reusable secrets.</w:t>
              <w:br/>
              <w:t>Features: F006, F036, F068, F074, F091</w:t>
              <w:br/>
              <w:t>Specialist: Legal/accounting review for local gift-card rules; core implementation.</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664"/>
        <w:gridCol w:w="7560"/>
      </w:tblGrid>
      <w:tr>
        <w:trPr>
          <w:tblHeader/>
        </w:trPr>
        <w:tc>
          <w:tcPr>
            <w:tcW w:type="dxa" w:w="2664"/>
            <w:vAlign w:val="top"/>
            <w:shd w:fill="173F50"/>
          </w:tcPr>
          <w:p>
            <w:pPr>
              <w:keepNext/>
              <w:spacing w:after="50" w:before="20" w:line="250" w:lineRule="auto"/>
            </w:pPr>
            <w:r>
              <w:rPr>
                <w:rFonts w:ascii="Arial" w:hAnsi="Arial"/>
                <w:b/>
                <w:color w:val="FFFFFF"/>
                <w:sz w:val="18"/>
              </w:rPr>
              <w:t>Template</w:t>
            </w:r>
          </w:p>
        </w:tc>
        <w:tc>
          <w:tcPr>
            <w:tcW w:type="dxa" w:w="7560"/>
            <w:vAlign w:val="top"/>
            <w:shd w:fill="173F50"/>
          </w:tcPr>
          <w:p>
            <w:pPr>
              <w:keepNext/>
              <w:spacing w:after="50" w:before="20" w:line="250" w:lineRule="auto"/>
            </w:pPr>
            <w:r>
              <w:rPr>
                <w:rFonts w:ascii="Arial" w:hAnsi="Arial"/>
                <w:b/>
                <w:color w:val="FFFFFF"/>
                <w:sz w:val="18"/>
              </w:rPr>
              <w:t>Generation and controls</w:t>
            </w:r>
          </w:p>
        </w:tc>
      </w:tr>
      <w:tr>
        <w:trPr>
          <w:cantSplit/>
        </w:trPr>
        <w:tc>
          <w:tcPr>
            <w:tcW w:type="dxa" w:w="2664"/>
            <w:vAlign w:val="top"/>
          </w:tcPr>
          <w:p>
            <w:pPr>
              <w:keepNext w:val="0"/>
              <w:spacing w:after="50" w:before="20" w:line="250" w:lineRule="auto"/>
            </w:pPr>
            <w:r>
              <w:rPr>
                <w:rFonts w:ascii="Arial" w:hAnsi="Arial"/>
                <w:b/>
                <w:sz w:val="18"/>
              </w:rPr>
              <w:t>D18 Complaint response and resolution record</w:t>
            </w:r>
          </w:p>
        </w:tc>
        <w:tc>
          <w:tcPr>
            <w:tcW w:type="dxa" w:w="7560"/>
            <w:vAlign w:val="top"/>
          </w:tcPr>
          <w:p>
            <w:pPr>
              <w:keepNext w:val="0"/>
              <w:spacing w:after="50" w:before="20" w:line="250" w:lineRule="auto"/>
            </w:pPr>
            <w:r>
              <w:rPr>
                <w:rFonts w:ascii="Arial" w:hAnsi="Arial"/>
                <w:sz w:val="18"/>
              </w:rPr>
              <w:t>Trigger: Client complaint, disputed service or approved goodwill resolution.</w:t>
              <w:br/>
              <w:t>Required data: Client concern, factual chronology, relevant authorized records, responsible owner, response and agreed next steps.</w:t>
              <w:br/>
              <w:t>Approval signature: Named business owner approves consequential statements/refunds; clinical concerns route to qualified staff.</w:t>
              <w:br/>
              <w:t>History output: Keep original complaint, correspondence and resolution separately. A settlement/release requires counsel-reviewed wording.</w:t>
              <w:br/>
              <w:t>Features: F025, F036, F059, F060, F089, F134</w:t>
              <w:br/>
              <w:t>Specialist: Support/complaints lead; counsel or clinician for relevant escalations.</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664"/>
        <w:gridCol w:w="7560"/>
      </w:tblGrid>
      <w:tr>
        <w:trPr>
          <w:tblHeader/>
        </w:trPr>
        <w:tc>
          <w:tcPr>
            <w:tcW w:type="dxa" w:w="2664"/>
            <w:vAlign w:val="top"/>
            <w:shd w:fill="173F50"/>
          </w:tcPr>
          <w:p>
            <w:pPr>
              <w:keepNext/>
              <w:spacing w:after="50" w:before="20" w:line="250" w:lineRule="auto"/>
            </w:pPr>
            <w:r>
              <w:rPr>
                <w:rFonts w:ascii="Arial" w:hAnsi="Arial"/>
                <w:b/>
                <w:color w:val="FFFFFF"/>
                <w:sz w:val="18"/>
              </w:rPr>
              <w:t>Template</w:t>
            </w:r>
          </w:p>
        </w:tc>
        <w:tc>
          <w:tcPr>
            <w:tcW w:type="dxa" w:w="7560"/>
            <w:vAlign w:val="top"/>
            <w:shd w:fill="173F50"/>
          </w:tcPr>
          <w:p>
            <w:pPr>
              <w:keepNext/>
              <w:spacing w:after="50" w:before="20" w:line="250" w:lineRule="auto"/>
            </w:pPr>
            <w:r>
              <w:rPr>
                <w:rFonts w:ascii="Arial" w:hAnsi="Arial"/>
                <w:b/>
                <w:color w:val="FFFFFF"/>
                <w:sz w:val="18"/>
              </w:rPr>
              <w:t>Generation and controls</w:t>
            </w:r>
          </w:p>
        </w:tc>
      </w:tr>
      <w:tr>
        <w:trPr>
          <w:cantSplit/>
        </w:trPr>
        <w:tc>
          <w:tcPr>
            <w:tcW w:type="dxa" w:w="2664"/>
            <w:vAlign w:val="top"/>
          </w:tcPr>
          <w:p>
            <w:pPr>
              <w:keepNext w:val="0"/>
              <w:spacing w:after="50" w:before="20" w:line="250" w:lineRule="auto"/>
            </w:pPr>
            <w:r>
              <w:rPr>
                <w:rFonts w:ascii="Arial" w:hAnsi="Arial"/>
                <w:b/>
                <w:sz w:val="18"/>
              </w:rPr>
              <w:t>D19 Staff onboarding or independent renter packet</w:t>
            </w:r>
          </w:p>
        </w:tc>
        <w:tc>
          <w:tcPr>
            <w:tcW w:type="dxa" w:w="7560"/>
            <w:vAlign w:val="top"/>
          </w:tcPr>
          <w:p>
            <w:pPr>
              <w:keepNext w:val="0"/>
              <w:spacing w:after="50" w:before="20" w:line="250" w:lineRule="auto"/>
            </w:pPr>
            <w:r>
              <w:rPr>
                <w:rFonts w:ascii="Arial" w:hAnsi="Arial"/>
                <w:sz w:val="18"/>
              </w:rPr>
              <w:t>Trigger: New employee, contracted worker or independent booth/chair renter; role/policy change.</w:t>
              <w:br/>
              <w:t>Required data: Correct contracting entities, explicitly selected relationship, applicable policies, qualifications, access rights and rental terms where appropriate.</w:t>
              <w:br/>
              <w:t>Approval signature: Separate employee and independent-business template paths; parties sign applicable terms. Software does not determine employment status or merge separate merchants.</w:t>
              <w:br/>
              <w:t>History output: Preserve issued versions, agreements and acknowledgements. Keep personnel records separate from renter commercial records and client records.</w:t>
              <w:br/>
              <w:t>Features: F009, F053, F069, F073, F100, F140, F162, F198</w:t>
              <w:br/>
              <w:t>Specialist: HR/employment counsel and payroll adviser; no staff marketplace required.</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664"/>
        <w:gridCol w:w="7560"/>
      </w:tblGrid>
      <w:tr>
        <w:trPr>
          <w:tblHeader/>
        </w:trPr>
        <w:tc>
          <w:tcPr>
            <w:tcW w:type="dxa" w:w="2664"/>
            <w:vAlign w:val="top"/>
            <w:shd w:fill="173F50"/>
          </w:tcPr>
          <w:p>
            <w:pPr>
              <w:keepNext/>
              <w:spacing w:after="50" w:before="20" w:line="250" w:lineRule="auto"/>
            </w:pPr>
            <w:r>
              <w:rPr>
                <w:rFonts w:ascii="Arial" w:hAnsi="Arial"/>
                <w:b/>
                <w:color w:val="FFFFFF"/>
                <w:sz w:val="18"/>
              </w:rPr>
              <w:t>Template</w:t>
            </w:r>
          </w:p>
        </w:tc>
        <w:tc>
          <w:tcPr>
            <w:tcW w:type="dxa" w:w="7560"/>
            <w:vAlign w:val="top"/>
            <w:shd w:fill="173F50"/>
          </w:tcPr>
          <w:p>
            <w:pPr>
              <w:keepNext/>
              <w:spacing w:after="50" w:before="20" w:line="250" w:lineRule="auto"/>
            </w:pPr>
            <w:r>
              <w:rPr>
                <w:rFonts w:ascii="Arial" w:hAnsi="Arial"/>
                <w:b/>
                <w:color w:val="FFFFFF"/>
                <w:sz w:val="18"/>
              </w:rPr>
              <w:t>Generation and controls</w:t>
            </w:r>
          </w:p>
        </w:tc>
      </w:tr>
      <w:tr>
        <w:trPr>
          <w:cantSplit/>
        </w:trPr>
        <w:tc>
          <w:tcPr>
            <w:tcW w:type="dxa" w:w="2664"/>
            <w:vAlign w:val="top"/>
          </w:tcPr>
          <w:p>
            <w:pPr>
              <w:keepNext w:val="0"/>
              <w:spacing w:after="50" w:before="20" w:line="250" w:lineRule="auto"/>
            </w:pPr>
            <w:r>
              <w:rPr>
                <w:rFonts w:ascii="Arial" w:hAnsi="Arial"/>
                <w:b/>
                <w:sz w:val="18"/>
              </w:rPr>
              <w:t>D20 Commission and earnings statement</w:t>
            </w:r>
          </w:p>
        </w:tc>
        <w:tc>
          <w:tcPr>
            <w:tcW w:type="dxa" w:w="7560"/>
            <w:vAlign w:val="top"/>
          </w:tcPr>
          <w:p>
            <w:pPr>
              <w:keepNext w:val="0"/>
              <w:spacing w:after="50" w:before="20" w:line="250" w:lineRule="auto"/>
            </w:pPr>
            <w:r>
              <w:rPr>
                <w:rFonts w:ascii="Arial" w:hAnsi="Arial"/>
                <w:sz w:val="18"/>
              </w:rPr>
              <w:t>Trigger: Approved commission run, payroll preparation or staff query.</w:t>
              <w:br/>
              <w:t>Required data: Service period, eligible lines, split credit, rule version, reversals, approved adjustments and payment status.</w:t>
              <w:br/>
              <w:t>Approval signature: Authorized payroll/finance approval; distinguish estimate, approved amount and paid amount.</w:t>
              <w:br/>
              <w:t>History output: Link to original allocations and corrections. Label as earnings detail unless a compliant statutory payslip is provided by payroll.</w:t>
              <w:br/>
              <w:t>Features: F069, F074, F097, F131, F141</w:t>
              <w:br/>
              <w:t>Specialist: Payroll/accounting adviser; embedded payroll partner if actual payroll is offered.</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664"/>
        <w:gridCol w:w="7560"/>
      </w:tblGrid>
      <w:tr>
        <w:trPr>
          <w:tblHeader/>
        </w:trPr>
        <w:tc>
          <w:tcPr>
            <w:tcW w:type="dxa" w:w="2664"/>
            <w:vAlign w:val="top"/>
            <w:shd w:fill="173F50"/>
          </w:tcPr>
          <w:p>
            <w:pPr>
              <w:keepNext/>
              <w:spacing w:after="50" w:before="20" w:line="250" w:lineRule="auto"/>
            </w:pPr>
            <w:r>
              <w:rPr>
                <w:rFonts w:ascii="Arial" w:hAnsi="Arial"/>
                <w:b/>
                <w:color w:val="FFFFFF"/>
                <w:sz w:val="18"/>
              </w:rPr>
              <w:t>Template</w:t>
            </w:r>
          </w:p>
        </w:tc>
        <w:tc>
          <w:tcPr>
            <w:tcW w:type="dxa" w:w="7560"/>
            <w:vAlign w:val="top"/>
            <w:shd w:fill="173F50"/>
          </w:tcPr>
          <w:p>
            <w:pPr>
              <w:keepNext/>
              <w:spacing w:after="50" w:before="20" w:line="250" w:lineRule="auto"/>
            </w:pPr>
            <w:r>
              <w:rPr>
                <w:rFonts w:ascii="Arial" w:hAnsi="Arial"/>
                <w:b/>
                <w:color w:val="FFFFFF"/>
                <w:sz w:val="18"/>
              </w:rPr>
              <w:t>Generation and controls</w:t>
            </w:r>
          </w:p>
        </w:tc>
      </w:tr>
      <w:tr>
        <w:trPr>
          <w:cantSplit/>
        </w:trPr>
        <w:tc>
          <w:tcPr>
            <w:tcW w:type="dxa" w:w="2664"/>
            <w:vAlign w:val="top"/>
          </w:tcPr>
          <w:p>
            <w:pPr>
              <w:keepNext w:val="0"/>
              <w:spacing w:after="50" w:before="20" w:line="250" w:lineRule="auto"/>
            </w:pPr>
            <w:r>
              <w:rPr>
                <w:rFonts w:ascii="Arial" w:hAnsi="Arial"/>
                <w:b/>
                <w:sz w:val="18"/>
              </w:rPr>
              <w:t>D21 Supplier purchase order</w:t>
            </w:r>
          </w:p>
        </w:tc>
        <w:tc>
          <w:tcPr>
            <w:tcW w:type="dxa" w:w="7560"/>
            <w:vAlign w:val="top"/>
          </w:tcPr>
          <w:p>
            <w:pPr>
              <w:keepNext w:val="0"/>
              <w:spacing w:after="50" w:before="20" w:line="250" w:lineRule="auto"/>
            </w:pPr>
            <w:r>
              <w:rPr>
                <w:rFonts w:ascii="Arial" w:hAnsi="Arial"/>
                <w:sz w:val="18"/>
              </w:rPr>
              <w:t>Trigger: Approved replenishment request or special order.</w:t>
              <w:br/>
              <w:t>Required data: Supplier, buyer entity, SKU/lot constraints if relevant, quantity/unit, cost, delivery address, requested date and terms.</w:t>
              <w:br/>
              <w:t>Approval signature: Authorized buyer approves; generating a PDF does not place the order or spend money.</w:t>
              <w:br/>
              <w:t>History output: Numbered PO with revisions, acknowledgement and receipt references; approval and transmission remain distinct states.</w:t>
              <w:br/>
              <w:t>Features: F036, F047, F125, F134, F155, F163</w:t>
              <w:br/>
              <w:t>Specialist: Procurement adviser optional; supplier partnership only for automated ordering integration.</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664"/>
        <w:gridCol w:w="7560"/>
      </w:tblGrid>
      <w:tr>
        <w:trPr>
          <w:tblHeader/>
        </w:trPr>
        <w:tc>
          <w:tcPr>
            <w:tcW w:type="dxa" w:w="2664"/>
            <w:vAlign w:val="top"/>
            <w:shd w:fill="173F50"/>
          </w:tcPr>
          <w:p>
            <w:pPr>
              <w:keepNext/>
              <w:spacing w:after="50" w:before="20" w:line="250" w:lineRule="auto"/>
            </w:pPr>
            <w:r>
              <w:rPr>
                <w:rFonts w:ascii="Arial" w:hAnsi="Arial"/>
                <w:b/>
                <w:color w:val="FFFFFF"/>
                <w:sz w:val="18"/>
              </w:rPr>
              <w:t>Template</w:t>
            </w:r>
          </w:p>
        </w:tc>
        <w:tc>
          <w:tcPr>
            <w:tcW w:type="dxa" w:w="7560"/>
            <w:vAlign w:val="top"/>
            <w:shd w:fill="173F50"/>
          </w:tcPr>
          <w:p>
            <w:pPr>
              <w:keepNext/>
              <w:spacing w:after="50" w:before="20" w:line="250" w:lineRule="auto"/>
            </w:pPr>
            <w:r>
              <w:rPr>
                <w:rFonts w:ascii="Arial" w:hAnsi="Arial"/>
                <w:b/>
                <w:color w:val="FFFFFF"/>
                <w:sz w:val="18"/>
              </w:rPr>
              <w:t>Generation and controls</w:t>
            </w:r>
          </w:p>
        </w:tc>
      </w:tr>
      <w:tr>
        <w:trPr>
          <w:cantSplit/>
        </w:trPr>
        <w:tc>
          <w:tcPr>
            <w:tcW w:type="dxa" w:w="2664"/>
            <w:vAlign w:val="top"/>
          </w:tcPr>
          <w:p>
            <w:pPr>
              <w:keepNext w:val="0"/>
              <w:spacing w:after="50" w:before="20" w:line="250" w:lineRule="auto"/>
            </w:pPr>
            <w:r>
              <w:rPr>
                <w:rFonts w:ascii="Arial" w:hAnsi="Arial"/>
                <w:b/>
                <w:sz w:val="18"/>
              </w:rPr>
              <w:t>D22 Bridal/event proposal and day-of packet</w:t>
            </w:r>
          </w:p>
        </w:tc>
        <w:tc>
          <w:tcPr>
            <w:tcW w:type="dxa" w:w="7560"/>
            <w:vAlign w:val="top"/>
          </w:tcPr>
          <w:p>
            <w:pPr>
              <w:keepNext w:val="0"/>
              <w:spacing w:after="50" w:before="20" w:line="250" w:lineRule="auto"/>
            </w:pPr>
            <w:r>
              <w:rPr>
                <w:rFonts w:ascii="Arial" w:hAnsi="Arial"/>
                <w:sz w:val="18"/>
              </w:rPr>
              <w:t>Trigger: Event inquiry, accepted proposal or schedule change.</w:t>
              <w:br/>
              <w:t>Required data: Party members, services, staff, travel/setup time, venue, milestones, deposit terms, accessibility requests and contacts.</w:t>
              <w:br/>
              <w:t>Approval signature: Organizer approves commercial terms; each individual provides their own applicable consent. Payer role is separate.</w:t>
              <w:br/>
              <w:t>History output: Versioned proposal, approved change orders and current itinerary; keep sensitive individual forms outside shared group packets.</w:t>
              <w:br/>
              <w:t>Features: F044, F045, F079, F100, F128, F144, F168</w:t>
              <w:br/>
              <w:t>Specialist: Experienced event/beauty operator; counsel for event terms and cancellation provisions.</w:t>
            </w:r>
          </w:p>
        </w:tc>
      </w:tr>
    </w:tbl>
    <w:p>
      <w:pPr>
        <w:spacing w:after="40" w:before="0" w:line="240" w:lineRule="auto"/>
      </w:pPr>
      <w:r>
        <w:rPr>
          <w:sz w:val="4"/>
        </w:rPr>
      </w:r>
    </w:p>
    <w:p>
      <w:pPr>
        <w:pStyle w:val="Heading2"/>
      </w:pPr>
      <w:r>
        <w:t>5 4 Acceptance checks for a trustworthy document engine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880"/>
        <w:gridCol w:w="7344"/>
      </w:tblGrid>
      <w:tr>
        <w:trPr>
          <w:tblHeader/>
        </w:trPr>
        <w:tc>
          <w:tcPr>
            <w:tcW w:type="dxa" w:w="2880"/>
            <w:vAlign w:val="top"/>
            <w:shd w:fill="173F50"/>
          </w:tcPr>
          <w:p>
            <w:pPr>
              <w:keepNext/>
              <w:spacing w:after="50" w:before="20" w:line="250" w:lineRule="auto"/>
            </w:pPr>
            <w:r>
              <w:rPr>
                <w:rFonts w:ascii="Arial" w:hAnsi="Arial"/>
                <w:b/>
                <w:color w:val="FFFFFF"/>
                <w:sz w:val="18"/>
              </w:rPr>
              <w:t>Scenario</w:t>
            </w:r>
          </w:p>
        </w:tc>
        <w:tc>
          <w:tcPr>
            <w:tcW w:type="dxa" w:w="7344"/>
            <w:vAlign w:val="top"/>
            <w:shd w:fill="173F50"/>
          </w:tcPr>
          <w:p>
            <w:pPr>
              <w:keepNext/>
              <w:spacing w:after="50" w:before="20" w:line="250" w:lineRule="auto"/>
            </w:pPr>
            <w:r>
              <w:rPr>
                <w:rFonts w:ascii="Arial" w:hAnsi="Arial"/>
                <w:b/>
                <w:color w:val="FFFFFF"/>
                <w:sz w:val="18"/>
              </w:rPr>
              <w:t>Required result</w:t>
            </w:r>
          </w:p>
        </w:tc>
      </w:tr>
      <w:tr>
        <w:trPr>
          <w:cantSplit/>
        </w:trPr>
        <w:tc>
          <w:tcPr>
            <w:tcW w:type="dxa" w:w="2880"/>
            <w:vAlign w:val="top"/>
          </w:tcPr>
          <w:p>
            <w:pPr>
              <w:keepNext w:val="0"/>
              <w:spacing w:after="50" w:before="20" w:line="250" w:lineRule="auto"/>
            </w:pPr>
            <w:r>
              <w:rPr>
                <w:rFonts w:ascii="Arial" w:hAnsi="Arial"/>
                <w:sz w:val="18"/>
              </w:rPr>
              <w:t>A logo or phone number changes</w:t>
            </w:r>
          </w:p>
        </w:tc>
        <w:tc>
          <w:tcPr>
            <w:tcW w:type="dxa" w:w="7344"/>
            <w:vAlign w:val="top"/>
          </w:tcPr>
          <w:p>
            <w:pPr>
              <w:keepNext w:val="0"/>
              <w:spacing w:after="50" w:before="20" w:line="250" w:lineRule="auto"/>
            </w:pPr>
            <w:r>
              <w:rPr>
                <w:rFonts w:ascii="Arial" w:hAnsi="Arial"/>
                <w:sz w:val="18"/>
              </w:rPr>
              <w:t>New drafts reflect the approved brand. Previously issued invoices, care instructions and signed forms keep their original rendered content and version.</w:t>
            </w:r>
          </w:p>
        </w:tc>
      </w:tr>
      <w:tr>
        <w:trPr>
          <w:cantSplit/>
        </w:trPr>
        <w:tc>
          <w:tcPr>
            <w:tcW w:type="dxa" w:w="2880"/>
            <w:vAlign w:val="top"/>
            <w:shd w:fill="F3F6F7"/>
          </w:tcPr>
          <w:p>
            <w:pPr>
              <w:keepNext w:val="0"/>
              <w:spacing w:after="50" w:before="20" w:line="250" w:lineRule="auto"/>
            </w:pPr>
            <w:r>
              <w:rPr>
                <w:rFonts w:ascii="Arial" w:hAnsi="Arial"/>
                <w:sz w:val="18"/>
              </w:rPr>
              <w:t>A client name or price changes</w:t>
            </w:r>
          </w:p>
        </w:tc>
        <w:tc>
          <w:tcPr>
            <w:tcW w:type="dxa" w:w="7344"/>
            <w:vAlign w:val="top"/>
            <w:shd w:fill="F3F6F7"/>
          </w:tcPr>
          <w:p>
            <w:pPr>
              <w:keepNext w:val="0"/>
              <w:spacing w:after="50" w:before="20" w:line="250" w:lineRule="auto"/>
            </w:pPr>
            <w:r>
              <w:rPr>
                <w:rFonts w:ascii="Arial" w:hAnsi="Arial"/>
                <w:sz w:val="18"/>
              </w:rPr>
              <w:t>Staff see a proposed correction and the affected records. An issued artifact is amended or superseded with history; it is never silently rewritten.</w:t>
            </w:r>
          </w:p>
        </w:tc>
      </w:tr>
      <w:tr>
        <w:trPr>
          <w:cantSplit/>
        </w:trPr>
        <w:tc>
          <w:tcPr>
            <w:tcW w:type="dxa" w:w="2880"/>
            <w:vAlign w:val="top"/>
          </w:tcPr>
          <w:p>
            <w:pPr>
              <w:keepNext w:val="0"/>
              <w:spacing w:after="50" w:before="20" w:line="250" w:lineRule="auto"/>
            </w:pPr>
            <w:r>
              <w:rPr>
                <w:rFonts w:ascii="Arial" w:hAnsi="Arial"/>
                <w:sz w:val="18"/>
              </w:rPr>
              <w:t>A required field is missing</w:t>
            </w:r>
          </w:p>
        </w:tc>
        <w:tc>
          <w:tcPr>
            <w:tcW w:type="dxa" w:w="7344"/>
            <w:vAlign w:val="top"/>
          </w:tcPr>
          <w:p>
            <w:pPr>
              <w:keepNext w:val="0"/>
              <w:spacing w:after="50" w:before="20" w:line="250" w:lineRule="auto"/>
            </w:pPr>
            <w:r>
              <w:rPr>
                <w:rFonts w:ascii="Arial" w:hAnsi="Arial"/>
                <w:sz w:val="18"/>
              </w:rPr>
              <w:t>Publishing blocks on consequential fields and explains the correction. Optional absent fields do not leave broken placeholders.</w:t>
            </w:r>
          </w:p>
        </w:tc>
      </w:tr>
      <w:tr>
        <w:trPr>
          <w:cantSplit/>
        </w:trPr>
        <w:tc>
          <w:tcPr>
            <w:tcW w:type="dxa" w:w="2880"/>
            <w:vAlign w:val="top"/>
            <w:shd w:fill="F3F6F7"/>
          </w:tcPr>
          <w:p>
            <w:pPr>
              <w:keepNext w:val="0"/>
              <w:spacing w:after="50" w:before="20" w:line="250" w:lineRule="auto"/>
            </w:pPr>
            <w:r>
              <w:rPr>
                <w:rFonts w:ascii="Arial" w:hAnsi="Arial"/>
                <w:sz w:val="18"/>
              </w:rPr>
              <w:t>One visit contains several services</w:t>
            </w:r>
          </w:p>
        </w:tc>
        <w:tc>
          <w:tcPr>
            <w:tcW w:type="dxa" w:w="7344"/>
            <w:vAlign w:val="top"/>
            <w:shd w:fill="F3F6F7"/>
          </w:tcPr>
          <w:p>
            <w:pPr>
              <w:keepNext w:val="0"/>
              <w:spacing w:after="50" w:before="20" w:line="250" w:lineRule="auto"/>
            </w:pPr>
            <w:r>
              <w:rPr>
                <w:rFonts w:ascii="Arial" w:hAnsi="Arial"/>
                <w:sz w:val="18"/>
              </w:rPr>
              <w:t>The correct sections are assembled once, with no contradictory policies or repeated questions. Each signature is bound to the content actually shown.</w:t>
            </w:r>
          </w:p>
        </w:tc>
      </w:tr>
      <w:tr>
        <w:trPr>
          <w:cantSplit/>
        </w:trPr>
        <w:tc>
          <w:tcPr>
            <w:tcW w:type="dxa" w:w="2880"/>
            <w:vAlign w:val="top"/>
          </w:tcPr>
          <w:p>
            <w:pPr>
              <w:keepNext w:val="0"/>
              <w:spacing w:after="50" w:before="20" w:line="250" w:lineRule="auto"/>
            </w:pPr>
            <w:r>
              <w:rPr>
                <w:rFonts w:ascii="Arial" w:hAnsi="Arial"/>
                <w:sz w:val="18"/>
              </w:rPr>
              <w:t>A client needs assistance</w:t>
            </w:r>
          </w:p>
        </w:tc>
        <w:tc>
          <w:tcPr>
            <w:tcW w:type="dxa" w:w="7344"/>
            <w:vAlign w:val="top"/>
          </w:tcPr>
          <w:p>
            <w:pPr>
              <w:keepNext w:val="0"/>
              <w:spacing w:after="50" w:before="20" w:line="250" w:lineRule="auto"/>
            </w:pPr>
            <w:r>
              <w:rPr>
                <w:rFonts w:ascii="Arial" w:hAnsi="Arial"/>
                <w:sz w:val="18"/>
              </w:rPr>
              <w:t>Staff can help through an authorized path or produce a usable paper copy. Record who supplied each response and who signed; staff cannot impersonate the client.</w:t>
            </w:r>
          </w:p>
        </w:tc>
      </w:tr>
      <w:tr>
        <w:trPr>
          <w:cantSplit/>
        </w:trPr>
        <w:tc>
          <w:tcPr>
            <w:tcW w:type="dxa" w:w="2880"/>
            <w:vAlign w:val="top"/>
            <w:shd w:fill="F3F6F7"/>
          </w:tcPr>
          <w:p>
            <w:pPr>
              <w:keepNext w:val="0"/>
              <w:spacing w:after="50" w:before="20" w:line="250" w:lineRule="auto"/>
            </w:pPr>
            <w:r>
              <w:rPr>
                <w:rFonts w:ascii="Arial" w:hAnsi="Arial"/>
                <w:sz w:val="18"/>
              </w:rPr>
              <w:t>A template is translated</w:t>
            </w:r>
          </w:p>
        </w:tc>
        <w:tc>
          <w:tcPr>
            <w:tcW w:type="dxa" w:w="7344"/>
            <w:vAlign w:val="top"/>
            <w:shd w:fill="F3F6F7"/>
          </w:tcPr>
          <w:p>
            <w:pPr>
              <w:keepNext w:val="0"/>
              <w:spacing w:after="50" w:before="20" w:line="250" w:lineRule="auto"/>
            </w:pPr>
            <w:r>
              <w:rPr>
                <w:rFonts w:ascii="Arial" w:hAnsi="Arial"/>
                <w:sz w:val="18"/>
              </w:rPr>
              <w:t>Approved translations retain the meaning of consequential terms; the language, version and reviewer are recorded.</w:t>
            </w:r>
          </w:p>
        </w:tc>
      </w:tr>
      <w:tr>
        <w:trPr>
          <w:cantSplit/>
        </w:trPr>
        <w:tc>
          <w:tcPr>
            <w:tcW w:type="dxa" w:w="2880"/>
            <w:vAlign w:val="top"/>
          </w:tcPr>
          <w:p>
            <w:pPr>
              <w:keepNext w:val="0"/>
              <w:spacing w:after="50" w:before="20" w:line="250" w:lineRule="auto"/>
            </w:pPr>
            <w:r>
              <w:rPr>
                <w:rFonts w:ascii="Arial" w:hAnsi="Arial"/>
                <w:sz w:val="18"/>
              </w:rPr>
              <w:t>A document is exported or printed</w:t>
            </w:r>
          </w:p>
        </w:tc>
        <w:tc>
          <w:tcPr>
            <w:tcW w:type="dxa" w:w="7344"/>
            <w:vAlign w:val="top"/>
          </w:tcPr>
          <w:p>
            <w:pPr>
              <w:keepNext w:val="0"/>
              <w:spacing w:after="50" w:before="20" w:line="250" w:lineRule="auto"/>
            </w:pPr>
            <w:r>
              <w:rPr>
                <w:rFonts w:ascii="Arial" w:hAnsi="Arial"/>
                <w:sz w:val="18"/>
              </w:rPr>
              <w:t>PDF/DOCX layout retains readable headings, page breaks, images, tables and signature evidence. Private data do not leak through a public asset URL.</w:t>
            </w:r>
          </w:p>
        </w:tc>
      </w:tr>
      <w:tr>
        <w:trPr>
          <w:cantSplit/>
        </w:trPr>
        <w:tc>
          <w:tcPr>
            <w:tcW w:type="dxa" w:w="2880"/>
            <w:vAlign w:val="top"/>
            <w:shd w:fill="F3F6F7"/>
          </w:tcPr>
          <w:p>
            <w:pPr>
              <w:keepNext w:val="0"/>
              <w:spacing w:after="50" w:before="20" w:line="250" w:lineRule="auto"/>
            </w:pPr>
            <w:r>
              <w:rPr>
                <w:rFonts w:ascii="Arial" w:hAnsi="Arial"/>
                <w:sz w:val="18"/>
              </w:rPr>
              <w:t>A third-party surface limits branding</w:t>
            </w:r>
          </w:p>
        </w:tc>
        <w:tc>
          <w:tcPr>
            <w:tcW w:type="dxa" w:w="7344"/>
            <w:vAlign w:val="top"/>
            <w:shd w:fill="F3F6F7"/>
          </w:tcPr>
          <w:p>
            <w:pPr>
              <w:keepNext w:val="0"/>
              <w:spacing w:after="50" w:before="20" w:line="250" w:lineRule="auto"/>
            </w:pPr>
            <w:r>
              <w:rPr>
                <w:rFonts w:ascii="Arial" w:hAnsi="Arial"/>
                <w:sz w:val="18"/>
              </w:rPr>
              <w:t>Show exactly which logo, colors, sender identity or payment fields the provider allows. Plain SMS uses clear business identity and a branded link, not unsupported visual styling.</w:t>
            </w:r>
          </w:p>
        </w:tc>
      </w:tr>
    </w:tbl>
    <w:p>
      <w:pPr>
        <w:spacing w:after="40" w:before="0" w:line="240" w:lineRule="auto"/>
      </w:pPr>
      <w:r>
        <w:rPr>
          <w:sz w:val="4"/>
        </w:rPr>
      </w:r>
    </w:p>
    <w:p>
      <w:r>
        <w:t>Additional integration checks: duplicate delivery callbacks are idempotent; split tender and refunds match the ledger; guardian and payer identities remain distinct; complete archives include authorized originals and amendments; recurring rental receivables remain separate from the renter’s client-service money.</w:t>
      </w:r>
    </w:p>
    <w:p>
      <w:bookmarkStart w:id="7" w:name="matrix"/>
      <w:pPr>
        <w:pStyle w:val="Heading1"/>
        <w:pageBreakBefore/>
      </w:pPr>
      <w:r>
        <w:t>6 Feature matrix from easy to hard</w:t>
      </w:r>
      <w:bookmarkEnd w:id="7"/>
    </w:p>
    <w:p>
      <w:r>
        <w:t>The 199 entries below are sorted by implementation difficulty and then stable feature ID. Difficulty measures the full supported workflow, including failure states and dependencies. It is relative, not a schedule or budget. A simple editor can be easy once its underlying identity, records and transaction services exist.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3312"/>
        <w:gridCol w:w="936"/>
        <w:gridCol w:w="5976"/>
      </w:tblGrid>
      <w:tr>
        <w:trPr>
          <w:tblHeader/>
        </w:trPr>
        <w:tc>
          <w:tcPr>
            <w:tcW w:type="dxa" w:w="3312"/>
            <w:vAlign w:val="top"/>
            <w:shd w:fill="173F50"/>
          </w:tcPr>
          <w:p>
            <w:pPr>
              <w:keepNext/>
              <w:spacing w:after="50" w:before="20" w:line="250" w:lineRule="auto"/>
            </w:pPr>
            <w:r>
              <w:rPr>
                <w:rFonts w:ascii="Arial" w:hAnsi="Arial"/>
                <w:b/>
                <w:color w:val="FFFFFF"/>
                <w:sz w:val="18"/>
              </w:rPr>
              <w:t>Difficulty</w:t>
            </w:r>
          </w:p>
        </w:tc>
        <w:tc>
          <w:tcPr>
            <w:tcW w:type="dxa" w:w="936"/>
            <w:vAlign w:val="top"/>
            <w:shd w:fill="173F50"/>
          </w:tcPr>
          <w:p>
            <w:pPr>
              <w:keepNext/>
              <w:spacing w:after="50" w:before="20" w:line="250" w:lineRule="auto"/>
            </w:pPr>
            <w:r>
              <w:rPr>
                <w:rFonts w:ascii="Arial" w:hAnsi="Arial"/>
                <w:b/>
                <w:color w:val="FFFFFF"/>
                <w:sz w:val="18"/>
              </w:rPr>
              <w:t>Features</w:t>
            </w:r>
          </w:p>
        </w:tc>
        <w:tc>
          <w:tcPr>
            <w:tcW w:type="dxa" w:w="5976"/>
            <w:vAlign w:val="top"/>
            <w:shd w:fill="173F50"/>
          </w:tcPr>
          <w:p>
            <w:pPr>
              <w:keepNext/>
              <w:spacing w:after="50" w:before="20" w:line="250" w:lineRule="auto"/>
            </w:pPr>
            <w:r>
              <w:rPr>
                <w:rFonts w:ascii="Arial" w:hAnsi="Arial"/>
                <w:b/>
                <w:color w:val="FFFFFF"/>
                <w:sz w:val="18"/>
              </w:rPr>
              <w:t>Interpretation</w:t>
            </w:r>
          </w:p>
        </w:tc>
      </w:tr>
      <w:tr>
        <w:trPr>
          <w:cantSplit/>
        </w:trPr>
        <w:tc>
          <w:tcPr>
            <w:tcW w:type="dxa" w:w="3312"/>
            <w:vAlign w:val="top"/>
          </w:tcPr>
          <w:p>
            <w:pPr>
              <w:keepNext w:val="0"/>
              <w:spacing w:after="50" w:before="20" w:line="250" w:lineRule="auto"/>
            </w:pPr>
            <w:r>
              <w:rPr>
                <w:rFonts w:ascii="Arial" w:hAnsi="Arial"/>
                <w:sz w:val="18"/>
              </w:rPr>
              <w:t>D1  Simple configuration and content</w:t>
            </w:r>
          </w:p>
        </w:tc>
        <w:tc>
          <w:tcPr>
            <w:tcW w:type="dxa" w:w="936"/>
            <w:vAlign w:val="top"/>
          </w:tcPr>
          <w:p>
            <w:pPr>
              <w:keepNext w:val="0"/>
              <w:spacing w:after="50" w:before="20" w:line="250" w:lineRule="auto"/>
            </w:pPr>
            <w:r>
              <w:rPr>
                <w:rFonts w:ascii="Arial" w:hAnsi="Arial"/>
                <w:sz w:val="18"/>
              </w:rPr>
              <w:t>24</w:t>
            </w:r>
          </w:p>
        </w:tc>
        <w:tc>
          <w:tcPr>
            <w:tcW w:type="dxa" w:w="5976"/>
            <w:vAlign w:val="top"/>
          </w:tcPr>
          <w:p>
            <w:pPr>
              <w:keepNext w:val="0"/>
              <w:spacing w:after="50" w:before="20" w:line="250" w:lineRule="auto"/>
            </w:pPr>
            <w:r>
              <w:rPr>
                <w:rFonts w:ascii="Arial" w:hAnsi="Arial"/>
                <w:sz w:val="18"/>
              </w:rPr>
              <w:t>Mostly templates, content, settings and focused interfaces after core services exist.</w:t>
            </w:r>
          </w:p>
        </w:tc>
      </w:tr>
      <w:tr>
        <w:trPr>
          <w:cantSplit/>
        </w:trPr>
        <w:tc>
          <w:tcPr>
            <w:tcW w:type="dxa" w:w="3312"/>
            <w:vAlign w:val="top"/>
            <w:shd w:fill="F3F6F7"/>
          </w:tcPr>
          <w:p>
            <w:pPr>
              <w:keepNext w:val="0"/>
              <w:spacing w:after="50" w:before="20" w:line="250" w:lineRule="auto"/>
            </w:pPr>
            <w:r>
              <w:rPr>
                <w:rFonts w:ascii="Arial" w:hAnsi="Arial"/>
                <w:sz w:val="18"/>
              </w:rPr>
              <w:t>D2  Standard product workflows</w:t>
            </w:r>
          </w:p>
        </w:tc>
        <w:tc>
          <w:tcPr>
            <w:tcW w:type="dxa" w:w="936"/>
            <w:vAlign w:val="top"/>
            <w:shd w:fill="F3F6F7"/>
          </w:tcPr>
          <w:p>
            <w:pPr>
              <w:keepNext w:val="0"/>
              <w:spacing w:after="50" w:before="20" w:line="250" w:lineRule="auto"/>
            </w:pPr>
            <w:r>
              <w:rPr>
                <w:rFonts w:ascii="Arial" w:hAnsi="Arial"/>
                <w:sz w:val="18"/>
              </w:rPr>
              <w:t>51</w:t>
            </w:r>
          </w:p>
        </w:tc>
        <w:tc>
          <w:tcPr>
            <w:tcW w:type="dxa" w:w="5976"/>
            <w:vAlign w:val="top"/>
            <w:shd w:fill="F3F6F7"/>
          </w:tcPr>
          <w:p>
            <w:pPr>
              <w:keepNext w:val="0"/>
              <w:spacing w:after="50" w:before="20" w:line="250" w:lineRule="auto"/>
            </w:pPr>
            <w:r>
              <w:rPr>
                <w:rFonts w:ascii="Arial" w:hAnsi="Arial"/>
                <w:sz w:val="18"/>
              </w:rPr>
              <w:t>CRUD, state changes, permissions and conventional business rules with bounded integrations.</w:t>
            </w:r>
          </w:p>
        </w:tc>
      </w:tr>
      <w:tr>
        <w:trPr>
          <w:cantSplit/>
        </w:trPr>
        <w:tc>
          <w:tcPr>
            <w:tcW w:type="dxa" w:w="3312"/>
            <w:vAlign w:val="top"/>
          </w:tcPr>
          <w:p>
            <w:pPr>
              <w:keepNext w:val="0"/>
              <w:spacing w:after="50" w:before="20" w:line="250" w:lineRule="auto"/>
            </w:pPr>
            <w:r>
              <w:rPr>
                <w:rFonts w:ascii="Arial" w:hAnsi="Arial"/>
                <w:sz w:val="18"/>
              </w:rPr>
              <w:t>D3  Stateful and integrated systems</w:t>
            </w:r>
          </w:p>
        </w:tc>
        <w:tc>
          <w:tcPr>
            <w:tcW w:type="dxa" w:w="936"/>
            <w:vAlign w:val="top"/>
          </w:tcPr>
          <w:p>
            <w:pPr>
              <w:keepNext w:val="0"/>
              <w:spacing w:after="50" w:before="20" w:line="250" w:lineRule="auto"/>
            </w:pPr>
            <w:r>
              <w:rPr>
                <w:rFonts w:ascii="Arial" w:hAnsi="Arial"/>
                <w:sz w:val="18"/>
              </w:rPr>
              <w:t>73</w:t>
            </w:r>
          </w:p>
        </w:tc>
        <w:tc>
          <w:tcPr>
            <w:tcW w:type="dxa" w:w="5976"/>
            <w:vAlign w:val="top"/>
          </w:tcPr>
          <w:p>
            <w:pPr>
              <w:keepNext w:val="0"/>
              <w:spacing w:after="50" w:before="20" w:line="250" w:lineRule="auto"/>
            </w:pPr>
            <w:r>
              <w:rPr>
                <w:rFonts w:ascii="Arial" w:hAnsi="Arial"/>
                <w:sz w:val="18"/>
              </w:rPr>
              <w:t>Concurrency, ledgers, signatures, data pipelines, communication or transactional integrations.</w:t>
            </w:r>
          </w:p>
        </w:tc>
      </w:tr>
      <w:tr>
        <w:trPr>
          <w:cantSplit/>
        </w:trPr>
        <w:tc>
          <w:tcPr>
            <w:tcW w:type="dxa" w:w="3312"/>
            <w:vAlign w:val="top"/>
            <w:shd w:fill="F3F6F7"/>
          </w:tcPr>
          <w:p>
            <w:pPr>
              <w:keepNext w:val="0"/>
              <w:spacing w:after="50" w:before="20" w:line="250" w:lineRule="auto"/>
            </w:pPr>
            <w:r>
              <w:rPr>
                <w:rFonts w:ascii="Arial" w:hAnsi="Arial"/>
                <w:sz w:val="18"/>
              </w:rPr>
              <w:t>D4  Advanced automation and complex operations</w:t>
            </w:r>
          </w:p>
        </w:tc>
        <w:tc>
          <w:tcPr>
            <w:tcW w:type="dxa" w:w="936"/>
            <w:vAlign w:val="top"/>
            <w:shd w:fill="F3F6F7"/>
          </w:tcPr>
          <w:p>
            <w:pPr>
              <w:keepNext w:val="0"/>
              <w:spacing w:after="50" w:before="20" w:line="250" w:lineRule="auto"/>
            </w:pPr>
            <w:r>
              <w:rPr>
                <w:rFonts w:ascii="Arial" w:hAnsi="Arial"/>
                <w:sz w:val="18"/>
              </w:rPr>
              <w:t>39</w:t>
            </w:r>
          </w:p>
        </w:tc>
        <w:tc>
          <w:tcPr>
            <w:tcW w:type="dxa" w:w="5976"/>
            <w:vAlign w:val="top"/>
            <w:shd w:fill="F3F6F7"/>
          </w:tcPr>
          <w:p>
            <w:pPr>
              <w:keepNext w:val="0"/>
              <w:spacing w:after="50" w:before="20" w:line="250" w:lineRule="auto"/>
            </w:pPr>
            <w:r>
              <w:rPr>
                <w:rFonts w:ascii="Arial" w:hAnsi="Arial"/>
                <w:sz w:val="18"/>
              </w:rPr>
              <w:t>Cross-system coordination, enterprise scope, offline conflict handling, predictive or evaluated AI behavior.</w:t>
            </w:r>
          </w:p>
        </w:tc>
      </w:tr>
      <w:tr>
        <w:trPr>
          <w:cantSplit/>
        </w:trPr>
        <w:tc>
          <w:tcPr>
            <w:tcW w:type="dxa" w:w="3312"/>
            <w:vAlign w:val="top"/>
          </w:tcPr>
          <w:p>
            <w:pPr>
              <w:keepNext w:val="0"/>
              <w:spacing w:after="50" w:before="20" w:line="250" w:lineRule="auto"/>
            </w:pPr>
            <w:r>
              <w:rPr>
                <w:rFonts w:ascii="Arial" w:hAnsi="Arial"/>
                <w:sz w:val="18"/>
              </w:rPr>
              <w:t>D5  New operating businesses and regulated or research scope</w:t>
            </w:r>
          </w:p>
        </w:tc>
        <w:tc>
          <w:tcPr>
            <w:tcW w:type="dxa" w:w="936"/>
            <w:vAlign w:val="top"/>
          </w:tcPr>
          <w:p>
            <w:pPr>
              <w:keepNext w:val="0"/>
              <w:spacing w:after="50" w:before="20" w:line="250" w:lineRule="auto"/>
            </w:pPr>
            <w:r>
              <w:rPr>
                <w:rFonts w:ascii="Arial" w:hAnsi="Arial"/>
                <w:sz w:val="18"/>
              </w:rPr>
              <w:t>12</w:t>
            </w:r>
          </w:p>
        </w:tc>
        <w:tc>
          <w:tcPr>
            <w:tcW w:type="dxa" w:w="5976"/>
            <w:vAlign w:val="top"/>
          </w:tcPr>
          <w:p>
            <w:pPr>
              <w:keepNext w:val="0"/>
              <w:spacing w:after="50" w:before="20" w:line="250" w:lineRule="auto"/>
            </w:pPr>
            <w:r>
              <w:rPr>
                <w:rFonts w:ascii="Arial" w:hAnsi="Arial"/>
                <w:sz w:val="18"/>
              </w:rPr>
              <w:t>Networks, capital, clinical or insurance operations, novel imaging or hardware with significant external dependencies.</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448"/>
        <w:gridCol w:w="7776"/>
      </w:tblGrid>
      <w:tr>
        <w:trPr>
          <w:tblHeader/>
        </w:trPr>
        <w:tc>
          <w:tcPr>
            <w:tcW w:type="dxa" w:w="2448"/>
            <w:vAlign w:val="top"/>
            <w:shd w:fill="173F50"/>
          </w:tcPr>
          <w:p>
            <w:pPr>
              <w:keepNext/>
              <w:spacing w:after="50" w:before="20" w:line="250" w:lineRule="auto"/>
            </w:pPr>
            <w:r>
              <w:rPr>
                <w:rFonts w:ascii="Arial" w:hAnsi="Arial"/>
                <w:b/>
                <w:color w:val="FFFFFF"/>
                <w:sz w:val="18"/>
              </w:rPr>
              <w:t>Release code</w:t>
            </w:r>
          </w:p>
        </w:tc>
        <w:tc>
          <w:tcPr>
            <w:tcW w:type="dxa" w:w="7776"/>
            <w:vAlign w:val="top"/>
            <w:shd w:fill="173F50"/>
          </w:tcPr>
          <w:p>
            <w:pPr>
              <w:keepNext/>
              <w:spacing w:after="50" w:before="20" w:line="250" w:lineRule="auto"/>
            </w:pPr>
            <w:r>
              <w:rPr>
                <w:rFonts w:ascii="Arial" w:hAnsi="Arial"/>
                <w:b/>
                <w:color w:val="FFFFFF"/>
                <w:sz w:val="18"/>
              </w:rPr>
              <w:t>Meaning</w:t>
            </w:r>
          </w:p>
        </w:tc>
      </w:tr>
      <w:tr>
        <w:trPr>
          <w:cantSplit/>
        </w:trPr>
        <w:tc>
          <w:tcPr>
            <w:tcW w:type="dxa" w:w="2448"/>
            <w:vAlign w:val="top"/>
          </w:tcPr>
          <w:p>
            <w:pPr>
              <w:keepNext w:val="0"/>
              <w:spacing w:after="50" w:before="20" w:line="250" w:lineRule="auto"/>
            </w:pPr>
            <w:r>
              <w:rPr>
                <w:rFonts w:ascii="Arial" w:hAnsi="Arial"/>
                <w:sz w:val="18"/>
              </w:rPr>
              <w:t>F  Foundation</w:t>
            </w:r>
          </w:p>
        </w:tc>
        <w:tc>
          <w:tcPr>
            <w:tcW w:type="dxa" w:w="7776"/>
            <w:vAlign w:val="top"/>
          </w:tcPr>
          <w:p>
            <w:pPr>
              <w:keepNext w:val="0"/>
              <w:spacing w:after="50" w:before="20" w:line="250" w:lineRule="auto"/>
            </w:pPr>
            <w:r>
              <w:rPr>
                <w:rFonts w:ascii="Arial" w:hAnsi="Arial"/>
                <w:sz w:val="18"/>
              </w:rPr>
              <w:t>Required before dependent live use, even when difficult. Identity, reliable booking, money/event history, communications, metrics, monitoring and recovery.</w:t>
            </w:r>
          </w:p>
        </w:tc>
      </w:tr>
      <w:tr>
        <w:trPr>
          <w:cantSplit/>
        </w:trPr>
        <w:tc>
          <w:tcPr>
            <w:tcW w:type="dxa" w:w="2448"/>
            <w:vAlign w:val="top"/>
            <w:shd w:fill="F3F6F7"/>
          </w:tcPr>
          <w:p>
            <w:pPr>
              <w:keepNext w:val="0"/>
              <w:spacing w:after="50" w:before="20" w:line="250" w:lineRule="auto"/>
            </w:pPr>
            <w:r>
              <w:rPr>
                <w:rFonts w:ascii="Arial" w:hAnsi="Arial"/>
                <w:sz w:val="18"/>
              </w:rPr>
              <w:t>L  Launch candidate</w:t>
            </w:r>
          </w:p>
        </w:tc>
        <w:tc>
          <w:tcPr>
            <w:tcW w:type="dxa" w:w="7776"/>
            <w:vAlign w:val="top"/>
            <w:shd w:fill="F3F6F7"/>
          </w:tcPr>
          <w:p>
            <w:pPr>
              <w:keepNext w:val="0"/>
              <w:spacing w:after="50" w:before="20" w:line="250" w:lineRule="auto"/>
            </w:pPr>
            <w:r>
              <w:rPr>
                <w:rFonts w:ascii="Arial" w:hAnsi="Arial"/>
                <w:sz w:val="18"/>
              </w:rPr>
              <w:t>Belongs to the initial product envelope. Select a coherent subset for a narrow pilot; this is not a commitment to ship all launch-tagged features at once.</w:t>
            </w:r>
          </w:p>
        </w:tc>
      </w:tr>
      <w:tr>
        <w:trPr>
          <w:cantSplit/>
        </w:trPr>
        <w:tc>
          <w:tcPr>
            <w:tcW w:type="dxa" w:w="2448"/>
            <w:vAlign w:val="top"/>
          </w:tcPr>
          <w:p>
            <w:pPr>
              <w:keepNext w:val="0"/>
              <w:spacing w:after="50" w:before="20" w:line="250" w:lineRule="auto"/>
            </w:pPr>
            <w:r>
              <w:rPr>
                <w:rFonts w:ascii="Arial" w:hAnsi="Arial"/>
                <w:sz w:val="18"/>
              </w:rPr>
              <w:t>G  Growth</w:t>
            </w:r>
          </w:p>
        </w:tc>
        <w:tc>
          <w:tcPr>
            <w:tcW w:type="dxa" w:w="7776"/>
            <w:vAlign w:val="top"/>
          </w:tcPr>
          <w:p>
            <w:pPr>
              <w:keepNext w:val="0"/>
              <w:spacing w:after="50" w:before="20" w:line="250" w:lineRule="auto"/>
            </w:pPr>
            <w:r>
              <w:rPr>
                <w:rFonts w:ascii="Arial" w:hAnsi="Arial"/>
                <w:sz w:val="18"/>
              </w:rPr>
              <w:t>After the core loop works and relevant customers justify the scope.</w:t>
            </w:r>
          </w:p>
        </w:tc>
      </w:tr>
      <w:tr>
        <w:trPr>
          <w:cantSplit/>
        </w:trPr>
        <w:tc>
          <w:tcPr>
            <w:tcW w:type="dxa" w:w="2448"/>
            <w:vAlign w:val="top"/>
            <w:shd w:fill="F3F6F7"/>
          </w:tcPr>
          <w:p>
            <w:pPr>
              <w:keepNext w:val="0"/>
              <w:spacing w:after="50" w:before="20" w:line="250" w:lineRule="auto"/>
            </w:pPr>
            <w:r>
              <w:rPr>
                <w:rFonts w:ascii="Arial" w:hAnsi="Arial"/>
                <w:sz w:val="18"/>
              </w:rPr>
              <w:t>X  Expansion</w:t>
            </w:r>
          </w:p>
        </w:tc>
        <w:tc>
          <w:tcPr>
            <w:tcW w:type="dxa" w:w="7776"/>
            <w:vAlign w:val="top"/>
            <w:shd w:fill="F3F6F7"/>
          </w:tcPr>
          <w:p>
            <w:pPr>
              <w:keepNext w:val="0"/>
              <w:spacing w:after="50" w:before="20" w:line="250" w:lineRule="auto"/>
            </w:pPr>
            <w:r>
              <w:rPr>
                <w:rFonts w:ascii="Arial" w:hAnsi="Arial"/>
                <w:sz w:val="18"/>
              </w:rPr>
              <w:t>Separate specialty, advanced operating mode or integration after prerequisites are met.</w:t>
            </w:r>
          </w:p>
        </w:tc>
      </w:tr>
      <w:tr>
        <w:trPr>
          <w:cantSplit/>
        </w:trPr>
        <w:tc>
          <w:tcPr>
            <w:tcW w:type="dxa" w:w="2448"/>
            <w:vAlign w:val="top"/>
          </w:tcPr>
          <w:p>
            <w:pPr>
              <w:keepNext w:val="0"/>
              <w:spacing w:after="50" w:before="20" w:line="250" w:lineRule="auto"/>
            </w:pPr>
            <w:r>
              <w:rPr>
                <w:rFonts w:ascii="Arial" w:hAnsi="Arial"/>
                <w:sz w:val="18"/>
              </w:rPr>
              <w:t>V  Validate separately</w:t>
            </w:r>
          </w:p>
        </w:tc>
        <w:tc>
          <w:tcPr>
            <w:tcW w:type="dxa" w:w="7776"/>
            <w:vAlign w:val="top"/>
          </w:tcPr>
          <w:p>
            <w:pPr>
              <w:keepNext w:val="0"/>
              <w:spacing w:after="50" w:before="20" w:line="250" w:lineRule="auto"/>
            </w:pPr>
            <w:r>
              <w:rPr>
                <w:rFonts w:ascii="Arial" w:hAnsi="Arial"/>
                <w:sz w:val="18"/>
              </w:rPr>
              <w:t>A distinct business or research bet. Do not fund merely because it appears in the backlog.</w:t>
            </w:r>
          </w:p>
        </w:tc>
      </w:tr>
    </w:tbl>
    <w:p>
      <w:pPr>
        <w:spacing w:after="40" w:before="0" w:line="240" w:lineRule="auto"/>
      </w:pPr>
      <w:r>
        <w:rPr>
          <w:sz w:val="4"/>
        </w:rPr>
      </w:r>
    </w:p>
    <w:p>
      <w:r>
        <w:t>People codes identify expertise to recruit, contract or partner for beyond ordinary product engineering. CORE does not mean no labor. NET explicitly flags a recruited external network, with conditional cases stated. See Chapter 8 for who is needed and when.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792"/>
        <w:gridCol w:w="4320"/>
        <w:gridCol w:w="792"/>
        <w:gridCol w:w="4320"/>
      </w:tblGrid>
      <w:tr>
        <w:trPr>
          <w:tblHeader/>
        </w:trPr>
        <w:tc>
          <w:tcPr>
            <w:tcW w:type="dxa" w:w="792"/>
            <w:vAlign w:val="top"/>
            <w:shd w:fill="173F50"/>
          </w:tcPr>
          <w:p>
            <w:pPr>
              <w:keepNext/>
              <w:spacing w:after="50" w:before="20" w:line="250" w:lineRule="auto"/>
            </w:pPr>
            <w:r>
              <w:rPr>
                <w:rFonts w:ascii="Arial" w:hAnsi="Arial"/>
                <w:b/>
                <w:color w:val="FFFFFF"/>
                <w:sz w:val="18"/>
              </w:rPr>
              <w:t>Code</w:t>
            </w:r>
          </w:p>
        </w:tc>
        <w:tc>
          <w:tcPr>
            <w:tcW w:type="dxa" w:w="4320"/>
            <w:vAlign w:val="top"/>
            <w:shd w:fill="173F50"/>
          </w:tcPr>
          <w:p>
            <w:pPr>
              <w:keepNext/>
              <w:spacing w:after="50" w:before="20" w:line="250" w:lineRule="auto"/>
            </w:pPr>
            <w:r>
              <w:rPr>
                <w:rFonts w:ascii="Arial" w:hAnsi="Arial"/>
                <w:b/>
                <w:color w:val="FFFFFF"/>
                <w:sz w:val="18"/>
              </w:rPr>
              <w:t>Expertise</w:t>
            </w:r>
          </w:p>
        </w:tc>
        <w:tc>
          <w:tcPr>
            <w:tcW w:type="dxa" w:w="792"/>
            <w:vAlign w:val="top"/>
            <w:shd w:fill="173F50"/>
          </w:tcPr>
          <w:p>
            <w:pPr>
              <w:keepNext/>
              <w:spacing w:after="50" w:before="20" w:line="250" w:lineRule="auto"/>
            </w:pPr>
            <w:r>
              <w:rPr>
                <w:rFonts w:ascii="Arial" w:hAnsi="Arial"/>
                <w:b/>
                <w:color w:val="FFFFFF"/>
                <w:sz w:val="18"/>
              </w:rPr>
              <w:t>Code</w:t>
            </w:r>
          </w:p>
        </w:tc>
        <w:tc>
          <w:tcPr>
            <w:tcW w:type="dxa" w:w="4320"/>
            <w:vAlign w:val="top"/>
            <w:shd w:fill="173F50"/>
          </w:tcPr>
          <w:p>
            <w:pPr>
              <w:keepNext/>
              <w:spacing w:after="50" w:before="20" w:line="250" w:lineRule="auto"/>
            </w:pPr>
            <w:r>
              <w:rPr>
                <w:rFonts w:ascii="Arial" w:hAnsi="Arial"/>
                <w:b/>
                <w:color w:val="FFFFFF"/>
                <w:sz w:val="18"/>
              </w:rPr>
              <w:t>Expertise</w:t>
            </w:r>
          </w:p>
        </w:tc>
      </w:tr>
      <w:tr>
        <w:trPr>
          <w:cantSplit/>
        </w:trPr>
        <w:tc>
          <w:tcPr>
            <w:tcW w:type="dxa" w:w="792"/>
            <w:vAlign w:val="top"/>
          </w:tcPr>
          <w:p>
            <w:pPr>
              <w:keepNext w:val="0"/>
              <w:spacing w:after="50" w:before="20" w:line="250" w:lineRule="auto"/>
            </w:pPr>
            <w:r>
              <w:rPr>
                <w:rFonts w:ascii="Arial" w:hAnsi="Arial"/>
                <w:sz w:val="18"/>
              </w:rPr>
              <w:t>UX</w:t>
            </w:r>
          </w:p>
        </w:tc>
        <w:tc>
          <w:tcPr>
            <w:tcW w:type="dxa" w:w="4320"/>
            <w:vAlign w:val="top"/>
          </w:tcPr>
          <w:p>
            <w:pPr>
              <w:keepNext w:val="0"/>
              <w:spacing w:after="50" w:before="20" w:line="250" w:lineRule="auto"/>
            </w:pPr>
            <w:r>
              <w:rPr>
                <w:rFonts w:ascii="Arial" w:hAnsi="Arial"/>
                <w:sz w:val="18"/>
              </w:rPr>
              <w:t>Usability and accessibility</w:t>
            </w:r>
          </w:p>
        </w:tc>
        <w:tc>
          <w:tcPr>
            <w:tcW w:type="dxa" w:w="792"/>
            <w:vAlign w:val="top"/>
          </w:tcPr>
          <w:p>
            <w:pPr>
              <w:keepNext w:val="0"/>
              <w:spacing w:after="50" w:before="20" w:line="250" w:lineRule="auto"/>
            </w:pPr>
            <w:r>
              <w:rPr>
                <w:rFonts w:ascii="Arial" w:hAnsi="Arial"/>
                <w:sz w:val="18"/>
              </w:rPr>
              <w:t>DES</w:t>
            </w:r>
          </w:p>
        </w:tc>
        <w:tc>
          <w:tcPr>
            <w:tcW w:type="dxa" w:w="4320"/>
            <w:vAlign w:val="top"/>
          </w:tcPr>
          <w:p>
            <w:pPr>
              <w:keepNext w:val="0"/>
              <w:spacing w:after="50" w:before="20" w:line="250" w:lineRule="auto"/>
            </w:pPr>
            <w:r>
              <w:rPr>
                <w:rFonts w:ascii="Arial" w:hAnsi="Arial"/>
                <w:sz w:val="18"/>
              </w:rPr>
              <w:t>Brand and template design</w:t>
            </w:r>
          </w:p>
        </w:tc>
      </w:tr>
      <w:tr>
        <w:trPr>
          <w:cantSplit/>
        </w:trPr>
        <w:tc>
          <w:tcPr>
            <w:tcW w:type="dxa" w:w="792"/>
            <w:vAlign w:val="top"/>
            <w:shd w:fill="F3F6F7"/>
          </w:tcPr>
          <w:p>
            <w:pPr>
              <w:keepNext w:val="0"/>
              <w:spacing w:after="50" w:before="20" w:line="250" w:lineRule="auto"/>
            </w:pPr>
            <w:r>
              <w:rPr>
                <w:rFonts w:ascii="Arial" w:hAnsi="Arial"/>
                <w:sz w:val="18"/>
              </w:rPr>
              <w:t>LEG</w:t>
            </w:r>
          </w:p>
        </w:tc>
        <w:tc>
          <w:tcPr>
            <w:tcW w:type="dxa" w:w="4320"/>
            <w:vAlign w:val="top"/>
            <w:shd w:fill="F3F6F7"/>
          </w:tcPr>
          <w:p>
            <w:pPr>
              <w:keepNext w:val="0"/>
              <w:spacing w:after="50" w:before="20" w:line="250" w:lineRule="auto"/>
            </w:pPr>
            <w:r>
              <w:rPr>
                <w:rFonts w:ascii="Arial" w:hAnsi="Arial"/>
                <w:sz w:val="18"/>
              </w:rPr>
              <w:t>Legal and privacy</w:t>
            </w:r>
          </w:p>
        </w:tc>
        <w:tc>
          <w:tcPr>
            <w:tcW w:type="dxa" w:w="792"/>
            <w:vAlign w:val="top"/>
            <w:shd w:fill="F3F6F7"/>
          </w:tcPr>
          <w:p>
            <w:pPr>
              <w:keepNext w:val="0"/>
              <w:spacing w:after="50" w:before="20" w:line="250" w:lineRule="auto"/>
            </w:pPr>
            <w:r>
              <w:rPr>
                <w:rFonts w:ascii="Arial" w:hAnsi="Arial"/>
                <w:sz w:val="18"/>
              </w:rPr>
              <w:t>CLIN</w:t>
            </w:r>
          </w:p>
        </w:tc>
        <w:tc>
          <w:tcPr>
            <w:tcW w:type="dxa" w:w="4320"/>
            <w:vAlign w:val="top"/>
            <w:shd w:fill="F3F6F7"/>
          </w:tcPr>
          <w:p>
            <w:pPr>
              <w:keepNext w:val="0"/>
              <w:spacing w:after="50" w:before="20" w:line="250" w:lineRule="auto"/>
            </w:pPr>
            <w:r>
              <w:rPr>
                <w:rFonts w:ascii="Arial" w:hAnsi="Arial"/>
                <w:sz w:val="18"/>
              </w:rPr>
              <w:t>Qualified service or clinical expert</w:t>
            </w:r>
          </w:p>
        </w:tc>
      </w:tr>
      <w:tr>
        <w:trPr>
          <w:cantSplit/>
        </w:trPr>
        <w:tc>
          <w:tcPr>
            <w:tcW w:type="dxa" w:w="792"/>
            <w:vAlign w:val="top"/>
          </w:tcPr>
          <w:p>
            <w:pPr>
              <w:keepNext w:val="0"/>
              <w:spacing w:after="50" w:before="20" w:line="250" w:lineRule="auto"/>
            </w:pPr>
            <w:r>
              <w:rPr>
                <w:rFonts w:ascii="Arial" w:hAnsi="Arial"/>
                <w:sz w:val="18"/>
              </w:rPr>
              <w:t>FIN</w:t>
            </w:r>
          </w:p>
        </w:tc>
        <w:tc>
          <w:tcPr>
            <w:tcW w:type="dxa" w:w="4320"/>
            <w:vAlign w:val="top"/>
          </w:tcPr>
          <w:p>
            <w:pPr>
              <w:keepNext w:val="0"/>
              <w:spacing w:after="50" w:before="20" w:line="250" w:lineRule="auto"/>
            </w:pPr>
            <w:r>
              <w:rPr>
                <w:rFonts w:ascii="Arial" w:hAnsi="Arial"/>
                <w:sz w:val="18"/>
              </w:rPr>
              <w:t>Accounting and payroll</w:t>
            </w:r>
          </w:p>
        </w:tc>
        <w:tc>
          <w:tcPr>
            <w:tcW w:type="dxa" w:w="792"/>
            <w:vAlign w:val="top"/>
          </w:tcPr>
          <w:p>
            <w:pPr>
              <w:keepNext w:val="0"/>
              <w:spacing w:after="50" w:before="20" w:line="250" w:lineRule="auto"/>
            </w:pPr>
            <w:r>
              <w:rPr>
                <w:rFonts w:ascii="Arial" w:hAnsi="Arial"/>
                <w:sz w:val="18"/>
              </w:rPr>
              <w:t>PAY</w:t>
            </w:r>
          </w:p>
        </w:tc>
        <w:tc>
          <w:tcPr>
            <w:tcW w:type="dxa" w:w="4320"/>
            <w:vAlign w:val="top"/>
          </w:tcPr>
          <w:p>
            <w:pPr>
              <w:keepNext w:val="0"/>
              <w:spacing w:after="50" w:before="20" w:line="250" w:lineRule="auto"/>
            </w:pPr>
            <w:r>
              <w:rPr>
                <w:rFonts w:ascii="Arial" w:hAnsi="Arial"/>
                <w:sz w:val="18"/>
              </w:rPr>
              <w:t>Payments and risk partner</w:t>
            </w:r>
          </w:p>
        </w:tc>
      </w:tr>
      <w:tr>
        <w:trPr>
          <w:cantSplit/>
        </w:trPr>
        <w:tc>
          <w:tcPr>
            <w:tcW w:type="dxa" w:w="792"/>
            <w:vAlign w:val="top"/>
            <w:shd w:fill="F3F6F7"/>
          </w:tcPr>
          <w:p>
            <w:pPr>
              <w:keepNext w:val="0"/>
              <w:spacing w:after="50" w:before="20" w:line="250" w:lineRule="auto"/>
            </w:pPr>
            <w:r>
              <w:rPr>
                <w:rFonts w:ascii="Arial" w:hAnsi="Arial"/>
                <w:sz w:val="18"/>
              </w:rPr>
              <w:t>MSG</w:t>
            </w:r>
          </w:p>
        </w:tc>
        <w:tc>
          <w:tcPr>
            <w:tcW w:type="dxa" w:w="4320"/>
            <w:vAlign w:val="top"/>
            <w:shd w:fill="F3F6F7"/>
          </w:tcPr>
          <w:p>
            <w:pPr>
              <w:keepNext w:val="0"/>
              <w:spacing w:after="50" w:before="20" w:line="250" w:lineRule="auto"/>
            </w:pPr>
            <w:r>
              <w:rPr>
                <w:rFonts w:ascii="Arial" w:hAnsi="Arial"/>
                <w:sz w:val="18"/>
              </w:rPr>
              <w:t>Messaging operations</w:t>
            </w:r>
          </w:p>
        </w:tc>
        <w:tc>
          <w:tcPr>
            <w:tcW w:type="dxa" w:w="792"/>
            <w:vAlign w:val="top"/>
            <w:shd w:fill="F3F6F7"/>
          </w:tcPr>
          <w:p>
            <w:pPr>
              <w:keepNext w:val="0"/>
              <w:spacing w:after="50" w:before="20" w:line="250" w:lineRule="auto"/>
            </w:pPr>
            <w:r>
              <w:rPr>
                <w:rFonts w:ascii="Arial" w:hAnsi="Arial"/>
                <w:sz w:val="18"/>
              </w:rPr>
              <w:t>MIG</w:t>
            </w:r>
          </w:p>
        </w:tc>
        <w:tc>
          <w:tcPr>
            <w:tcW w:type="dxa" w:w="4320"/>
            <w:vAlign w:val="top"/>
            <w:shd w:fill="F3F6F7"/>
          </w:tcPr>
          <w:p>
            <w:pPr>
              <w:keepNext w:val="0"/>
              <w:spacing w:after="50" w:before="20" w:line="250" w:lineRule="auto"/>
            </w:pPr>
            <w:r>
              <w:rPr>
                <w:rFonts w:ascii="Arial" w:hAnsi="Arial"/>
                <w:sz w:val="18"/>
              </w:rPr>
              <w:t>Migration operations</w:t>
            </w:r>
          </w:p>
        </w:tc>
      </w:tr>
      <w:tr>
        <w:trPr>
          <w:cantSplit/>
        </w:trPr>
        <w:tc>
          <w:tcPr>
            <w:tcW w:type="dxa" w:w="792"/>
            <w:vAlign w:val="top"/>
          </w:tcPr>
          <w:p>
            <w:pPr>
              <w:keepNext w:val="0"/>
              <w:spacing w:after="50" w:before="20" w:line="250" w:lineRule="auto"/>
            </w:pPr>
            <w:r>
              <w:rPr>
                <w:rFonts w:ascii="Arial" w:hAnsi="Arial"/>
                <w:sz w:val="18"/>
              </w:rPr>
              <w:t>OPS</w:t>
            </w:r>
          </w:p>
        </w:tc>
        <w:tc>
          <w:tcPr>
            <w:tcW w:type="dxa" w:w="4320"/>
            <w:vAlign w:val="top"/>
          </w:tcPr>
          <w:p>
            <w:pPr>
              <w:keepNext w:val="0"/>
              <w:spacing w:after="50" w:before="20" w:line="250" w:lineRule="auto"/>
            </w:pPr>
            <w:r>
              <w:rPr>
                <w:rFonts w:ascii="Arial" w:hAnsi="Arial"/>
                <w:sz w:val="18"/>
              </w:rPr>
              <w:t>Human service and reliability</w:t>
            </w:r>
          </w:p>
        </w:tc>
        <w:tc>
          <w:tcPr>
            <w:tcW w:type="dxa" w:w="792"/>
            <w:vAlign w:val="top"/>
          </w:tcPr>
          <w:p>
            <w:pPr>
              <w:keepNext w:val="0"/>
              <w:spacing w:after="50" w:before="20" w:line="250" w:lineRule="auto"/>
            </w:pPr>
            <w:r>
              <w:rPr>
                <w:rFonts w:ascii="Arial" w:hAnsi="Arial"/>
                <w:sz w:val="18"/>
              </w:rPr>
              <w:t>SEC</w:t>
            </w:r>
          </w:p>
        </w:tc>
        <w:tc>
          <w:tcPr>
            <w:tcW w:type="dxa" w:w="4320"/>
            <w:vAlign w:val="top"/>
          </w:tcPr>
          <w:p>
            <w:pPr>
              <w:keepNext w:val="0"/>
              <w:spacing w:after="50" w:before="20" w:line="250" w:lineRule="auto"/>
            </w:pPr>
            <w:r>
              <w:rPr>
                <w:rFonts w:ascii="Arial" w:hAnsi="Arial"/>
                <w:sz w:val="18"/>
              </w:rPr>
              <w:t>Security engineering</w:t>
            </w:r>
          </w:p>
        </w:tc>
      </w:tr>
      <w:tr>
        <w:trPr>
          <w:cantSplit/>
        </w:trPr>
        <w:tc>
          <w:tcPr>
            <w:tcW w:type="dxa" w:w="792"/>
            <w:vAlign w:val="top"/>
            <w:shd w:fill="F3F6F7"/>
          </w:tcPr>
          <w:p>
            <w:pPr>
              <w:keepNext w:val="0"/>
              <w:spacing w:after="50" w:before="20" w:line="250" w:lineRule="auto"/>
            </w:pPr>
            <w:r>
              <w:rPr>
                <w:rFonts w:ascii="Arial" w:hAnsi="Arial"/>
                <w:sz w:val="18"/>
              </w:rPr>
              <w:t>DATA</w:t>
            </w:r>
          </w:p>
        </w:tc>
        <w:tc>
          <w:tcPr>
            <w:tcW w:type="dxa" w:w="4320"/>
            <w:vAlign w:val="top"/>
            <w:shd w:fill="F3F6F7"/>
          </w:tcPr>
          <w:p>
            <w:pPr>
              <w:keepNext w:val="0"/>
              <w:spacing w:after="50" w:before="20" w:line="250" w:lineRule="auto"/>
            </w:pPr>
            <w:r>
              <w:rPr>
                <w:rFonts w:ascii="Arial" w:hAnsi="Arial"/>
                <w:sz w:val="18"/>
              </w:rPr>
              <w:t>Analytics and modeling</w:t>
            </w:r>
          </w:p>
        </w:tc>
        <w:tc>
          <w:tcPr>
            <w:tcW w:type="dxa" w:w="792"/>
            <w:vAlign w:val="top"/>
            <w:shd w:fill="F3F6F7"/>
          </w:tcPr>
          <w:p>
            <w:pPr>
              <w:keepNext w:val="0"/>
              <w:spacing w:after="50" w:before="20" w:line="250" w:lineRule="auto"/>
            </w:pPr>
            <w:r>
              <w:rPr>
                <w:rFonts w:ascii="Arial" w:hAnsi="Arial"/>
                <w:sz w:val="18"/>
              </w:rPr>
              <w:t>AI</w:t>
            </w:r>
          </w:p>
        </w:tc>
        <w:tc>
          <w:tcPr>
            <w:tcW w:type="dxa" w:w="4320"/>
            <w:vAlign w:val="top"/>
            <w:shd w:fill="F3F6F7"/>
          </w:tcPr>
          <w:p>
            <w:pPr>
              <w:keepNext w:val="0"/>
              <w:spacing w:after="50" w:before="20" w:line="250" w:lineRule="auto"/>
            </w:pPr>
            <w:r>
              <w:rPr>
                <w:rFonts w:ascii="Arial" w:hAnsi="Arial"/>
                <w:sz w:val="18"/>
              </w:rPr>
              <w:t>Applied AI evaluation</w:t>
            </w:r>
          </w:p>
        </w:tc>
      </w:tr>
      <w:tr>
        <w:trPr>
          <w:cantSplit/>
        </w:trPr>
        <w:tc>
          <w:tcPr>
            <w:tcW w:type="dxa" w:w="792"/>
            <w:vAlign w:val="top"/>
          </w:tcPr>
          <w:p>
            <w:pPr>
              <w:keepNext w:val="0"/>
              <w:spacing w:after="50" w:before="20" w:line="250" w:lineRule="auto"/>
            </w:pPr>
            <w:r>
              <w:rPr>
                <w:rFonts w:ascii="Arial" w:hAnsi="Arial"/>
                <w:sz w:val="18"/>
              </w:rPr>
              <w:t>PART</w:t>
            </w:r>
          </w:p>
        </w:tc>
        <w:tc>
          <w:tcPr>
            <w:tcW w:type="dxa" w:w="4320"/>
            <w:vAlign w:val="top"/>
          </w:tcPr>
          <w:p>
            <w:pPr>
              <w:keepNext w:val="0"/>
              <w:spacing w:after="50" w:before="20" w:line="250" w:lineRule="auto"/>
            </w:pPr>
            <w:r>
              <w:rPr>
                <w:rFonts w:ascii="Arial" w:hAnsi="Arial"/>
                <w:sz w:val="18"/>
              </w:rPr>
              <w:t>Commercial/API/device partner</w:t>
            </w:r>
          </w:p>
        </w:tc>
        <w:tc>
          <w:tcPr>
            <w:tcW w:type="dxa" w:w="792"/>
            <w:vAlign w:val="top"/>
          </w:tcPr>
          <w:p>
            <w:pPr>
              <w:keepNext w:val="0"/>
              <w:spacing w:after="50" w:before="20" w:line="250" w:lineRule="auto"/>
            </w:pPr>
            <w:r>
              <w:rPr>
                <w:rFonts w:ascii="Arial" w:hAnsi="Arial"/>
                <w:sz w:val="18"/>
              </w:rPr>
              <w:t>NET</w:t>
            </w:r>
          </w:p>
        </w:tc>
        <w:tc>
          <w:tcPr>
            <w:tcW w:type="dxa" w:w="4320"/>
            <w:vAlign w:val="top"/>
          </w:tcPr>
          <w:p>
            <w:pPr>
              <w:keepNext w:val="0"/>
              <w:spacing w:after="50" w:before="20" w:line="250" w:lineRule="auto"/>
            </w:pPr>
            <w:r>
              <w:rPr>
                <w:rFonts w:ascii="Arial" w:hAnsi="Arial"/>
                <w:sz w:val="18"/>
              </w:rPr>
              <w:t>Recruited external network</w:t>
            </w:r>
          </w:p>
        </w:tc>
      </w:tr>
      <w:tr>
        <w:trPr>
          <w:cantSplit/>
        </w:trPr>
        <w:tc>
          <w:tcPr>
            <w:tcW w:type="dxa" w:w="792"/>
            <w:vAlign w:val="top"/>
            <w:shd w:fill="F3F6F7"/>
          </w:tcPr>
          <w:p>
            <w:pPr>
              <w:keepNext w:val="0"/>
              <w:spacing w:after="50" w:before="20" w:line="250" w:lineRule="auto"/>
            </w:pPr>
            <w:r>
              <w:rPr>
                <w:rFonts w:ascii="Arial" w:hAnsi="Arial"/>
                <w:sz w:val="18"/>
              </w:rPr>
              <w:t>LANG</w:t>
            </w:r>
          </w:p>
        </w:tc>
        <w:tc>
          <w:tcPr>
            <w:tcW w:type="dxa" w:w="4320"/>
            <w:vAlign w:val="top"/>
            <w:shd w:fill="F3F6F7"/>
          </w:tcPr>
          <w:p>
            <w:pPr>
              <w:keepNext w:val="0"/>
              <w:spacing w:after="50" w:before="20" w:line="250" w:lineRule="auto"/>
            </w:pPr>
            <w:r>
              <w:rPr>
                <w:rFonts w:ascii="Arial" w:hAnsi="Arial"/>
                <w:sz w:val="18"/>
              </w:rPr>
              <w:t>Translation review</w:t>
            </w:r>
          </w:p>
        </w:tc>
        <w:tc>
          <w:tcPr>
            <w:tcW w:type="dxa" w:w="792"/>
            <w:vAlign w:val="top"/>
            <w:shd w:fill="F3F6F7"/>
          </w:tcPr>
          <w:p>
            <w:pPr>
              <w:keepNext w:val="0"/>
              <w:spacing w:after="50" w:before="20" w:line="250" w:lineRule="auto"/>
            </w:pPr>
            <w:r>
              <w:rPr>
                <w:rFonts w:ascii="Arial" w:hAnsi="Arial"/>
                <w:sz w:val="18"/>
              </w:rPr>
              <w:t>CORE</w:t>
            </w:r>
          </w:p>
        </w:tc>
        <w:tc>
          <w:tcPr>
            <w:tcW w:type="dxa" w:w="4320"/>
            <w:vAlign w:val="top"/>
            <w:shd w:fill="F3F6F7"/>
          </w:tcPr>
          <w:p>
            <w:pPr>
              <w:keepNext w:val="0"/>
              <w:spacing w:after="50" w:before="20" w:line="250" w:lineRule="auto"/>
            </w:pPr>
            <w:r>
              <w:rPr>
                <w:rFonts w:ascii="Arial" w:hAnsi="Arial"/>
                <w:sz w:val="18"/>
              </w:rPr>
              <w:t>Core product team</w:t>
            </w:r>
          </w:p>
        </w:tc>
      </w:tr>
    </w:tbl>
    <w:p>
      <w:pPr>
        <w:spacing w:after="40" w:before="0" w:line="240" w:lineRule="auto"/>
      </w:pPr>
      <w:r>
        <w:rPr>
          <w:sz w:val="4"/>
        </w:rPr>
      </w:r>
    </w:p>
    <w:p>
      <w:r>
        <w:t>Basis codes: B = established baseline; I = workflow improvement; T = transferred pattern; H = hypothesis. These describe provenance, not priority or validated demand. WB F5 means Feature Matrix sheet row 5, C means Complaints, U means Unexpected Wins, and A means Adjacent Industries. Three-digit IDs such as F075 identify this report’s features. Source codes such as GG09 or X06 resolve in Chapter 11.</w:t>
      </w:r>
    </w:p>
    <w:p>
      <w:r>
        <w:t>Scope distinctions prevent duplicate work: F022 is rule-based service choice while F154 adds evaluated assistance; F012 provides a demo and F196 checks task mastery; F015 is a task queue and F018 is a digest; F057 exports structured records and F119 builds the complete exit archive. F140 separates renter merchants, F198 administers rent, and F171 adds short-term facility reservations.</w:t>
      </w:r>
    </w:p>
    <w:p>
      <w:pPr>
        <w:pStyle w:val="Heading2"/>
      </w:pPr>
      <w:r>
        <w:t>D1 Simple configuration and content</w:t>
      </w:r>
    </w:p>
    <w:p>
      <w:r>
        <w:t>Mostly templates, content, settings and focused interfaces after core services exist. 24 features.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4392"/>
        <w:gridCol w:w="3744"/>
        <w:gridCol w:w="2088"/>
      </w:tblGrid>
      <w:tr>
        <w:trPr>
          <w:tblHeader/>
        </w:trPr>
        <w:tc>
          <w:tcPr>
            <w:tcW w:type="dxa" w:w="4392"/>
            <w:vAlign w:val="top"/>
            <w:shd w:fill="173F50"/>
          </w:tcPr>
          <w:p>
            <w:pPr>
              <w:keepNext/>
              <w:spacing w:after="50" w:before="20" w:line="250" w:lineRule="auto"/>
            </w:pPr>
            <w:r>
              <w:rPr>
                <w:rFonts w:ascii="Arial" w:hAnsi="Arial"/>
                <w:b/>
                <w:color w:val="FFFFFF"/>
                <w:sz w:val="18"/>
              </w:rPr>
              <w:t>Feature and proposed scope</w:t>
            </w:r>
          </w:p>
        </w:tc>
        <w:tc>
          <w:tcPr>
            <w:tcW w:type="dxa" w:w="3744"/>
            <w:vAlign w:val="top"/>
            <w:shd w:fill="173F50"/>
          </w:tcPr>
          <w:p>
            <w:pPr>
              <w:keepNext/>
              <w:spacing w:after="50" w:before="20" w:line="250" w:lineRule="auto"/>
            </w:pPr>
            <w:r>
              <w:rPr>
                <w:rFonts w:ascii="Arial" w:hAnsi="Arial"/>
                <w:b/>
                <w:color w:val="FFFFFF"/>
                <w:sz w:val="18"/>
              </w:rPr>
              <w:t>Dependencies and acceptance</w:t>
            </w:r>
          </w:p>
        </w:tc>
        <w:tc>
          <w:tcPr>
            <w:tcW w:type="dxa" w:w="2088"/>
            <w:vAlign w:val="top"/>
            <w:shd w:fill="173F50"/>
          </w:tcPr>
          <w:p>
            <w:pPr>
              <w:keepNext/>
              <w:spacing w:after="50" w:before="20" w:line="250" w:lineRule="auto"/>
            </w:pPr>
            <w:r>
              <w:rPr>
                <w:rFonts w:ascii="Arial" w:hAnsi="Arial"/>
                <w:b/>
                <w:color w:val="FFFFFF"/>
                <w:sz w:val="18"/>
              </w:rPr>
              <w:t>Release and people</w:t>
            </w:r>
          </w:p>
        </w:tc>
      </w:tr>
      <w:tr>
        <w:trPr>
          <w:cantSplit/>
        </w:trPr>
        <w:tc>
          <w:tcPr>
            <w:tcW w:type="dxa" w:w="4392"/>
            <w:vAlign w:val="top"/>
          </w:tcPr>
          <w:p>
            <w:pPr>
              <w:keepNext w:val="0"/>
              <w:spacing w:after="50" w:before="20" w:line="250" w:lineRule="auto"/>
            </w:pPr>
            <w:r>
              <w:rPr>
                <w:rFonts w:ascii="Arial" w:hAnsi="Arial"/>
                <w:b/>
                <w:sz w:val="18"/>
              </w:rPr>
              <w:t>F001  Reusable brand kit</w:t>
            </w:r>
            <w:r>
              <w:rPr>
                <w:rFonts w:ascii="Arial" w:hAnsi="Arial"/>
                <w:b w:val="0"/>
                <w:sz w:val="18"/>
              </w:rPr>
              <w:br/>
              <w:t>Save logo, colors, fonts, tone and contact details once. Show an accessible preview before applying the kit.</w:t>
            </w:r>
          </w:p>
        </w:tc>
        <w:tc>
          <w:tcPr>
            <w:tcW w:type="dxa" w:w="3744"/>
            <w:vAlign w:val="top"/>
          </w:tcPr>
          <w:p>
            <w:pPr>
              <w:keepNext w:val="0"/>
              <w:spacing w:after="50" w:before="20" w:line="250" w:lineRule="auto"/>
            </w:pPr>
            <w:r>
              <w:rPr>
                <w:rFonts w:ascii="Arial" w:hAnsi="Arial"/>
                <w:sz w:val="18"/>
              </w:rPr>
              <w:t>Template system. Brand changes affect new drafts and future outputs; every issued or signed record preserves its original version.</w:t>
            </w:r>
          </w:p>
        </w:tc>
        <w:tc>
          <w:tcPr>
            <w:tcW w:type="dxa" w:w="2088"/>
            <w:vAlign w:val="top"/>
          </w:tcPr>
          <w:p>
            <w:pPr>
              <w:keepNext w:val="0"/>
              <w:spacing w:after="50" w:before="20" w:line="250" w:lineRule="auto"/>
            </w:pPr>
            <w:r>
              <w:rPr>
                <w:rFonts w:ascii="Arial" w:hAnsi="Arial"/>
                <w:sz w:val="18"/>
              </w:rPr>
              <w:t>Launch candidate (L)</w:t>
              <w:br/>
              <w:t>People: DES</w:t>
              <w:br/>
              <w:t>Basis: T; brand consistency</w:t>
            </w:r>
          </w:p>
        </w:tc>
      </w:tr>
      <w:tr>
        <w:trPr>
          <w:cantSplit/>
        </w:trPr>
        <w:tc>
          <w:tcPr>
            <w:tcW w:type="dxa" w:w="4392"/>
            <w:vAlign w:val="top"/>
            <w:shd w:fill="F3F6F7"/>
          </w:tcPr>
          <w:p>
            <w:pPr>
              <w:keepNext w:val="0"/>
              <w:spacing w:after="50" w:before="20" w:line="250" w:lineRule="auto"/>
            </w:pPr>
            <w:r>
              <w:rPr>
                <w:rFonts w:ascii="Arial" w:hAnsi="Arial"/>
                <w:b/>
                <w:sz w:val="18"/>
              </w:rPr>
              <w:t>F002  Clear service catalog</w:t>
            </w:r>
            <w:r>
              <w:rPr>
                <w:rFonts w:ascii="Arial" w:hAnsi="Arial"/>
                <w:b w:val="0"/>
                <w:sz w:val="18"/>
              </w:rPr>
              <w:br/>
              <w:t>Name services in client language with preparation, add-ons and honest prices. Support provider-specific price and duration overrides with effective dates.</w:t>
            </w:r>
          </w:p>
        </w:tc>
        <w:tc>
          <w:tcPr>
            <w:tcW w:type="dxa" w:w="3744"/>
            <w:vAlign w:val="top"/>
            <w:shd w:fill="F3F6F7"/>
          </w:tcPr>
          <w:p>
            <w:pPr>
              <w:keepNext w:val="0"/>
              <w:spacing w:after="50" w:before="20" w:line="250" w:lineRule="auto"/>
            </w:pPr>
            <w:r>
              <w:rPr>
                <w:rFonts w:ascii="Arial" w:hAnsi="Arial"/>
                <w:sz w:val="18"/>
              </w:rPr>
              <w:t>Catalog editor; F075 resolves overrides. Booking, estimates and checkout use the same effective version; historic transactions retain their quoted price.</w:t>
            </w:r>
          </w:p>
        </w:tc>
        <w:tc>
          <w:tcPr>
            <w:tcW w:type="dxa" w:w="2088"/>
            <w:vAlign w:val="top"/>
            <w:shd w:fill="F3F6F7"/>
          </w:tcPr>
          <w:p>
            <w:pPr>
              <w:keepNext w:val="0"/>
              <w:spacing w:after="50" w:before="20" w:line="250" w:lineRule="auto"/>
            </w:pPr>
            <w:r>
              <w:rPr>
                <w:rFonts w:ascii="Arial" w:hAnsi="Arial"/>
                <w:sz w:val="18"/>
              </w:rPr>
              <w:t>Launch candidate (L)</w:t>
              <w:br/>
              <w:t>People: CORE</w:t>
              <w:br/>
              <w:t>Basis: B; WB F5 F12</w:t>
            </w:r>
          </w:p>
        </w:tc>
      </w:tr>
      <w:tr>
        <w:trPr>
          <w:cantSplit/>
        </w:trPr>
        <w:tc>
          <w:tcPr>
            <w:tcW w:type="dxa" w:w="4392"/>
            <w:vAlign w:val="top"/>
          </w:tcPr>
          <w:p>
            <w:pPr>
              <w:keepNext w:val="0"/>
              <w:spacing w:after="50" w:before="20" w:line="250" w:lineRule="auto"/>
            </w:pPr>
            <w:r>
              <w:rPr>
                <w:rFonts w:ascii="Arial" w:hAnsi="Arial"/>
                <w:b/>
                <w:sz w:val="18"/>
              </w:rPr>
              <w:t>F003  Staff profiles and portfolios</w:t>
            </w:r>
            <w:r>
              <w:rPr>
                <w:rFonts w:ascii="Arial" w:hAnsi="Arial"/>
                <w:b w:val="0"/>
                <w:sz w:val="18"/>
              </w:rPr>
              <w:br/>
              <w:t>Publish skills, service eligibility, languages and consented work examples. Let owners choose what is public.</w:t>
            </w:r>
          </w:p>
        </w:tc>
        <w:tc>
          <w:tcPr>
            <w:tcW w:type="dxa" w:w="3744"/>
            <w:vAlign w:val="top"/>
          </w:tcPr>
          <w:p>
            <w:pPr>
              <w:keepNext w:val="0"/>
              <w:spacing w:after="50" w:before="20" w:line="250" w:lineRule="auto"/>
            </w:pPr>
            <w:r>
              <w:rPr>
                <w:rFonts w:ascii="Arial" w:hAnsi="Arial"/>
                <w:sz w:val="18"/>
              </w:rPr>
              <w:t>Staff and media records. An unpublished employee never appears in public search.</w:t>
            </w:r>
          </w:p>
        </w:tc>
        <w:tc>
          <w:tcPr>
            <w:tcW w:type="dxa" w:w="2088"/>
            <w:vAlign w:val="top"/>
          </w:tcPr>
          <w:p>
            <w:pPr>
              <w:keepNext w:val="0"/>
              <w:spacing w:after="50" w:before="20" w:line="250" w:lineRule="auto"/>
            </w:pPr>
            <w:r>
              <w:rPr>
                <w:rFonts w:ascii="Arial" w:hAnsi="Arial"/>
                <w:sz w:val="18"/>
              </w:rPr>
              <w:t>Launch candidate (L)</w:t>
              <w:br/>
              <w:t>People: CORE</w:t>
              <w:br/>
              <w:t>Basis: B; WB F14</w:t>
            </w:r>
          </w:p>
        </w:tc>
      </w:tr>
      <w:tr>
        <w:trPr>
          <w:cantSplit/>
        </w:trPr>
        <w:tc>
          <w:tcPr>
            <w:tcW w:type="dxa" w:w="4392"/>
            <w:vAlign w:val="top"/>
            <w:shd w:fill="F3F6F7"/>
          </w:tcPr>
          <w:p>
            <w:pPr>
              <w:keepNext w:val="0"/>
              <w:spacing w:after="50" w:before="20" w:line="250" w:lineRule="auto"/>
            </w:pPr>
            <w:r>
              <w:rPr>
                <w:rFonts w:ascii="Arial" w:hAnsi="Arial"/>
                <w:b/>
                <w:sz w:val="18"/>
              </w:rPr>
              <w:t>F004  Plain language policies</w:t>
            </w:r>
            <w:r>
              <w:rPr>
                <w:rFonts w:ascii="Arial" w:hAnsi="Arial"/>
                <w:b w:val="0"/>
                <w:sz w:val="18"/>
              </w:rPr>
              <w:br/>
              <w:t>Display deposits, cancellation windows, refunds and accessibility contacts before the client commits.</w:t>
            </w:r>
          </w:p>
        </w:tc>
        <w:tc>
          <w:tcPr>
            <w:tcW w:type="dxa" w:w="3744"/>
            <w:vAlign w:val="top"/>
            <w:shd w:fill="F3F6F7"/>
          </w:tcPr>
          <w:p>
            <w:pPr>
              <w:keepNext w:val="0"/>
              <w:spacing w:after="50" w:before="20" w:line="250" w:lineRule="auto"/>
            </w:pPr>
            <w:r>
              <w:rPr>
                <w:rFonts w:ascii="Arial" w:hAnsi="Arial"/>
                <w:sz w:val="18"/>
              </w:rPr>
              <w:t>Versioned policy text. Booking shows the exact policy version attached to the visit.</w:t>
            </w:r>
          </w:p>
        </w:tc>
        <w:tc>
          <w:tcPr>
            <w:tcW w:type="dxa" w:w="2088"/>
            <w:vAlign w:val="top"/>
            <w:shd w:fill="F3F6F7"/>
          </w:tcPr>
          <w:p>
            <w:pPr>
              <w:keepNext w:val="0"/>
              <w:spacing w:after="50" w:before="20" w:line="250" w:lineRule="auto"/>
            </w:pPr>
            <w:r>
              <w:rPr>
                <w:rFonts w:ascii="Arial" w:hAnsi="Arial"/>
                <w:sz w:val="18"/>
              </w:rPr>
              <w:t>Launch candidate (L)</w:t>
              <w:br/>
              <w:t>People: LEG</w:t>
              <w:br/>
              <w:t>Basis: I; WB F8</w:t>
            </w:r>
          </w:p>
        </w:tc>
      </w:tr>
      <w:tr>
        <w:trPr>
          <w:cantSplit/>
        </w:trPr>
        <w:tc>
          <w:tcPr>
            <w:tcW w:type="dxa" w:w="4392"/>
            <w:vAlign w:val="top"/>
          </w:tcPr>
          <w:p>
            <w:pPr>
              <w:keepNext w:val="0"/>
              <w:spacing w:after="50" w:before="20" w:line="250" w:lineRule="auto"/>
            </w:pPr>
            <w:r>
              <w:rPr>
                <w:rFonts w:ascii="Arial" w:hAnsi="Arial"/>
                <w:b/>
                <w:sz w:val="18"/>
              </w:rPr>
              <w:t>F005  Direct booking links and QR codes</w:t>
            </w:r>
            <w:r>
              <w:rPr>
                <w:rFonts w:ascii="Arial" w:hAnsi="Arial"/>
                <w:b w:val="0"/>
                <w:sz w:val="18"/>
              </w:rPr>
              <w:br/>
              <w:t>Generate business, service and practitioner links for social bios, printed cards and referrals.</w:t>
            </w:r>
          </w:p>
        </w:tc>
        <w:tc>
          <w:tcPr>
            <w:tcW w:type="dxa" w:w="3744"/>
            <w:vAlign w:val="top"/>
          </w:tcPr>
          <w:p>
            <w:pPr>
              <w:keepNext w:val="0"/>
              <w:spacing w:after="50" w:before="20" w:line="250" w:lineRule="auto"/>
            </w:pPr>
            <w:r>
              <w:rPr>
                <w:rFonts w:ascii="Arial" w:hAnsi="Arial"/>
                <w:sz w:val="18"/>
              </w:rPr>
              <w:t>Public routes. A link opens the intended service with its business identity intact.</w:t>
            </w:r>
          </w:p>
        </w:tc>
        <w:tc>
          <w:tcPr>
            <w:tcW w:type="dxa" w:w="2088"/>
            <w:vAlign w:val="top"/>
          </w:tcPr>
          <w:p>
            <w:pPr>
              <w:keepNext w:val="0"/>
              <w:spacing w:after="50" w:before="20" w:line="250" w:lineRule="auto"/>
            </w:pPr>
            <w:r>
              <w:rPr>
                <w:rFonts w:ascii="Arial" w:hAnsi="Arial"/>
                <w:sz w:val="18"/>
              </w:rPr>
              <w:t>Launch candidate (L)</w:t>
              <w:br/>
              <w:t>People: CORE</w:t>
              <w:br/>
              <w:t>Basis: B; WB F10 F11</w:t>
            </w:r>
          </w:p>
        </w:tc>
      </w:tr>
      <w:tr>
        <w:trPr>
          <w:cantSplit/>
        </w:trPr>
        <w:tc>
          <w:tcPr>
            <w:tcW w:type="dxa" w:w="4392"/>
            <w:vAlign w:val="top"/>
            <w:shd w:fill="F3F6F7"/>
          </w:tcPr>
          <w:p>
            <w:pPr>
              <w:keepNext w:val="0"/>
              <w:spacing w:after="50" w:before="20" w:line="250" w:lineRule="auto"/>
            </w:pPr>
            <w:r>
              <w:rPr>
                <w:rFonts w:ascii="Arial" w:hAnsi="Arial"/>
                <w:b/>
                <w:sz w:val="18"/>
              </w:rPr>
              <w:t>F006  Printable branded materials</w:t>
            </w:r>
            <w:r>
              <w:rPr>
                <w:rFonts w:ascii="Arial" w:hAnsi="Arial"/>
                <w:b w:val="0"/>
                <w:sz w:val="18"/>
              </w:rPr>
              <w:br/>
              <w:t>Generate price menus, preparation cards, appointment cards and gift envelopes from reusable layouts.</w:t>
            </w:r>
          </w:p>
        </w:tc>
        <w:tc>
          <w:tcPr>
            <w:tcW w:type="dxa" w:w="3744"/>
            <w:vAlign w:val="top"/>
            <w:shd w:fill="F3F6F7"/>
          </w:tcPr>
          <w:p>
            <w:pPr>
              <w:keepNext w:val="0"/>
              <w:spacing w:after="50" w:before="20" w:line="250" w:lineRule="auto"/>
            </w:pPr>
            <w:r>
              <w:rPr>
                <w:rFonts w:ascii="Arial" w:hAnsi="Arial"/>
                <w:sz w:val="18"/>
              </w:rPr>
              <w:t>Brand kit and catalog. Printed prices match the live catalog at generation time.</w:t>
            </w:r>
          </w:p>
        </w:tc>
        <w:tc>
          <w:tcPr>
            <w:tcW w:type="dxa" w:w="2088"/>
            <w:vAlign w:val="top"/>
            <w:shd w:fill="F3F6F7"/>
          </w:tcPr>
          <w:p>
            <w:pPr>
              <w:keepNext w:val="0"/>
              <w:spacing w:after="50" w:before="20" w:line="250" w:lineRule="auto"/>
            </w:pPr>
            <w:r>
              <w:rPr>
                <w:rFonts w:ascii="Arial" w:hAnsi="Arial"/>
                <w:sz w:val="18"/>
              </w:rPr>
              <w:t>Launch candidate (L)</w:t>
              <w:br/>
              <w:t>People: DES</w:t>
              <w:br/>
              <w:t>Basis: T; document generation</w:t>
            </w:r>
          </w:p>
        </w:tc>
      </w:tr>
      <w:tr>
        <w:trPr>
          <w:cantSplit/>
        </w:trPr>
        <w:tc>
          <w:tcPr>
            <w:tcW w:type="dxa" w:w="4392"/>
            <w:vAlign w:val="top"/>
          </w:tcPr>
          <w:p>
            <w:pPr>
              <w:keepNext w:val="0"/>
              <w:spacing w:after="50" w:before="20" w:line="250" w:lineRule="auto"/>
            </w:pPr>
            <w:r>
              <w:rPr>
                <w:rFonts w:ascii="Arial" w:hAnsi="Arial"/>
                <w:b/>
                <w:sz w:val="18"/>
              </w:rPr>
              <w:t>F007  Message template library</w:t>
            </w:r>
            <w:r>
              <w:rPr>
                <w:rFonts w:ascii="Arial" w:hAnsi="Arial"/>
                <w:b w:val="0"/>
                <w:sz w:val="18"/>
              </w:rPr>
              <w:br/>
              <w:t>Offer editable confirmations, reschedule notices, aftercare introductions and reply snippets in the business voice.</w:t>
            </w:r>
          </w:p>
        </w:tc>
        <w:tc>
          <w:tcPr>
            <w:tcW w:type="dxa" w:w="3744"/>
            <w:vAlign w:val="top"/>
          </w:tcPr>
          <w:p>
            <w:pPr>
              <w:keepNext w:val="0"/>
              <w:spacing w:after="50" w:before="20" w:line="250" w:lineRule="auto"/>
            </w:pPr>
            <w:r>
              <w:rPr>
                <w:rFonts w:ascii="Arial" w:hAnsi="Arial"/>
                <w:sz w:val="18"/>
              </w:rPr>
              <w:t>Brand kit and variables. Preview catches missing names, prices or dates before sending.</w:t>
            </w:r>
          </w:p>
        </w:tc>
        <w:tc>
          <w:tcPr>
            <w:tcW w:type="dxa" w:w="2088"/>
            <w:vAlign w:val="top"/>
          </w:tcPr>
          <w:p>
            <w:pPr>
              <w:keepNext w:val="0"/>
              <w:spacing w:after="50" w:before="20" w:line="250" w:lineRule="auto"/>
            </w:pPr>
            <w:r>
              <w:rPr>
                <w:rFonts w:ascii="Arial" w:hAnsi="Arial"/>
                <w:sz w:val="18"/>
              </w:rPr>
              <w:t>Launch candidate (L)</w:t>
              <w:br/>
              <w:t>People: DES</w:t>
              <w:br/>
              <w:t>Basis: B; WB F48 F49</w:t>
            </w:r>
          </w:p>
        </w:tc>
      </w:tr>
      <w:tr>
        <w:trPr>
          <w:cantSplit/>
        </w:trPr>
        <w:tc>
          <w:tcPr>
            <w:tcW w:type="dxa" w:w="4392"/>
            <w:vAlign w:val="top"/>
            <w:shd w:fill="F3F6F7"/>
          </w:tcPr>
          <w:p>
            <w:pPr>
              <w:keepNext w:val="0"/>
              <w:spacing w:after="50" w:before="20" w:line="250" w:lineRule="auto"/>
            </w:pPr>
            <w:r>
              <w:rPr>
                <w:rFonts w:ascii="Arial" w:hAnsi="Arial"/>
                <w:b/>
                <w:sz w:val="18"/>
              </w:rPr>
              <w:t>F008  Document content library</w:t>
            </w:r>
            <w:r>
              <w:rPr>
                <w:rFonts w:ascii="Arial" w:hAnsi="Arial"/>
                <w:b w:val="0"/>
                <w:sz w:val="18"/>
              </w:rPr>
              <w:br/>
              <w:t>Store approved paragraphs, fields and template versions for service plans, consents, policies and staff documents.</w:t>
            </w:r>
          </w:p>
        </w:tc>
        <w:tc>
          <w:tcPr>
            <w:tcW w:type="dxa" w:w="3744"/>
            <w:vAlign w:val="top"/>
            <w:shd w:fill="F3F6F7"/>
          </w:tcPr>
          <w:p>
            <w:pPr>
              <w:keepNext w:val="0"/>
              <w:spacing w:after="50" w:before="20" w:line="250" w:lineRule="auto"/>
            </w:pPr>
            <w:r>
              <w:rPr>
                <w:rFonts w:ascii="Arial" w:hAnsi="Arial"/>
                <w:sz w:val="18"/>
              </w:rPr>
              <w:t>Versioned templates. Required fields and author approval are visible before release.</w:t>
            </w:r>
          </w:p>
        </w:tc>
        <w:tc>
          <w:tcPr>
            <w:tcW w:type="dxa" w:w="2088"/>
            <w:vAlign w:val="top"/>
            <w:shd w:fill="F3F6F7"/>
          </w:tcPr>
          <w:p>
            <w:pPr>
              <w:keepNext w:val="0"/>
              <w:spacing w:after="50" w:before="20" w:line="250" w:lineRule="auto"/>
            </w:pPr>
            <w:r>
              <w:rPr>
                <w:rFonts w:ascii="Arial" w:hAnsi="Arial"/>
                <w:sz w:val="18"/>
              </w:rPr>
              <w:t>Launch candidate (L)</w:t>
              <w:br/>
              <w:t>People: LEG CLIN</w:t>
              <w:br/>
              <w:t>Basis: I; document generation</w:t>
            </w:r>
          </w:p>
        </w:tc>
      </w:tr>
      <w:tr>
        <w:trPr>
          <w:cantSplit/>
        </w:trPr>
        <w:tc>
          <w:tcPr>
            <w:tcW w:type="dxa" w:w="4392"/>
            <w:vAlign w:val="top"/>
          </w:tcPr>
          <w:p>
            <w:pPr>
              <w:keepNext w:val="0"/>
              <w:spacing w:after="50" w:before="20" w:line="250" w:lineRule="auto"/>
            </w:pPr>
            <w:r>
              <w:rPr>
                <w:rFonts w:ascii="Arial" w:hAnsi="Arial"/>
                <w:b/>
                <w:sz w:val="18"/>
              </w:rPr>
              <w:t>F009  Staff SOPs and checklists</w:t>
            </w:r>
            <w:r>
              <w:rPr>
                <w:rFonts w:ascii="Arial" w:hAnsi="Arial"/>
                <w:b w:val="0"/>
                <w:sz w:val="18"/>
              </w:rPr>
              <w:br/>
              <w:t>Maintain opening, closing, cleaning, stock and equipment instructions with ownership and completion dates.</w:t>
            </w:r>
          </w:p>
        </w:tc>
        <w:tc>
          <w:tcPr>
            <w:tcW w:type="dxa" w:w="3744"/>
            <w:vAlign w:val="top"/>
          </w:tcPr>
          <w:p>
            <w:pPr>
              <w:keepNext w:val="0"/>
              <w:spacing w:after="50" w:before="20" w:line="250" w:lineRule="auto"/>
            </w:pPr>
            <w:r>
              <w:rPr>
                <w:rFonts w:ascii="Arial" w:hAnsi="Arial"/>
                <w:sz w:val="18"/>
              </w:rPr>
              <w:t>Task records. A change identifies who needs to acknowledge the new version.</w:t>
            </w:r>
          </w:p>
        </w:tc>
        <w:tc>
          <w:tcPr>
            <w:tcW w:type="dxa" w:w="2088"/>
            <w:vAlign w:val="top"/>
          </w:tcPr>
          <w:p>
            <w:pPr>
              <w:keepNext w:val="0"/>
              <w:spacing w:after="50" w:before="20" w:line="250" w:lineRule="auto"/>
            </w:pPr>
            <w:r>
              <w:rPr>
                <w:rFonts w:ascii="Arial" w:hAnsi="Arial"/>
                <w:sz w:val="18"/>
              </w:rPr>
              <w:t>Growth (G)</w:t>
              <w:br/>
              <w:t>People: OPS</w:t>
              <w:br/>
              <w:t>Basis: T; operational consistency</w:t>
            </w:r>
          </w:p>
        </w:tc>
      </w:tr>
      <w:tr>
        <w:trPr>
          <w:cantSplit/>
        </w:trPr>
        <w:tc>
          <w:tcPr>
            <w:tcW w:type="dxa" w:w="4392"/>
            <w:vAlign w:val="top"/>
            <w:shd w:fill="F3F6F7"/>
          </w:tcPr>
          <w:p>
            <w:pPr>
              <w:keepNext w:val="0"/>
              <w:spacing w:after="50" w:before="20" w:line="250" w:lineRule="auto"/>
            </w:pPr>
            <w:r>
              <w:rPr>
                <w:rFonts w:ascii="Arial" w:hAnsi="Arial"/>
                <w:b/>
                <w:sz w:val="18"/>
              </w:rPr>
              <w:t>F010  Progressive feature setup</w:t>
            </w:r>
            <w:r>
              <w:rPr>
                <w:rFonts w:ascii="Arial" w:hAnsi="Arial"/>
                <w:b w:val="0"/>
                <w:sz w:val="18"/>
              </w:rPr>
              <w:br/>
              <w:t>Start a solo practitioner with a small daily workspace and reveal teams, retail or classes when enabled.</w:t>
            </w:r>
          </w:p>
        </w:tc>
        <w:tc>
          <w:tcPr>
            <w:tcW w:type="dxa" w:w="3744"/>
            <w:vAlign w:val="top"/>
            <w:shd w:fill="F3F6F7"/>
          </w:tcPr>
          <w:p>
            <w:pPr>
              <w:keepNext w:val="0"/>
              <w:spacing w:after="50" w:before="20" w:line="250" w:lineRule="auto"/>
            </w:pPr>
            <w:r>
              <w:rPr>
                <w:rFonts w:ascii="Arial" w:hAnsi="Arial"/>
                <w:sz w:val="18"/>
              </w:rPr>
              <w:t>Capability flags. A new user can complete a booking without configuring unrelated modules.</w:t>
            </w:r>
          </w:p>
        </w:tc>
        <w:tc>
          <w:tcPr>
            <w:tcW w:type="dxa" w:w="2088"/>
            <w:vAlign w:val="top"/>
            <w:shd w:fill="F3F6F7"/>
          </w:tcPr>
          <w:p>
            <w:pPr>
              <w:keepNext w:val="0"/>
              <w:spacing w:after="50" w:before="20" w:line="250" w:lineRule="auto"/>
            </w:pPr>
            <w:r>
              <w:rPr>
                <w:rFonts w:ascii="Arial" w:hAnsi="Arial"/>
                <w:sz w:val="18"/>
              </w:rPr>
              <w:t>Launch candidate (L)</w:t>
              <w:br/>
              <w:t>People: UX</w:t>
              <w:br/>
              <w:t>Basis: I; ease of use</w:t>
            </w:r>
          </w:p>
        </w:tc>
      </w:tr>
      <w:tr>
        <w:trPr>
          <w:cantSplit/>
        </w:trPr>
        <w:tc>
          <w:tcPr>
            <w:tcW w:type="dxa" w:w="4392"/>
            <w:vAlign w:val="top"/>
          </w:tcPr>
          <w:p>
            <w:pPr>
              <w:keepNext w:val="0"/>
              <w:spacing w:after="50" w:before="20" w:line="250" w:lineRule="auto"/>
            </w:pPr>
            <w:r>
              <w:rPr>
                <w:rFonts w:ascii="Arial" w:hAnsi="Arial"/>
                <w:b/>
                <w:sz w:val="18"/>
              </w:rPr>
              <w:t>F011  Guided first day setup</w:t>
            </w:r>
            <w:r>
              <w:rPr>
                <w:rFonts w:ascii="Arial" w:hAnsi="Arial"/>
                <w:b w:val="0"/>
                <w:sz w:val="18"/>
              </w:rPr>
              <w:br/>
              <w:t>Ask for business type, hours, services, policies and payment onboarding in a resumable checklist.</w:t>
            </w:r>
          </w:p>
        </w:tc>
        <w:tc>
          <w:tcPr>
            <w:tcW w:type="dxa" w:w="3744"/>
            <w:vAlign w:val="top"/>
          </w:tcPr>
          <w:p>
            <w:pPr>
              <w:keepNext w:val="0"/>
              <w:spacing w:after="50" w:before="20" w:line="250" w:lineRule="auto"/>
            </w:pPr>
            <w:r>
              <w:rPr>
                <w:rFonts w:ascii="Arial" w:hAnsi="Arial"/>
                <w:sz w:val="18"/>
              </w:rPr>
              <w:t>Settings and provider onboarding status. Show exactly what still prevents taking a booking.</w:t>
            </w:r>
          </w:p>
        </w:tc>
        <w:tc>
          <w:tcPr>
            <w:tcW w:type="dxa" w:w="2088"/>
            <w:vAlign w:val="top"/>
          </w:tcPr>
          <w:p>
            <w:pPr>
              <w:keepNext w:val="0"/>
              <w:spacing w:after="50" w:before="20" w:line="250" w:lineRule="auto"/>
            </w:pPr>
            <w:r>
              <w:rPr>
                <w:rFonts w:ascii="Arial" w:hAnsi="Arial"/>
                <w:sz w:val="18"/>
              </w:rPr>
              <w:t>Launch candidate (L)</w:t>
              <w:br/>
              <w:t>People: UX PAY</w:t>
              <w:br/>
              <w:t>Basis: I; switching friction</w:t>
            </w:r>
          </w:p>
        </w:tc>
      </w:tr>
      <w:tr>
        <w:trPr>
          <w:cantSplit/>
        </w:trPr>
        <w:tc>
          <w:tcPr>
            <w:tcW w:type="dxa" w:w="4392"/>
            <w:vAlign w:val="top"/>
            <w:shd w:fill="F3F6F7"/>
          </w:tcPr>
          <w:p>
            <w:pPr>
              <w:keepNext w:val="0"/>
              <w:spacing w:after="50" w:before="20" w:line="250" w:lineRule="auto"/>
            </w:pPr>
            <w:r>
              <w:rPr>
                <w:rFonts w:ascii="Arial" w:hAnsi="Arial"/>
                <w:b/>
                <w:sz w:val="18"/>
              </w:rPr>
              <w:t>F012  Contextual help and demo records</w:t>
            </w:r>
            <w:r>
              <w:rPr>
                <w:rFonts w:ascii="Arial" w:hAnsi="Arial"/>
                <w:b w:val="0"/>
                <w:sz w:val="18"/>
              </w:rPr>
              <w:br/>
              <w:t>Provide examples beside unfamiliar settings plus a separate demo business with fictional clients.</w:t>
            </w:r>
          </w:p>
        </w:tc>
        <w:tc>
          <w:tcPr>
            <w:tcW w:type="dxa" w:w="3744"/>
            <w:vAlign w:val="top"/>
            <w:shd w:fill="F3F6F7"/>
          </w:tcPr>
          <w:p>
            <w:pPr>
              <w:keepNext w:val="0"/>
              <w:spacing w:after="50" w:before="20" w:line="250" w:lineRule="auto"/>
            </w:pPr>
            <w:r>
              <w:rPr>
                <w:rFonts w:ascii="Arial" w:hAnsi="Arial"/>
                <w:sz w:val="18"/>
              </w:rPr>
              <w:t>Tenant isolation. Demo actions never send messages, collect money or enter live analytics.</w:t>
            </w:r>
          </w:p>
        </w:tc>
        <w:tc>
          <w:tcPr>
            <w:tcW w:type="dxa" w:w="2088"/>
            <w:vAlign w:val="top"/>
            <w:shd w:fill="F3F6F7"/>
          </w:tcPr>
          <w:p>
            <w:pPr>
              <w:keepNext w:val="0"/>
              <w:spacing w:after="50" w:before="20" w:line="250" w:lineRule="auto"/>
            </w:pPr>
            <w:r>
              <w:rPr>
                <w:rFonts w:ascii="Arial" w:hAnsi="Arial"/>
                <w:sz w:val="18"/>
              </w:rPr>
              <w:t>Launch candidate (L)</w:t>
              <w:br/>
              <w:t>People: CORE</w:t>
              <w:br/>
              <w:t>Basis: I; low risk learning</w:t>
            </w:r>
          </w:p>
        </w:tc>
      </w:tr>
      <w:tr>
        <w:trPr>
          <w:cantSplit/>
        </w:trPr>
        <w:tc>
          <w:tcPr>
            <w:tcW w:type="dxa" w:w="4392"/>
            <w:vAlign w:val="top"/>
          </w:tcPr>
          <w:p>
            <w:pPr>
              <w:keepNext w:val="0"/>
              <w:spacing w:after="50" w:before="20" w:line="250" w:lineRule="auto"/>
            </w:pPr>
            <w:r>
              <w:rPr>
                <w:rFonts w:ascii="Arial" w:hAnsi="Arial"/>
                <w:b/>
                <w:sz w:val="18"/>
              </w:rPr>
              <w:t>F013  Client service preferences</w:t>
            </w:r>
            <w:r>
              <w:rPr>
                <w:rFonts w:ascii="Arial" w:hAnsi="Arial"/>
                <w:b w:val="0"/>
                <w:sz w:val="18"/>
              </w:rPr>
              <w:br/>
              <w:t>Record preferred name, pronunciation, contact channel, conversation preference and service comfort requests.</w:t>
            </w:r>
          </w:p>
        </w:tc>
        <w:tc>
          <w:tcPr>
            <w:tcW w:type="dxa" w:w="3744"/>
            <w:vAlign w:val="top"/>
          </w:tcPr>
          <w:p>
            <w:pPr>
              <w:keepNext w:val="0"/>
              <w:spacing w:after="50" w:before="20" w:line="250" w:lineRule="auto"/>
            </w:pPr>
            <w:r>
              <w:rPr>
                <w:rFonts w:ascii="Arial" w:hAnsi="Arial"/>
                <w:sz w:val="18"/>
              </w:rPr>
              <w:t>Client permissions. Sensitive notes remain private and are not automatically marketing tags.</w:t>
            </w:r>
          </w:p>
        </w:tc>
        <w:tc>
          <w:tcPr>
            <w:tcW w:type="dxa" w:w="2088"/>
            <w:vAlign w:val="top"/>
          </w:tcPr>
          <w:p>
            <w:pPr>
              <w:keepNext w:val="0"/>
              <w:spacing w:after="50" w:before="20" w:line="250" w:lineRule="auto"/>
            </w:pPr>
            <w:r>
              <w:rPr>
                <w:rFonts w:ascii="Arial" w:hAnsi="Arial"/>
                <w:sz w:val="18"/>
              </w:rPr>
              <w:t>Launch candidate (L)</w:t>
              <w:br/>
              <w:t>People: UX</w:t>
              <w:br/>
              <w:t>Basis: I; client care</w:t>
            </w:r>
          </w:p>
        </w:tc>
      </w:tr>
      <w:tr>
        <w:trPr>
          <w:cantSplit/>
        </w:trPr>
        <w:tc>
          <w:tcPr>
            <w:tcW w:type="dxa" w:w="4392"/>
            <w:vAlign w:val="top"/>
            <w:shd w:fill="F3F6F7"/>
          </w:tcPr>
          <w:p>
            <w:pPr>
              <w:keepNext w:val="0"/>
              <w:spacing w:after="50" w:before="20" w:line="250" w:lineRule="auto"/>
            </w:pPr>
            <w:r>
              <w:rPr>
                <w:rFonts w:ascii="Arial" w:hAnsi="Arial"/>
                <w:b/>
                <w:sz w:val="18"/>
              </w:rPr>
              <w:t>F014  Quiet visit and access requests</w:t>
            </w:r>
            <w:r>
              <w:rPr>
                <w:rFonts w:ascii="Arial" w:hAnsi="Arial"/>
                <w:b w:val="0"/>
                <w:sz w:val="18"/>
              </w:rPr>
              <w:br/>
              <w:t>Let clients privately request a quiet visit, step-free access, extra explanation or a support person.</w:t>
            </w:r>
          </w:p>
        </w:tc>
        <w:tc>
          <w:tcPr>
            <w:tcW w:type="dxa" w:w="3744"/>
            <w:vAlign w:val="top"/>
            <w:shd w:fill="F3F6F7"/>
          </w:tcPr>
          <w:p>
            <w:pPr>
              <w:keepNext w:val="0"/>
              <w:spacing w:after="50" w:before="20" w:line="250" w:lineRule="auto"/>
            </w:pPr>
            <w:r>
              <w:rPr>
                <w:rFonts w:ascii="Arial" w:hAnsi="Arial"/>
                <w:sz w:val="18"/>
              </w:rPr>
              <w:t>Optional structured preferences. Only the staff preparing the visit see the request.</w:t>
            </w:r>
          </w:p>
        </w:tc>
        <w:tc>
          <w:tcPr>
            <w:tcW w:type="dxa" w:w="2088"/>
            <w:vAlign w:val="top"/>
            <w:shd w:fill="F3F6F7"/>
          </w:tcPr>
          <w:p>
            <w:pPr>
              <w:keepNext w:val="0"/>
              <w:spacing w:after="50" w:before="20" w:line="250" w:lineRule="auto"/>
            </w:pPr>
            <w:r>
              <w:rPr>
                <w:rFonts w:ascii="Arial" w:hAnsi="Arial"/>
                <w:sz w:val="18"/>
              </w:rPr>
              <w:t>Growth (G)</w:t>
              <w:br/>
              <w:t>People: UX</w:t>
              <w:br/>
              <w:t>Basis: H; inclusive service design</w:t>
            </w:r>
          </w:p>
        </w:tc>
      </w:tr>
      <w:tr>
        <w:trPr>
          <w:cantSplit/>
        </w:trPr>
        <w:tc>
          <w:tcPr>
            <w:tcW w:type="dxa" w:w="4392"/>
            <w:vAlign w:val="top"/>
          </w:tcPr>
          <w:p>
            <w:pPr>
              <w:keepNext w:val="0"/>
              <w:spacing w:after="50" w:before="20" w:line="250" w:lineRule="auto"/>
            </w:pPr>
            <w:r>
              <w:rPr>
                <w:rFonts w:ascii="Arial" w:hAnsi="Arial"/>
                <w:b/>
                <w:sz w:val="18"/>
              </w:rPr>
              <w:t>F015  Daily task list</w:t>
            </w:r>
            <w:r>
              <w:rPr>
                <w:rFonts w:ascii="Arial" w:hAnsi="Arial"/>
                <w:b w:val="0"/>
                <w:sz w:val="18"/>
              </w:rPr>
              <w:br/>
              <w:t>Combine incomplete forms, callback requests, stock checks and owner-created tasks with clear owners.</w:t>
            </w:r>
          </w:p>
        </w:tc>
        <w:tc>
          <w:tcPr>
            <w:tcW w:type="dxa" w:w="3744"/>
            <w:vAlign w:val="top"/>
          </w:tcPr>
          <w:p>
            <w:pPr>
              <w:keepNext w:val="0"/>
              <w:spacing w:after="50" w:before="20" w:line="250" w:lineRule="auto"/>
            </w:pPr>
            <w:r>
              <w:rPr>
                <w:rFonts w:ascii="Arial" w:hAnsi="Arial"/>
                <w:sz w:val="18"/>
              </w:rPr>
              <w:t>Task and visit links. Completing a task updates its underlying record and removes the duplicate alert.</w:t>
            </w:r>
          </w:p>
        </w:tc>
        <w:tc>
          <w:tcPr>
            <w:tcW w:type="dxa" w:w="2088"/>
            <w:vAlign w:val="top"/>
          </w:tcPr>
          <w:p>
            <w:pPr>
              <w:keepNext w:val="0"/>
              <w:spacing w:after="50" w:before="20" w:line="250" w:lineRule="auto"/>
            </w:pPr>
            <w:r>
              <w:rPr>
                <w:rFonts w:ascii="Arial" w:hAnsi="Arial"/>
                <w:sz w:val="18"/>
              </w:rPr>
              <w:t>Launch candidate (L)</w:t>
              <w:br/>
              <w:t>People: CORE</w:t>
              <w:br/>
              <w:t>Basis: I; fewer screens</w:t>
            </w:r>
          </w:p>
        </w:tc>
      </w:tr>
      <w:tr>
        <w:trPr>
          <w:cantSplit/>
        </w:trPr>
        <w:tc>
          <w:tcPr>
            <w:tcW w:type="dxa" w:w="4392"/>
            <w:vAlign w:val="top"/>
            <w:shd w:fill="F3F6F7"/>
          </w:tcPr>
          <w:p>
            <w:pPr>
              <w:keepNext w:val="0"/>
              <w:spacing w:after="50" w:before="20" w:line="250" w:lineRule="auto"/>
            </w:pPr>
            <w:r>
              <w:rPr>
                <w:rFonts w:ascii="Arial" w:hAnsi="Arial"/>
                <w:b/>
                <w:sz w:val="18"/>
              </w:rPr>
              <w:t>F016  Catalog import templates</w:t>
            </w:r>
            <w:r>
              <w:rPr>
                <w:rFonts w:ascii="Arial" w:hAnsi="Arial"/>
                <w:b w:val="0"/>
                <w:sz w:val="18"/>
              </w:rPr>
              <w:br/>
              <w:t>Offer guided CSV templates for services, products and contacts with field examples and previews.</w:t>
            </w:r>
          </w:p>
        </w:tc>
        <w:tc>
          <w:tcPr>
            <w:tcW w:type="dxa" w:w="3744"/>
            <w:vAlign w:val="top"/>
            <w:shd w:fill="F3F6F7"/>
          </w:tcPr>
          <w:p>
            <w:pPr>
              <w:keepNext w:val="0"/>
              <w:spacing w:after="50" w:before="20" w:line="250" w:lineRule="auto"/>
            </w:pPr>
            <w:r>
              <w:rPr>
                <w:rFonts w:ascii="Arial" w:hAnsi="Arial"/>
                <w:sz w:val="18"/>
              </w:rPr>
              <w:t>Import staging. Invalid rows are explained without changing valid live records.</w:t>
            </w:r>
          </w:p>
        </w:tc>
        <w:tc>
          <w:tcPr>
            <w:tcW w:type="dxa" w:w="2088"/>
            <w:vAlign w:val="top"/>
            <w:shd w:fill="F3F6F7"/>
          </w:tcPr>
          <w:p>
            <w:pPr>
              <w:keepNext w:val="0"/>
              <w:spacing w:after="50" w:before="20" w:line="250" w:lineRule="auto"/>
            </w:pPr>
            <w:r>
              <w:rPr>
                <w:rFonts w:ascii="Arial" w:hAnsi="Arial"/>
                <w:sz w:val="18"/>
              </w:rPr>
              <w:t>Launch candidate (L)</w:t>
              <w:br/>
              <w:t>People: CORE</w:t>
              <w:br/>
              <w:t>Basis: B; WB F69</w:t>
            </w:r>
          </w:p>
        </w:tc>
      </w:tr>
      <w:tr>
        <w:trPr>
          <w:cantSplit/>
        </w:trPr>
        <w:tc>
          <w:tcPr>
            <w:tcW w:type="dxa" w:w="4392"/>
            <w:vAlign w:val="top"/>
          </w:tcPr>
          <w:p>
            <w:pPr>
              <w:keepNext w:val="0"/>
              <w:spacing w:after="50" w:before="20" w:line="250" w:lineRule="auto"/>
            </w:pPr>
            <w:r>
              <w:rPr>
                <w:rFonts w:ascii="Arial" w:hAnsi="Arial"/>
                <w:b/>
                <w:sz w:val="18"/>
              </w:rPr>
              <w:t>F017  Total cost estimator</w:t>
            </w:r>
            <w:r>
              <w:rPr>
                <w:rFonts w:ascii="Arial" w:hAnsi="Arial"/>
                <w:b w:val="0"/>
                <w:sz w:val="18"/>
              </w:rPr>
              <w:br/>
              <w:t>Preview subscription, staff, locations, messages, processing and optional services using explicit assumptions.</w:t>
            </w:r>
          </w:p>
        </w:tc>
        <w:tc>
          <w:tcPr>
            <w:tcW w:type="dxa" w:w="3744"/>
            <w:vAlign w:val="top"/>
          </w:tcPr>
          <w:p>
            <w:pPr>
              <w:keepNext w:val="0"/>
              <w:spacing w:after="50" w:before="20" w:line="250" w:lineRule="auto"/>
            </w:pPr>
            <w:r>
              <w:rPr>
                <w:rFonts w:ascii="Arial" w:hAnsi="Arial"/>
                <w:sz w:val="18"/>
              </w:rPr>
              <w:t>Fee catalog. Owners can see how each input changes the bill and which charges are estimates.</w:t>
            </w:r>
          </w:p>
        </w:tc>
        <w:tc>
          <w:tcPr>
            <w:tcW w:type="dxa" w:w="2088"/>
            <w:vAlign w:val="top"/>
          </w:tcPr>
          <w:p>
            <w:pPr>
              <w:keepNext w:val="0"/>
              <w:spacing w:after="50" w:before="20" w:line="250" w:lineRule="auto"/>
            </w:pPr>
            <w:r>
              <w:rPr>
                <w:rFonts w:ascii="Arial" w:hAnsi="Arial"/>
                <w:sz w:val="18"/>
              </w:rPr>
              <w:t>Launch candidate (L)</w:t>
              <w:br/>
              <w:t>People: FIN</w:t>
              <w:br/>
              <w:t>Basis: I; WB C7 C14</w:t>
            </w:r>
          </w:p>
        </w:tc>
      </w:tr>
      <w:tr>
        <w:trPr>
          <w:cantSplit/>
        </w:trPr>
        <w:tc>
          <w:tcPr>
            <w:tcW w:type="dxa" w:w="4392"/>
            <w:vAlign w:val="top"/>
            <w:shd w:fill="F3F6F7"/>
          </w:tcPr>
          <w:p>
            <w:pPr>
              <w:keepNext w:val="0"/>
              <w:spacing w:after="50" w:before="20" w:line="250" w:lineRule="auto"/>
            </w:pPr>
            <w:r>
              <w:rPr>
                <w:rFonts w:ascii="Arial" w:hAnsi="Arial"/>
                <w:b/>
                <w:sz w:val="18"/>
              </w:rPr>
              <w:t>F018  Short daily owner digest</w:t>
            </w:r>
            <w:r>
              <w:rPr>
                <w:rFonts w:ascii="Arial" w:hAnsi="Arial"/>
                <w:b w:val="0"/>
                <w:sz w:val="18"/>
              </w:rPr>
              <w:br/>
              <w:t>Show appointments, unresolved issues, expected collections and work still needing a decision.</w:t>
            </w:r>
          </w:p>
        </w:tc>
        <w:tc>
          <w:tcPr>
            <w:tcW w:type="dxa" w:w="3744"/>
            <w:vAlign w:val="top"/>
            <w:shd w:fill="F3F6F7"/>
          </w:tcPr>
          <w:p>
            <w:pPr>
              <w:keepNext w:val="0"/>
              <w:spacing w:after="50" w:before="20" w:line="250" w:lineRule="auto"/>
            </w:pPr>
            <w:r>
              <w:rPr>
                <w:rFonts w:ascii="Arial" w:hAnsi="Arial"/>
                <w:sz w:val="18"/>
              </w:rPr>
              <w:t>Trusted metrics. Every figure opens its source records and the digest has a quiet-hours setting.</w:t>
            </w:r>
          </w:p>
        </w:tc>
        <w:tc>
          <w:tcPr>
            <w:tcW w:type="dxa" w:w="2088"/>
            <w:vAlign w:val="top"/>
            <w:shd w:fill="F3F6F7"/>
          </w:tcPr>
          <w:p>
            <w:pPr>
              <w:keepNext w:val="0"/>
              <w:spacing w:after="50" w:before="20" w:line="250" w:lineRule="auto"/>
            </w:pPr>
            <w:r>
              <w:rPr>
                <w:rFonts w:ascii="Arial" w:hAnsi="Arial"/>
                <w:sz w:val="18"/>
              </w:rPr>
              <w:t>Growth (G)</w:t>
              <w:br/>
              <w:t>People: CORE</w:t>
              <w:br/>
              <w:t>Basis: I; WB F57</w:t>
            </w:r>
          </w:p>
        </w:tc>
      </w:tr>
      <w:tr>
        <w:trPr>
          <w:cantSplit/>
        </w:trPr>
        <w:tc>
          <w:tcPr>
            <w:tcW w:type="dxa" w:w="4392"/>
            <w:vAlign w:val="top"/>
          </w:tcPr>
          <w:p>
            <w:pPr>
              <w:keepNext w:val="0"/>
              <w:spacing w:after="50" w:before="20" w:line="250" w:lineRule="auto"/>
            </w:pPr>
            <w:r>
              <w:rPr>
                <w:rFonts w:ascii="Arial" w:hAnsi="Arial"/>
                <w:b/>
                <w:sz w:val="18"/>
              </w:rPr>
              <w:t>F019  Lapsed client worklist</w:t>
            </w:r>
            <w:r>
              <w:rPr>
                <w:rFonts w:ascii="Arial" w:hAnsi="Arial"/>
                <w:b w:val="0"/>
                <w:sz w:val="18"/>
              </w:rPr>
              <w:br/>
              <w:t>List clients whose expected return interval has passed, based on their actual service cadence.</w:t>
            </w:r>
          </w:p>
        </w:tc>
        <w:tc>
          <w:tcPr>
            <w:tcW w:type="dxa" w:w="3744"/>
            <w:vAlign w:val="top"/>
          </w:tcPr>
          <w:p>
            <w:pPr>
              <w:keepNext w:val="0"/>
              <w:spacing w:after="50" w:before="20" w:line="250" w:lineRule="auto"/>
            </w:pPr>
            <w:r>
              <w:rPr>
                <w:rFonts w:ascii="Arial" w:hAnsi="Arial"/>
                <w:sz w:val="18"/>
              </w:rPr>
              <w:t>Visit history. Exclude deceased, opted-out and explicitly inactive clients; show why each person appears.</w:t>
            </w:r>
          </w:p>
        </w:tc>
        <w:tc>
          <w:tcPr>
            <w:tcW w:type="dxa" w:w="2088"/>
            <w:vAlign w:val="top"/>
          </w:tcPr>
          <w:p>
            <w:pPr>
              <w:keepNext w:val="0"/>
              <w:spacing w:after="50" w:before="20" w:line="250" w:lineRule="auto"/>
            </w:pPr>
            <w:r>
              <w:rPr>
                <w:rFonts w:ascii="Arial" w:hAnsi="Arial"/>
                <w:sz w:val="18"/>
              </w:rPr>
              <w:t>Launch candidate (L)</w:t>
              <w:br/>
              <w:t>People: CORE</w:t>
              <w:br/>
              <w:t>Basis: B; WB U18</w:t>
            </w:r>
          </w:p>
        </w:tc>
      </w:tr>
      <w:tr>
        <w:trPr>
          <w:cantSplit/>
        </w:trPr>
        <w:tc>
          <w:tcPr>
            <w:tcW w:type="dxa" w:w="4392"/>
            <w:vAlign w:val="top"/>
            <w:shd w:fill="F3F6F7"/>
          </w:tcPr>
          <w:p>
            <w:pPr>
              <w:keepNext w:val="0"/>
              <w:spacing w:after="50" w:before="20" w:line="250" w:lineRule="auto"/>
            </w:pPr>
            <w:r>
              <w:rPr>
                <w:rFonts w:ascii="Arial" w:hAnsi="Arial"/>
                <w:b/>
                <w:sz w:val="18"/>
              </w:rPr>
              <w:t>F020  Private weekly goals</w:t>
            </w:r>
            <w:r>
              <w:rPr>
                <w:rFonts w:ascii="Arial" w:hAnsi="Arial"/>
                <w:b w:val="0"/>
                <w:sz w:val="18"/>
              </w:rPr>
              <w:br/>
              <w:t>Let owners choose goals for profit, rebooking, admin time or days off, with nonpunitive progress feedback.</w:t>
            </w:r>
          </w:p>
        </w:tc>
        <w:tc>
          <w:tcPr>
            <w:tcW w:type="dxa" w:w="3744"/>
            <w:vAlign w:val="top"/>
            <w:shd w:fill="F3F6F7"/>
          </w:tcPr>
          <w:p>
            <w:pPr>
              <w:keepNext w:val="0"/>
              <w:spacing w:after="50" w:before="20" w:line="250" w:lineRule="auto"/>
            </w:pPr>
            <w:r>
              <w:rPr>
                <w:rFonts w:ascii="Arial" w:hAnsi="Arial"/>
                <w:sz w:val="18"/>
              </w:rPr>
              <w:t>Metric definitions. Goals can be paused and never expose public staff rankings by default.</w:t>
            </w:r>
          </w:p>
        </w:tc>
        <w:tc>
          <w:tcPr>
            <w:tcW w:type="dxa" w:w="2088"/>
            <w:vAlign w:val="top"/>
            <w:shd w:fill="F3F6F7"/>
          </w:tcPr>
          <w:p>
            <w:pPr>
              <w:keepNext w:val="0"/>
              <w:spacing w:after="50" w:before="20" w:line="250" w:lineRule="auto"/>
            </w:pPr>
            <w:r>
              <w:rPr>
                <w:rFonts w:ascii="Arial" w:hAnsi="Arial"/>
                <w:sz w:val="18"/>
              </w:rPr>
              <w:t>Growth (G)</w:t>
              <w:br/>
              <w:t>People: UX</w:t>
              <w:br/>
              <w:t>Basis: B; WB U20</w:t>
            </w:r>
          </w:p>
        </w:tc>
      </w:tr>
      <w:tr>
        <w:trPr>
          <w:cantSplit/>
        </w:trPr>
        <w:tc>
          <w:tcPr>
            <w:tcW w:type="dxa" w:w="4392"/>
            <w:vAlign w:val="top"/>
          </w:tcPr>
          <w:p>
            <w:pPr>
              <w:keepNext w:val="0"/>
              <w:spacing w:after="50" w:before="20" w:line="250" w:lineRule="auto"/>
            </w:pPr>
            <w:r>
              <w:rPr>
                <w:rFonts w:ascii="Arial" w:hAnsi="Arial"/>
                <w:b/>
                <w:sz w:val="18"/>
              </w:rPr>
              <w:t>F021  Working hours and holidays</w:t>
            </w:r>
            <w:r>
              <w:rPr>
                <w:rFonts w:ascii="Arial" w:hAnsi="Arial"/>
                <w:b w:val="0"/>
                <w:sz w:val="18"/>
              </w:rPr>
              <w:br/>
              <w:t>Set weekly hours, breaks, time off, lead times and future booking windows with a clear client preview.</w:t>
            </w:r>
          </w:p>
        </w:tc>
        <w:tc>
          <w:tcPr>
            <w:tcW w:type="dxa" w:w="3744"/>
            <w:vAlign w:val="top"/>
          </w:tcPr>
          <w:p>
            <w:pPr>
              <w:keepNext w:val="0"/>
              <w:spacing w:after="50" w:before="20" w:line="250" w:lineRule="auto"/>
            </w:pPr>
            <w:r>
              <w:rPr>
                <w:rFonts w:ascii="Arial" w:hAnsi="Arial"/>
                <w:sz w:val="18"/>
              </w:rPr>
              <w:t>Location time zone. Holiday changes show which existing visits require attention.</w:t>
            </w:r>
          </w:p>
        </w:tc>
        <w:tc>
          <w:tcPr>
            <w:tcW w:type="dxa" w:w="2088"/>
            <w:vAlign w:val="top"/>
          </w:tcPr>
          <w:p>
            <w:pPr>
              <w:keepNext w:val="0"/>
              <w:spacing w:after="50" w:before="20" w:line="250" w:lineRule="auto"/>
            </w:pPr>
            <w:r>
              <w:rPr>
                <w:rFonts w:ascii="Arial" w:hAnsi="Arial"/>
                <w:sz w:val="18"/>
              </w:rPr>
              <w:t>Launch candidate (L)</w:t>
              <w:br/>
              <w:t>People: CORE</w:t>
              <w:br/>
              <w:t>Basis: B; WB F14</w:t>
            </w:r>
          </w:p>
        </w:tc>
      </w:tr>
      <w:tr>
        <w:trPr>
          <w:cantSplit/>
        </w:trPr>
        <w:tc>
          <w:tcPr>
            <w:tcW w:type="dxa" w:w="4392"/>
            <w:vAlign w:val="top"/>
            <w:shd w:fill="F3F6F7"/>
          </w:tcPr>
          <w:p>
            <w:pPr>
              <w:keepNext w:val="0"/>
              <w:spacing w:after="50" w:before="20" w:line="250" w:lineRule="auto"/>
            </w:pPr>
            <w:r>
              <w:rPr>
                <w:rFonts w:ascii="Arial" w:hAnsi="Arial"/>
                <w:b/>
                <w:sz w:val="18"/>
              </w:rPr>
              <w:t>F022  Help clients choose a service</w:t>
            </w:r>
            <w:r>
              <w:rPr>
                <w:rFonts w:ascii="Arial" w:hAnsi="Arial"/>
                <w:b w:val="0"/>
                <w:sz w:val="18"/>
              </w:rPr>
              <w:br/>
              <w:t>Explain unfamiliar terms, who performs a service, preparation and when a consultation is needed.</w:t>
            </w:r>
          </w:p>
        </w:tc>
        <w:tc>
          <w:tcPr>
            <w:tcW w:type="dxa" w:w="3744"/>
            <w:vAlign w:val="top"/>
            <w:shd w:fill="F3F6F7"/>
          </w:tcPr>
          <w:p>
            <w:pPr>
              <w:keepNext w:val="0"/>
              <w:spacing w:after="50" w:before="20" w:line="250" w:lineRule="auto"/>
            </w:pPr>
            <w:r>
              <w:rPr>
                <w:rFonts w:ascii="Arial" w:hAnsi="Arial"/>
                <w:sz w:val="18"/>
              </w:rPr>
              <w:t>Approved service content. The guide can route uncertainty to a person without diagnosing a condition.</w:t>
            </w:r>
          </w:p>
        </w:tc>
        <w:tc>
          <w:tcPr>
            <w:tcW w:type="dxa" w:w="2088"/>
            <w:vAlign w:val="top"/>
            <w:shd w:fill="F3F6F7"/>
          </w:tcPr>
          <w:p>
            <w:pPr>
              <w:keepNext w:val="0"/>
              <w:spacing w:after="50" w:before="20" w:line="250" w:lineRule="auto"/>
            </w:pPr>
            <w:r>
              <w:rPr>
                <w:rFonts w:ascii="Arial" w:hAnsi="Arial"/>
                <w:sz w:val="18"/>
              </w:rPr>
              <w:t>Launch candidate (L)</w:t>
              <w:br/>
              <w:t>People: CLIN UX</w:t>
              <w:br/>
              <w:t>Basis: I; service selection</w:t>
            </w:r>
          </w:p>
        </w:tc>
      </w:tr>
      <w:tr>
        <w:trPr>
          <w:cantSplit/>
        </w:trPr>
        <w:tc>
          <w:tcPr>
            <w:tcW w:type="dxa" w:w="4392"/>
            <w:vAlign w:val="top"/>
          </w:tcPr>
          <w:p>
            <w:pPr>
              <w:keepNext w:val="0"/>
              <w:spacing w:after="50" w:before="20" w:line="250" w:lineRule="auto"/>
            </w:pPr>
            <w:r>
              <w:rPr>
                <w:rFonts w:ascii="Arial" w:hAnsi="Arial"/>
                <w:b/>
                <w:sz w:val="18"/>
              </w:rPr>
              <w:t>F023  Inclusive menu options</w:t>
            </w:r>
            <w:r>
              <w:rPr>
                <w:rFonts w:ascii="Arial" w:hAnsi="Arial"/>
                <w:b w:val="0"/>
                <w:sz w:val="18"/>
              </w:rPr>
              <w:br/>
              <w:t>Support time or complexity based prices, transparent consultation ranges and gender-neutral service names.</w:t>
            </w:r>
          </w:p>
        </w:tc>
        <w:tc>
          <w:tcPr>
            <w:tcW w:type="dxa" w:w="3744"/>
            <w:vAlign w:val="top"/>
          </w:tcPr>
          <w:p>
            <w:pPr>
              <w:keepNext w:val="0"/>
              <w:spacing w:after="50" w:before="20" w:line="250" w:lineRule="auto"/>
            </w:pPr>
            <w:r>
              <w:rPr>
                <w:rFonts w:ascii="Arial" w:hAnsi="Arial"/>
                <w:sz w:val="18"/>
              </w:rPr>
              <w:t>Catalog rules. Any possible extra charge appears before acceptance, with consent to changes.</w:t>
            </w:r>
          </w:p>
        </w:tc>
        <w:tc>
          <w:tcPr>
            <w:tcW w:type="dxa" w:w="2088"/>
            <w:vAlign w:val="top"/>
          </w:tcPr>
          <w:p>
            <w:pPr>
              <w:keepNext w:val="0"/>
              <w:spacing w:after="50" w:before="20" w:line="250" w:lineRule="auto"/>
            </w:pPr>
            <w:r>
              <w:rPr>
                <w:rFonts w:ascii="Arial" w:hAnsi="Arial"/>
                <w:sz w:val="18"/>
              </w:rPr>
              <w:t>Launch candidate (L)</w:t>
              <w:br/>
              <w:t>People: UX LEG</w:t>
              <w:br/>
              <w:t>Basis: H; price clarity</w:t>
            </w:r>
          </w:p>
        </w:tc>
      </w:tr>
      <w:tr>
        <w:trPr>
          <w:cantSplit/>
        </w:trPr>
        <w:tc>
          <w:tcPr>
            <w:tcW w:type="dxa" w:w="4392"/>
            <w:vAlign w:val="top"/>
            <w:shd w:fill="F3F6F7"/>
          </w:tcPr>
          <w:p>
            <w:pPr>
              <w:keepNext w:val="0"/>
              <w:spacing w:after="50" w:before="20" w:line="250" w:lineRule="auto"/>
            </w:pPr>
            <w:r>
              <w:rPr>
                <w:rFonts w:ascii="Arial" w:hAnsi="Arial"/>
                <w:b/>
                <w:sz w:val="18"/>
              </w:rPr>
              <w:t>F024  Business contact and opening status</w:t>
            </w:r>
            <w:r>
              <w:rPr>
                <w:rFonts w:ascii="Arial" w:hAnsi="Arial"/>
                <w:b w:val="0"/>
                <w:sz w:val="18"/>
              </w:rPr>
              <w:br/>
              <w:t>Display directions, parking, accessibility information, contact channels and accurate holiday hours.</w:t>
            </w:r>
          </w:p>
        </w:tc>
        <w:tc>
          <w:tcPr>
            <w:tcW w:type="dxa" w:w="3744"/>
            <w:vAlign w:val="top"/>
            <w:shd w:fill="F3F6F7"/>
          </w:tcPr>
          <w:p>
            <w:pPr>
              <w:keepNext w:val="0"/>
              <w:spacing w:after="50" w:before="20" w:line="250" w:lineRule="auto"/>
            </w:pPr>
            <w:r>
              <w:rPr>
                <w:rFonts w:ascii="Arial" w:hAnsi="Arial"/>
                <w:sz w:val="18"/>
              </w:rPr>
              <w:t>Location settings. Every client touchpoint uses the same address and time zone.</w:t>
            </w:r>
          </w:p>
        </w:tc>
        <w:tc>
          <w:tcPr>
            <w:tcW w:type="dxa" w:w="2088"/>
            <w:vAlign w:val="top"/>
            <w:shd w:fill="F3F6F7"/>
          </w:tcPr>
          <w:p>
            <w:pPr>
              <w:keepNext w:val="0"/>
              <w:spacing w:after="50" w:before="20" w:line="250" w:lineRule="auto"/>
            </w:pPr>
            <w:r>
              <w:rPr>
                <w:rFonts w:ascii="Arial" w:hAnsi="Arial"/>
                <w:sz w:val="18"/>
              </w:rPr>
              <w:t>Launch candidate (L)</w:t>
              <w:br/>
              <w:t>People: CORE</w:t>
              <w:br/>
              <w:t>Basis: B; basic operations</w:t>
            </w:r>
          </w:p>
        </w:tc>
      </w:tr>
    </w:tbl>
    <w:p>
      <w:pPr>
        <w:spacing w:after="40" w:before="0" w:line="240" w:lineRule="auto"/>
      </w:pPr>
      <w:r>
        <w:rPr>
          <w:sz w:val="4"/>
        </w:rPr>
      </w:r>
    </w:p>
    <w:p>
      <w:pPr>
        <w:pStyle w:val="Heading2"/>
      </w:pPr>
      <w:r>
        <w:t>D2 Standard product workflows</w:t>
      </w:r>
    </w:p>
    <w:p>
      <w:r>
        <w:t>CRUD, state changes, permissions and conventional business rules with bounded integrations. 51 features.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4392"/>
        <w:gridCol w:w="3744"/>
        <w:gridCol w:w="2088"/>
      </w:tblGrid>
      <w:tr>
        <w:trPr>
          <w:tblHeader/>
        </w:trPr>
        <w:tc>
          <w:tcPr>
            <w:tcW w:type="dxa" w:w="4392"/>
            <w:vAlign w:val="top"/>
            <w:shd w:fill="173F50"/>
          </w:tcPr>
          <w:p>
            <w:pPr>
              <w:keepNext/>
              <w:spacing w:after="50" w:before="20" w:line="250" w:lineRule="auto"/>
            </w:pPr>
            <w:r>
              <w:rPr>
                <w:rFonts w:ascii="Arial" w:hAnsi="Arial"/>
                <w:b/>
                <w:color w:val="FFFFFF"/>
                <w:sz w:val="18"/>
              </w:rPr>
              <w:t>Feature and proposed scope</w:t>
            </w:r>
          </w:p>
        </w:tc>
        <w:tc>
          <w:tcPr>
            <w:tcW w:type="dxa" w:w="3744"/>
            <w:vAlign w:val="top"/>
            <w:shd w:fill="173F50"/>
          </w:tcPr>
          <w:p>
            <w:pPr>
              <w:keepNext/>
              <w:spacing w:after="50" w:before="20" w:line="250" w:lineRule="auto"/>
            </w:pPr>
            <w:r>
              <w:rPr>
                <w:rFonts w:ascii="Arial" w:hAnsi="Arial"/>
                <w:b/>
                <w:color w:val="FFFFFF"/>
                <w:sz w:val="18"/>
              </w:rPr>
              <w:t>Dependencies and acceptance</w:t>
            </w:r>
          </w:p>
        </w:tc>
        <w:tc>
          <w:tcPr>
            <w:tcW w:type="dxa" w:w="2088"/>
            <w:vAlign w:val="top"/>
            <w:shd w:fill="173F50"/>
          </w:tcPr>
          <w:p>
            <w:pPr>
              <w:keepNext/>
              <w:spacing w:after="50" w:before="20" w:line="250" w:lineRule="auto"/>
            </w:pPr>
            <w:r>
              <w:rPr>
                <w:rFonts w:ascii="Arial" w:hAnsi="Arial"/>
                <w:b/>
                <w:color w:val="FFFFFF"/>
                <w:sz w:val="18"/>
              </w:rPr>
              <w:t>Release and people</w:t>
            </w:r>
          </w:p>
        </w:tc>
      </w:tr>
      <w:tr>
        <w:trPr>
          <w:cantSplit/>
        </w:trPr>
        <w:tc>
          <w:tcPr>
            <w:tcW w:type="dxa" w:w="4392"/>
            <w:vAlign w:val="top"/>
          </w:tcPr>
          <w:p>
            <w:pPr>
              <w:keepNext w:val="0"/>
              <w:spacing w:after="50" w:before="20" w:line="250" w:lineRule="auto"/>
            </w:pPr>
            <w:r>
              <w:rPr>
                <w:rFonts w:ascii="Arial" w:hAnsi="Arial"/>
                <w:b/>
                <w:sz w:val="18"/>
              </w:rPr>
              <w:t>F025  Unified client timeline</w:t>
            </w:r>
            <w:r>
              <w:rPr>
                <w:rFonts w:ascii="Arial" w:hAnsi="Arial"/>
                <w:b w:val="0"/>
                <w:sz w:val="18"/>
              </w:rPr>
              <w:br/>
              <w:t>Combine visits, purchases, forms, messages and approved notes in chronological order with filters.</w:t>
            </w:r>
          </w:p>
        </w:tc>
        <w:tc>
          <w:tcPr>
            <w:tcW w:type="dxa" w:w="3744"/>
            <w:vAlign w:val="top"/>
          </w:tcPr>
          <w:p>
            <w:pPr>
              <w:keepNext w:val="0"/>
              <w:spacing w:after="50" w:before="20" w:line="250" w:lineRule="auto"/>
            </w:pPr>
            <w:r>
              <w:rPr>
                <w:rFonts w:ascii="Arial" w:hAnsi="Arial"/>
                <w:sz w:val="18"/>
              </w:rPr>
              <w:t>Identity and access foundation. Staff see only permitted record types and original timestamps.</w:t>
            </w:r>
          </w:p>
        </w:tc>
        <w:tc>
          <w:tcPr>
            <w:tcW w:type="dxa" w:w="2088"/>
            <w:vAlign w:val="top"/>
          </w:tcPr>
          <w:p>
            <w:pPr>
              <w:keepNext w:val="0"/>
              <w:spacing w:after="50" w:before="20" w:line="250" w:lineRule="auto"/>
            </w:pPr>
            <w:r>
              <w:rPr>
                <w:rFonts w:ascii="Arial" w:hAnsi="Arial"/>
                <w:sz w:val="18"/>
              </w:rPr>
              <w:t>Launch candidate (L)</w:t>
              <w:br/>
              <w:t>People: CORE</w:t>
              <w:br/>
              <w:t>Basis: B; WB F19</w:t>
            </w:r>
          </w:p>
        </w:tc>
      </w:tr>
      <w:tr>
        <w:trPr>
          <w:cantSplit/>
        </w:trPr>
        <w:tc>
          <w:tcPr>
            <w:tcW w:type="dxa" w:w="4392"/>
            <w:vAlign w:val="top"/>
            <w:shd w:fill="F3F6F7"/>
          </w:tcPr>
          <w:p>
            <w:pPr>
              <w:keepNext w:val="0"/>
              <w:spacing w:after="50" w:before="20" w:line="250" w:lineRule="auto"/>
            </w:pPr>
            <w:r>
              <w:rPr>
                <w:rFonts w:ascii="Arial" w:hAnsi="Arial"/>
                <w:b/>
                <w:sz w:val="18"/>
              </w:rPr>
              <w:t>F026  Service specific policy rules</w:t>
            </w:r>
            <w:r>
              <w:rPr>
                <w:rFonts w:ascii="Arial" w:hAnsi="Arial"/>
                <w:b w:val="0"/>
                <w:sz w:val="18"/>
              </w:rPr>
              <w:br/>
              <w:t>Assign deposits, preparation, cancellation terms and required forms by service instead of one universal rule.</w:t>
            </w:r>
          </w:p>
        </w:tc>
        <w:tc>
          <w:tcPr>
            <w:tcW w:type="dxa" w:w="3744"/>
            <w:vAlign w:val="top"/>
            <w:shd w:fill="F3F6F7"/>
          </w:tcPr>
          <w:p>
            <w:pPr>
              <w:keepNext w:val="0"/>
              <w:spacing w:after="50" w:before="20" w:line="250" w:lineRule="auto"/>
            </w:pPr>
            <w:r>
              <w:rPr>
                <w:rFonts w:ascii="Arial" w:hAnsi="Arial"/>
                <w:sz w:val="18"/>
              </w:rPr>
              <w:t>Catalog and policy versions. The selected rules appear before booking and on the appointment.</w:t>
            </w:r>
          </w:p>
        </w:tc>
        <w:tc>
          <w:tcPr>
            <w:tcW w:type="dxa" w:w="2088"/>
            <w:vAlign w:val="top"/>
            <w:shd w:fill="F3F6F7"/>
          </w:tcPr>
          <w:p>
            <w:pPr>
              <w:keepNext w:val="0"/>
              <w:spacing w:after="50" w:before="20" w:line="250" w:lineRule="auto"/>
            </w:pPr>
            <w:r>
              <w:rPr>
                <w:rFonts w:ascii="Arial" w:hAnsi="Arial"/>
                <w:sz w:val="18"/>
              </w:rPr>
              <w:t>Launch candidate (L)</w:t>
              <w:br/>
              <w:t>People: LEG CLIN</w:t>
              <w:br/>
              <w:t>Basis: I; WB U21</w:t>
            </w:r>
          </w:p>
        </w:tc>
      </w:tr>
      <w:tr>
        <w:trPr>
          <w:cantSplit/>
        </w:trPr>
        <w:tc>
          <w:tcPr>
            <w:tcW w:type="dxa" w:w="4392"/>
            <w:vAlign w:val="top"/>
          </w:tcPr>
          <w:p>
            <w:pPr>
              <w:keepNext w:val="0"/>
              <w:spacing w:after="50" w:before="20" w:line="250" w:lineRule="auto"/>
            </w:pPr>
            <w:r>
              <w:rPr>
                <w:rFonts w:ascii="Arial" w:hAnsi="Arial"/>
                <w:b/>
                <w:sz w:val="18"/>
              </w:rPr>
              <w:t>F027  Calendar working views</w:t>
            </w:r>
            <w:r>
              <w:rPr>
                <w:rFonts w:ascii="Arial" w:hAnsi="Arial"/>
                <w:b w:val="0"/>
                <w:sz w:val="18"/>
              </w:rPr>
              <w:br/>
              <w:t>Provide day, week, practitioner and resource views, drag-and-drop plus keyboard alternatives and undo where possible.</w:t>
            </w:r>
          </w:p>
        </w:tc>
        <w:tc>
          <w:tcPr>
            <w:tcW w:type="dxa" w:w="3744"/>
            <w:vAlign w:val="top"/>
          </w:tcPr>
          <w:p>
            <w:pPr>
              <w:keepNext w:val="0"/>
              <w:spacing w:after="50" w:before="20" w:line="250" w:lineRule="auto"/>
            </w:pPr>
            <w:r>
              <w:rPr>
                <w:rFonts w:ascii="Arial" w:hAnsi="Arial"/>
                <w:sz w:val="18"/>
              </w:rPr>
              <w:t>Scheduling engine. Moving an appointment reports conflicts before committing.</w:t>
            </w:r>
          </w:p>
        </w:tc>
        <w:tc>
          <w:tcPr>
            <w:tcW w:type="dxa" w:w="2088"/>
            <w:vAlign w:val="top"/>
          </w:tcPr>
          <w:p>
            <w:pPr>
              <w:keepNext w:val="0"/>
              <w:spacing w:after="50" w:before="20" w:line="250" w:lineRule="auto"/>
            </w:pPr>
            <w:r>
              <w:rPr>
                <w:rFonts w:ascii="Arial" w:hAnsi="Arial"/>
                <w:sz w:val="18"/>
              </w:rPr>
              <w:t>Launch candidate (L)</w:t>
              <w:br/>
              <w:t>People: UX</w:t>
              <w:br/>
              <w:t>Basis: B; WB F14</w:t>
            </w:r>
          </w:p>
        </w:tc>
      </w:tr>
      <w:tr>
        <w:trPr>
          <w:cantSplit/>
        </w:trPr>
        <w:tc>
          <w:tcPr>
            <w:tcW w:type="dxa" w:w="4392"/>
            <w:vAlign w:val="top"/>
            <w:shd w:fill="F3F6F7"/>
          </w:tcPr>
          <w:p>
            <w:pPr>
              <w:keepNext w:val="0"/>
              <w:spacing w:after="50" w:before="20" w:line="250" w:lineRule="auto"/>
            </w:pPr>
            <w:r>
              <w:rPr>
                <w:rFonts w:ascii="Arial" w:hAnsi="Arial"/>
                <w:b/>
                <w:sz w:val="18"/>
              </w:rPr>
              <w:t>F028  Appointment reminders</w:t>
            </w:r>
            <w:r>
              <w:rPr>
                <w:rFonts w:ascii="Arial" w:hAnsi="Arial"/>
                <w:b w:val="0"/>
                <w:sz w:val="18"/>
              </w:rPr>
              <w:br/>
              <w:t>Send confirmations and configurable reminders by email or SMS, with timezone-aware scheduling and delivery status.</w:t>
            </w:r>
          </w:p>
        </w:tc>
        <w:tc>
          <w:tcPr>
            <w:tcW w:type="dxa" w:w="3744"/>
            <w:vAlign w:val="top"/>
            <w:shd w:fill="F3F6F7"/>
          </w:tcPr>
          <w:p>
            <w:pPr>
              <w:keepNext w:val="0"/>
              <w:spacing w:after="50" w:before="20" w:line="250" w:lineRule="auto"/>
            </w:pPr>
            <w:r>
              <w:rPr>
                <w:rFonts w:ascii="Arial" w:hAnsi="Arial"/>
                <w:sz w:val="18"/>
              </w:rPr>
              <w:t>Messaging infrastructure. Rescheduling cancels obsolete reminders and does not send duplicates.</w:t>
            </w:r>
          </w:p>
        </w:tc>
        <w:tc>
          <w:tcPr>
            <w:tcW w:type="dxa" w:w="2088"/>
            <w:vAlign w:val="top"/>
            <w:shd w:fill="F3F6F7"/>
          </w:tcPr>
          <w:p>
            <w:pPr>
              <w:keepNext w:val="0"/>
              <w:spacing w:after="50" w:before="20" w:line="250" w:lineRule="auto"/>
            </w:pPr>
            <w:r>
              <w:rPr>
                <w:rFonts w:ascii="Arial" w:hAnsi="Arial"/>
                <w:sz w:val="18"/>
              </w:rPr>
              <w:t>Launch candidate (L)</w:t>
              <w:br/>
              <w:t>People: MSG</w:t>
              <w:br/>
              <w:t>Basis: B; WB F48 F49</w:t>
            </w:r>
          </w:p>
        </w:tc>
      </w:tr>
      <w:tr>
        <w:trPr>
          <w:cantSplit/>
        </w:trPr>
        <w:tc>
          <w:tcPr>
            <w:tcW w:type="dxa" w:w="4392"/>
            <w:vAlign w:val="top"/>
          </w:tcPr>
          <w:p>
            <w:pPr>
              <w:keepNext w:val="0"/>
              <w:spacing w:after="50" w:before="20" w:line="250" w:lineRule="auto"/>
            </w:pPr>
            <w:r>
              <w:rPr>
                <w:rFonts w:ascii="Arial" w:hAnsi="Arial"/>
                <w:b/>
                <w:sz w:val="18"/>
              </w:rPr>
              <w:t>F029  Recurring appointment proposals</w:t>
            </w:r>
            <w:r>
              <w:rPr>
                <w:rFonts w:ascii="Arial" w:hAnsi="Arial"/>
                <w:b w:val="0"/>
                <w:sz w:val="18"/>
              </w:rPr>
              <w:br/>
              <w:t>Create repeat visits with an end date and exception review rather than silently promising unavailable slots.</w:t>
            </w:r>
          </w:p>
        </w:tc>
        <w:tc>
          <w:tcPr>
            <w:tcW w:type="dxa" w:w="3744"/>
            <w:vAlign w:val="top"/>
          </w:tcPr>
          <w:p>
            <w:pPr>
              <w:keepNext w:val="0"/>
              <w:spacing w:after="50" w:before="20" w:line="250" w:lineRule="auto"/>
            </w:pPr>
            <w:r>
              <w:rPr>
                <w:rFonts w:ascii="Arial" w:hAnsi="Arial"/>
                <w:sz w:val="18"/>
              </w:rPr>
              <w:t>Scheduling engine. Conflicting occurrences remain unconfirmed until the owner resolves them.</w:t>
            </w:r>
          </w:p>
        </w:tc>
        <w:tc>
          <w:tcPr>
            <w:tcW w:type="dxa" w:w="2088"/>
            <w:vAlign w:val="top"/>
          </w:tcPr>
          <w:p>
            <w:pPr>
              <w:keepNext w:val="0"/>
              <w:spacing w:after="50" w:before="20" w:line="250" w:lineRule="auto"/>
            </w:pPr>
            <w:r>
              <w:rPr>
                <w:rFonts w:ascii="Arial" w:hAnsi="Arial"/>
                <w:sz w:val="18"/>
              </w:rPr>
              <w:t>Growth (G)</w:t>
              <w:br/>
              <w:t>People: CORE</w:t>
              <w:br/>
              <w:t>Basis: B; recurring bookings</w:t>
            </w:r>
          </w:p>
        </w:tc>
      </w:tr>
      <w:tr>
        <w:trPr>
          <w:cantSplit/>
        </w:trPr>
        <w:tc>
          <w:tcPr>
            <w:tcW w:type="dxa" w:w="4392"/>
            <w:vAlign w:val="top"/>
            <w:shd w:fill="F3F6F7"/>
          </w:tcPr>
          <w:p>
            <w:pPr>
              <w:keepNext w:val="0"/>
              <w:spacing w:after="50" w:before="20" w:line="250" w:lineRule="auto"/>
            </w:pPr>
            <w:r>
              <w:rPr>
                <w:rFonts w:ascii="Arial" w:hAnsi="Arial"/>
                <w:b/>
                <w:sz w:val="18"/>
              </w:rPr>
              <w:t>F030  Self service appointment changes</w:t>
            </w:r>
            <w:r>
              <w:rPr>
                <w:rFonts w:ascii="Arial" w:hAnsi="Arial"/>
                <w:b w:val="0"/>
                <w:sz w:val="18"/>
              </w:rPr>
              <w:br/>
              <w:t>Allow permitted confirmation, cancellation and rescheduling from a secure link, showing any fee before acceptance.</w:t>
            </w:r>
          </w:p>
        </w:tc>
        <w:tc>
          <w:tcPr>
            <w:tcW w:type="dxa" w:w="3744"/>
            <w:vAlign w:val="top"/>
            <w:shd w:fill="F3F6F7"/>
          </w:tcPr>
          <w:p>
            <w:pPr>
              <w:keepNext w:val="0"/>
              <w:spacing w:after="50" w:before="20" w:line="250" w:lineRule="auto"/>
            </w:pPr>
            <w:r>
              <w:rPr>
                <w:rFonts w:ascii="Arial" w:hAnsi="Arial"/>
                <w:sz w:val="18"/>
              </w:rPr>
              <w:t>Scheduling and policy engines. A repeated click cannot produce duplicate changes or fees.</w:t>
            </w:r>
          </w:p>
        </w:tc>
        <w:tc>
          <w:tcPr>
            <w:tcW w:type="dxa" w:w="2088"/>
            <w:vAlign w:val="top"/>
            <w:shd w:fill="F3F6F7"/>
          </w:tcPr>
          <w:p>
            <w:pPr>
              <w:keepNext w:val="0"/>
              <w:spacing w:after="50" w:before="20" w:line="250" w:lineRule="auto"/>
            </w:pPr>
            <w:r>
              <w:rPr>
                <w:rFonts w:ascii="Arial" w:hAnsi="Arial"/>
                <w:sz w:val="18"/>
              </w:rPr>
              <w:t>Launch candidate (L)</w:t>
              <w:br/>
              <w:t>People: CORE</w:t>
              <w:br/>
              <w:t>Basis: B; WB F50</w:t>
            </w:r>
          </w:p>
        </w:tc>
      </w:tr>
      <w:tr>
        <w:trPr>
          <w:cantSplit/>
        </w:trPr>
        <w:tc>
          <w:tcPr>
            <w:tcW w:type="dxa" w:w="4392"/>
            <w:vAlign w:val="top"/>
          </w:tcPr>
          <w:p>
            <w:pPr>
              <w:keepNext w:val="0"/>
              <w:spacing w:after="50" w:before="20" w:line="250" w:lineRule="auto"/>
            </w:pPr>
            <w:r>
              <w:rPr>
                <w:rFonts w:ascii="Arial" w:hAnsi="Arial"/>
                <w:b/>
                <w:sz w:val="18"/>
              </w:rPr>
              <w:t>F031  Passwordless client portal</w:t>
            </w:r>
            <w:r>
              <w:rPr>
                <w:rFonts w:ascii="Arial" w:hAnsi="Arial"/>
                <w:b w:val="0"/>
                <w:sz w:val="18"/>
              </w:rPr>
              <w:br/>
              <w:t>Offer optional secure access to appointments, forms, balances, documents and preferences without requiring an app.</w:t>
            </w:r>
          </w:p>
        </w:tc>
        <w:tc>
          <w:tcPr>
            <w:tcW w:type="dxa" w:w="3744"/>
            <w:vAlign w:val="top"/>
          </w:tcPr>
          <w:p>
            <w:pPr>
              <w:keepNext w:val="0"/>
              <w:spacing w:after="50" w:before="20" w:line="250" w:lineRule="auto"/>
            </w:pPr>
            <w:r>
              <w:rPr>
                <w:rFonts w:ascii="Arial" w:hAnsi="Arial"/>
                <w:sz w:val="18"/>
              </w:rPr>
              <w:t>Identity and link expiry. Public booking remains possible without exposing private records.</w:t>
            </w:r>
          </w:p>
        </w:tc>
        <w:tc>
          <w:tcPr>
            <w:tcW w:type="dxa" w:w="2088"/>
            <w:vAlign w:val="top"/>
          </w:tcPr>
          <w:p>
            <w:pPr>
              <w:keepNext w:val="0"/>
              <w:spacing w:after="50" w:before="20" w:line="250" w:lineRule="auto"/>
            </w:pPr>
            <w:r>
              <w:rPr>
                <w:rFonts w:ascii="Arial" w:hAnsi="Arial"/>
                <w:sz w:val="18"/>
              </w:rPr>
              <w:t>Launch candidate (L)</w:t>
              <w:br/>
              <w:t>People: SEC</w:t>
              <w:br/>
              <w:t>Basis: B; WB F6</w:t>
            </w:r>
          </w:p>
        </w:tc>
      </w:tr>
      <w:tr>
        <w:trPr>
          <w:cantSplit/>
        </w:trPr>
        <w:tc>
          <w:tcPr>
            <w:tcW w:type="dxa" w:w="4392"/>
            <w:vAlign w:val="top"/>
            <w:shd w:fill="F3F6F7"/>
          </w:tcPr>
          <w:p>
            <w:pPr>
              <w:keepNext w:val="0"/>
              <w:spacing w:after="50" w:before="20" w:line="250" w:lineRule="auto"/>
            </w:pPr>
            <w:r>
              <w:rPr>
                <w:rFonts w:ascii="Arial" w:hAnsi="Arial"/>
                <w:b/>
                <w:sz w:val="18"/>
              </w:rPr>
              <w:t>F032  Brandable booking website</w:t>
            </w:r>
            <w:r>
              <w:rPr>
                <w:rFonts w:ascii="Arial" w:hAnsi="Arial"/>
                <w:b w:val="0"/>
                <w:sz w:val="18"/>
              </w:rPr>
              <w:br/>
              <w:t>Provide polished templates with editable sections, typography, imagery, service order and business-owned domain support.</w:t>
            </w:r>
          </w:p>
        </w:tc>
        <w:tc>
          <w:tcPr>
            <w:tcW w:type="dxa" w:w="3744"/>
            <w:vAlign w:val="top"/>
            <w:shd w:fill="F3F6F7"/>
          </w:tcPr>
          <w:p>
            <w:pPr>
              <w:keepNext w:val="0"/>
              <w:spacing w:after="50" w:before="20" w:line="250" w:lineRule="auto"/>
            </w:pPr>
            <w:r>
              <w:rPr>
                <w:rFonts w:ascii="Arial" w:hAnsi="Arial"/>
                <w:sz w:val="18"/>
              </w:rPr>
              <w:t>Brand kit and publishing. Mobile preview matches live output and failed publishes leave the old site intact.</w:t>
            </w:r>
          </w:p>
        </w:tc>
        <w:tc>
          <w:tcPr>
            <w:tcW w:type="dxa" w:w="2088"/>
            <w:vAlign w:val="top"/>
            <w:shd w:fill="F3F6F7"/>
          </w:tcPr>
          <w:p>
            <w:pPr>
              <w:keepNext w:val="0"/>
              <w:spacing w:after="50" w:before="20" w:line="250" w:lineRule="auto"/>
            </w:pPr>
            <w:r>
              <w:rPr>
                <w:rFonts w:ascii="Arial" w:hAnsi="Arial"/>
                <w:sz w:val="18"/>
              </w:rPr>
              <w:t>Launch candidate (L)</w:t>
              <w:br/>
              <w:t>People: DES</w:t>
              <w:br/>
              <w:t>Basis: I; WB F13</w:t>
            </w:r>
          </w:p>
        </w:tc>
      </w:tr>
      <w:tr>
        <w:trPr>
          <w:cantSplit/>
        </w:trPr>
        <w:tc>
          <w:tcPr>
            <w:tcW w:type="dxa" w:w="4392"/>
            <w:vAlign w:val="top"/>
          </w:tcPr>
          <w:p>
            <w:pPr>
              <w:keepNext w:val="0"/>
              <w:spacing w:after="50" w:before="20" w:line="250" w:lineRule="auto"/>
            </w:pPr>
            <w:r>
              <w:rPr>
                <w:rFonts w:ascii="Arial" w:hAnsi="Arial"/>
                <w:b/>
                <w:sz w:val="18"/>
              </w:rPr>
              <w:t>F033  Website search and local discovery</w:t>
            </w:r>
            <w:r>
              <w:rPr>
                <w:rFonts w:ascii="Arial" w:hAnsi="Arial"/>
                <w:b w:val="0"/>
                <w:sz w:val="18"/>
              </w:rPr>
              <w:br/>
              <w:t>Generate searchable service pages, location metadata, page titles and share previews from approved business content.</w:t>
            </w:r>
          </w:p>
        </w:tc>
        <w:tc>
          <w:tcPr>
            <w:tcW w:type="dxa" w:w="3744"/>
            <w:vAlign w:val="top"/>
          </w:tcPr>
          <w:p>
            <w:pPr>
              <w:keepNext w:val="0"/>
              <w:spacing w:after="50" w:before="20" w:line="250" w:lineRule="auto"/>
            </w:pPr>
            <w:r>
              <w:rPr>
                <w:rFonts w:ascii="Arial" w:hAnsi="Arial"/>
                <w:sz w:val="18"/>
              </w:rPr>
              <w:t>Published catalog. Changes update pages without creating duplicate or misleading locations.</w:t>
            </w:r>
          </w:p>
        </w:tc>
        <w:tc>
          <w:tcPr>
            <w:tcW w:type="dxa" w:w="2088"/>
            <w:vAlign w:val="top"/>
          </w:tcPr>
          <w:p>
            <w:pPr>
              <w:keepNext w:val="0"/>
              <w:spacing w:after="50" w:before="20" w:line="250" w:lineRule="auto"/>
            </w:pPr>
            <w:r>
              <w:rPr>
                <w:rFonts w:ascii="Arial" w:hAnsi="Arial"/>
                <w:sz w:val="18"/>
              </w:rPr>
              <w:t>Growth (G)</w:t>
              <w:br/>
              <w:t>People: CORE; PART for external listings</w:t>
              <w:br/>
              <w:t>Basis: B; website growth</w:t>
            </w:r>
          </w:p>
        </w:tc>
      </w:tr>
      <w:tr>
        <w:trPr>
          <w:cantSplit/>
        </w:trPr>
        <w:tc>
          <w:tcPr>
            <w:tcW w:type="dxa" w:w="4392"/>
            <w:vAlign w:val="top"/>
            <w:shd w:fill="F3F6F7"/>
          </w:tcPr>
          <w:p>
            <w:pPr>
              <w:keepNext w:val="0"/>
              <w:spacing w:after="50" w:before="20" w:line="250" w:lineRule="auto"/>
            </w:pPr>
            <w:r>
              <w:rPr>
                <w:rFonts w:ascii="Arial" w:hAnsi="Arial"/>
                <w:b/>
                <w:sz w:val="18"/>
              </w:rPr>
              <w:t>F034  Inquiry and consultation requests</w:t>
            </w:r>
            <w:r>
              <w:rPr>
                <w:rFonts w:ascii="Arial" w:hAnsi="Arial"/>
                <w:b w:val="0"/>
                <w:sz w:val="18"/>
              </w:rPr>
              <w:br/>
              <w:t>Capture service questions, inspiration photos and preferred dates in a request queue before an appointment is promised.</w:t>
            </w:r>
          </w:p>
        </w:tc>
        <w:tc>
          <w:tcPr>
            <w:tcW w:type="dxa" w:w="3744"/>
            <w:vAlign w:val="top"/>
            <w:shd w:fill="F3F6F7"/>
          </w:tcPr>
          <w:p>
            <w:pPr>
              <w:keepNext w:val="0"/>
              <w:spacing w:after="50" w:before="20" w:line="250" w:lineRule="auto"/>
            </w:pPr>
            <w:r>
              <w:rPr>
                <w:rFonts w:ascii="Arial" w:hAnsi="Arial"/>
                <w:sz w:val="18"/>
              </w:rPr>
              <w:t>Consent and file storage. Requests have an owner, response target and conversion status.</w:t>
            </w:r>
          </w:p>
        </w:tc>
        <w:tc>
          <w:tcPr>
            <w:tcW w:type="dxa" w:w="2088"/>
            <w:vAlign w:val="top"/>
            <w:shd w:fill="F3F6F7"/>
          </w:tcPr>
          <w:p>
            <w:pPr>
              <w:keepNext w:val="0"/>
              <w:spacing w:after="50" w:before="20" w:line="250" w:lineRule="auto"/>
            </w:pPr>
            <w:r>
              <w:rPr>
                <w:rFonts w:ascii="Arial" w:hAnsi="Arial"/>
                <w:sz w:val="18"/>
              </w:rPr>
              <w:t>Launch candidate (L)</w:t>
              <w:br/>
              <w:t>People: CORE</w:t>
              <w:br/>
              <w:t>Basis: I; consultation workflow</w:t>
            </w:r>
          </w:p>
        </w:tc>
      </w:tr>
      <w:tr>
        <w:trPr>
          <w:cantSplit/>
        </w:trPr>
        <w:tc>
          <w:tcPr>
            <w:tcW w:type="dxa" w:w="4392"/>
            <w:vAlign w:val="top"/>
          </w:tcPr>
          <w:p>
            <w:pPr>
              <w:keepNext w:val="0"/>
              <w:spacing w:after="50" w:before="20" w:line="250" w:lineRule="auto"/>
            </w:pPr>
            <w:r>
              <w:rPr>
                <w:rFonts w:ascii="Arial" w:hAnsi="Arial"/>
                <w:b/>
                <w:sz w:val="18"/>
              </w:rPr>
              <w:t>F035  Conditional intake forms</w:t>
            </w:r>
            <w:r>
              <w:rPr>
                <w:rFonts w:ascii="Arial" w:hAnsi="Arial"/>
                <w:b w:val="0"/>
                <w:sz w:val="18"/>
              </w:rPr>
              <w:br/>
              <w:t>Use accessible fields and branching questions, autosave and a clear reason for sensitive questions.</w:t>
            </w:r>
          </w:p>
        </w:tc>
        <w:tc>
          <w:tcPr>
            <w:tcW w:type="dxa" w:w="3744"/>
            <w:vAlign w:val="top"/>
          </w:tcPr>
          <w:p>
            <w:pPr>
              <w:keepNext w:val="0"/>
              <w:spacing w:after="50" w:before="20" w:line="250" w:lineRule="auto"/>
            </w:pPr>
            <w:r>
              <w:rPr>
                <w:rFonts w:ascii="Arial" w:hAnsi="Arial"/>
                <w:sz w:val="18"/>
              </w:rPr>
              <w:t>Form engine and permissions. Hidden questions are not treated as missing required answers.</w:t>
            </w:r>
          </w:p>
        </w:tc>
        <w:tc>
          <w:tcPr>
            <w:tcW w:type="dxa" w:w="2088"/>
            <w:vAlign w:val="top"/>
          </w:tcPr>
          <w:p>
            <w:pPr>
              <w:keepNext w:val="0"/>
              <w:spacing w:after="50" w:before="20" w:line="250" w:lineRule="auto"/>
            </w:pPr>
            <w:r>
              <w:rPr>
                <w:rFonts w:ascii="Arial" w:hAnsi="Arial"/>
                <w:sz w:val="18"/>
              </w:rPr>
              <w:t>Launch candidate (L)</w:t>
              <w:br/>
              <w:t>People: CLIN LEG</w:t>
              <w:br/>
              <w:t>Basis: B; WB F22</w:t>
            </w:r>
          </w:p>
        </w:tc>
      </w:tr>
      <w:tr>
        <w:trPr>
          <w:cantSplit/>
        </w:trPr>
        <w:tc>
          <w:tcPr>
            <w:tcW w:type="dxa" w:w="4392"/>
            <w:vAlign w:val="top"/>
            <w:shd w:fill="F3F6F7"/>
          </w:tcPr>
          <w:p>
            <w:pPr>
              <w:keepNext w:val="0"/>
              <w:spacing w:after="50" w:before="20" w:line="250" w:lineRule="auto"/>
            </w:pPr>
            <w:r>
              <w:rPr>
                <w:rFonts w:ascii="Arial" w:hAnsi="Arial"/>
                <w:b/>
                <w:sz w:val="18"/>
              </w:rPr>
              <w:t>F036  Branded document generation</w:t>
            </w:r>
            <w:r>
              <w:rPr>
                <w:rFonts w:ascii="Arial" w:hAnsi="Arial"/>
                <w:b w:val="0"/>
                <w:sz w:val="18"/>
              </w:rPr>
              <w:br/>
              <w:t>Generate editable DOCX and fixed PDF estimates, service plans, aftercare and business documents from approved data.</w:t>
            </w:r>
          </w:p>
        </w:tc>
        <w:tc>
          <w:tcPr>
            <w:tcW w:type="dxa" w:w="3744"/>
            <w:vAlign w:val="top"/>
            <w:shd w:fill="F3F6F7"/>
          </w:tcPr>
          <w:p>
            <w:pPr>
              <w:keepNext w:val="0"/>
              <w:spacing w:after="50" w:before="20" w:line="250" w:lineRule="auto"/>
            </w:pPr>
            <w:r>
              <w:rPr>
                <w:rFonts w:ascii="Arial" w:hAnsi="Arial"/>
                <w:sz w:val="18"/>
              </w:rPr>
              <w:t>Template versions. Missing fields block sending; downloaded copies preserve date, author and source version.</w:t>
            </w:r>
          </w:p>
        </w:tc>
        <w:tc>
          <w:tcPr>
            <w:tcW w:type="dxa" w:w="2088"/>
            <w:vAlign w:val="top"/>
            <w:shd w:fill="F3F6F7"/>
          </w:tcPr>
          <w:p>
            <w:pPr>
              <w:keepNext w:val="0"/>
              <w:spacing w:after="50" w:before="20" w:line="250" w:lineRule="auto"/>
            </w:pPr>
            <w:r>
              <w:rPr>
                <w:rFonts w:ascii="Arial" w:hAnsi="Arial"/>
                <w:sz w:val="18"/>
              </w:rPr>
              <w:t>Launch candidate (L)</w:t>
              <w:br/>
              <w:t>People: DES LEG</w:t>
              <w:br/>
              <w:t>Basis: T; custom documents</w:t>
            </w:r>
          </w:p>
        </w:tc>
      </w:tr>
      <w:tr>
        <w:trPr>
          <w:cantSplit/>
        </w:trPr>
        <w:tc>
          <w:tcPr>
            <w:tcW w:type="dxa" w:w="4392"/>
            <w:vAlign w:val="top"/>
          </w:tcPr>
          <w:p>
            <w:pPr>
              <w:keepNext w:val="0"/>
              <w:spacing w:after="50" w:before="20" w:line="250" w:lineRule="auto"/>
            </w:pPr>
            <w:r>
              <w:rPr>
                <w:rFonts w:ascii="Arial" w:hAnsi="Arial"/>
                <w:b/>
                <w:sz w:val="18"/>
              </w:rPr>
              <w:t>F037  Approved aftercare delivery</w:t>
            </w:r>
            <w:r>
              <w:rPr>
                <w:rFonts w:ascii="Arial" w:hAnsi="Arial"/>
                <w:b w:val="0"/>
                <w:sz w:val="18"/>
              </w:rPr>
              <w:br/>
              <w:t>Attach the service-specific instructions actually approved by the practitioner, with a delivery record and contact route.</w:t>
            </w:r>
          </w:p>
        </w:tc>
        <w:tc>
          <w:tcPr>
            <w:tcW w:type="dxa" w:w="3744"/>
            <w:vAlign w:val="top"/>
          </w:tcPr>
          <w:p>
            <w:pPr>
              <w:keepNext w:val="0"/>
              <w:spacing w:after="50" w:before="20" w:line="250" w:lineRule="auto"/>
            </w:pPr>
            <w:r>
              <w:rPr>
                <w:rFonts w:ascii="Arial" w:hAnsi="Arial"/>
                <w:sz w:val="18"/>
              </w:rPr>
              <w:t>Template library and visit records. A later edit does not rewrite previously delivered instructions.</w:t>
            </w:r>
          </w:p>
        </w:tc>
        <w:tc>
          <w:tcPr>
            <w:tcW w:type="dxa" w:w="2088"/>
            <w:vAlign w:val="top"/>
          </w:tcPr>
          <w:p>
            <w:pPr>
              <w:keepNext w:val="0"/>
              <w:spacing w:after="50" w:before="20" w:line="250" w:lineRule="auto"/>
            </w:pPr>
            <w:r>
              <w:rPr>
                <w:rFonts w:ascii="Arial" w:hAnsi="Arial"/>
                <w:sz w:val="18"/>
              </w:rPr>
              <w:t>Launch candidate (L)</w:t>
              <w:br/>
              <w:t>People: CLIN</w:t>
              <w:br/>
              <w:t>Basis: I; WB F29</w:t>
            </w:r>
          </w:p>
        </w:tc>
      </w:tr>
      <w:tr>
        <w:trPr>
          <w:cantSplit/>
        </w:trPr>
        <w:tc>
          <w:tcPr>
            <w:tcW w:type="dxa" w:w="4392"/>
            <w:vAlign w:val="top"/>
            <w:shd w:fill="F3F6F7"/>
          </w:tcPr>
          <w:p>
            <w:pPr>
              <w:keepNext w:val="0"/>
              <w:spacing w:after="50" w:before="20" w:line="250" w:lineRule="auto"/>
            </w:pPr>
            <w:r>
              <w:rPr>
                <w:rFonts w:ascii="Arial" w:hAnsi="Arial"/>
                <w:b/>
                <w:sz w:val="18"/>
              </w:rPr>
              <w:t>F038  Structured treatment notes</w:t>
            </w:r>
            <w:r>
              <w:rPr>
                <w:rFonts w:ascii="Arial" w:hAnsi="Arial"/>
                <w:b w:val="0"/>
                <w:sz w:val="18"/>
              </w:rPr>
              <w:br/>
              <w:t>Provide customizable facial, lash, brow, hair and massage notes, including products used and client-stated responses.</w:t>
            </w:r>
          </w:p>
        </w:tc>
        <w:tc>
          <w:tcPr>
            <w:tcW w:type="dxa" w:w="3744"/>
            <w:vAlign w:val="top"/>
            <w:shd w:fill="F3F6F7"/>
          </w:tcPr>
          <w:p>
            <w:pPr>
              <w:keepNext w:val="0"/>
              <w:spacing w:after="50" w:before="20" w:line="250" w:lineRule="auto"/>
            </w:pPr>
            <w:r>
              <w:rPr>
                <w:rFonts w:ascii="Arial" w:hAnsi="Arial"/>
                <w:sz w:val="18"/>
              </w:rPr>
              <w:t>Secure record storage. Notes autosave, preserve authorship and distinguish draft from signed records.</w:t>
            </w:r>
          </w:p>
        </w:tc>
        <w:tc>
          <w:tcPr>
            <w:tcW w:type="dxa" w:w="2088"/>
            <w:vAlign w:val="top"/>
            <w:shd w:fill="F3F6F7"/>
          </w:tcPr>
          <w:p>
            <w:pPr>
              <w:keepNext w:val="0"/>
              <w:spacing w:after="50" w:before="20" w:line="250" w:lineRule="auto"/>
            </w:pPr>
            <w:r>
              <w:rPr>
                <w:rFonts w:ascii="Arial" w:hAnsi="Arial"/>
                <w:sz w:val="18"/>
              </w:rPr>
              <w:t>Launch candidate (L)</w:t>
              <w:br/>
              <w:t>People: CLIN</w:t>
              <w:br/>
              <w:t>Basis: B; WB F23 F29</w:t>
            </w:r>
          </w:p>
        </w:tc>
      </w:tr>
      <w:tr>
        <w:trPr>
          <w:cantSplit/>
        </w:trPr>
        <w:tc>
          <w:tcPr>
            <w:tcW w:type="dxa" w:w="4392"/>
            <w:vAlign w:val="top"/>
          </w:tcPr>
          <w:p>
            <w:pPr>
              <w:keepNext w:val="0"/>
              <w:spacing w:after="50" w:before="20" w:line="250" w:lineRule="auto"/>
            </w:pPr>
            <w:r>
              <w:rPr>
                <w:rFonts w:ascii="Arial" w:hAnsi="Arial"/>
                <w:b/>
                <w:sz w:val="18"/>
              </w:rPr>
              <w:t>F039  Image annotation tools</w:t>
            </w:r>
            <w:r>
              <w:rPr>
                <w:rFonts w:ascii="Arial" w:hAnsi="Arial"/>
                <w:b w:val="0"/>
                <w:sz w:val="18"/>
              </w:rPr>
              <w:br/>
              <w:t>Mark treatment zones, lash maps, brow shapes or hair extension positions on copies of original images.</w:t>
            </w:r>
          </w:p>
        </w:tc>
        <w:tc>
          <w:tcPr>
            <w:tcW w:type="dxa" w:w="3744"/>
            <w:vAlign w:val="top"/>
          </w:tcPr>
          <w:p>
            <w:pPr>
              <w:keepNext w:val="0"/>
              <w:spacing w:after="50" w:before="20" w:line="250" w:lineRule="auto"/>
            </w:pPr>
            <w:r>
              <w:rPr>
                <w:rFonts w:ascii="Arial" w:hAnsi="Arial"/>
                <w:sz w:val="18"/>
              </w:rPr>
              <w:t>Media permissions. Original images remain recoverable and annotations retain author and date.</w:t>
            </w:r>
          </w:p>
        </w:tc>
        <w:tc>
          <w:tcPr>
            <w:tcW w:type="dxa" w:w="2088"/>
            <w:vAlign w:val="top"/>
          </w:tcPr>
          <w:p>
            <w:pPr>
              <w:keepNext w:val="0"/>
              <w:spacing w:after="50" w:before="20" w:line="250" w:lineRule="auto"/>
            </w:pPr>
            <w:r>
              <w:rPr>
                <w:rFonts w:ascii="Arial" w:hAnsi="Arial"/>
                <w:sz w:val="18"/>
              </w:rPr>
              <w:t>Growth (G)</w:t>
              <w:br/>
              <w:t>People: CLIN</w:t>
              <w:br/>
              <w:t>Basis: B; WB F25</w:t>
            </w:r>
          </w:p>
        </w:tc>
      </w:tr>
      <w:tr>
        <w:trPr>
          <w:cantSplit/>
        </w:trPr>
        <w:tc>
          <w:tcPr>
            <w:tcW w:type="dxa" w:w="4392"/>
            <w:vAlign w:val="top"/>
            <w:shd w:fill="F3F6F7"/>
          </w:tcPr>
          <w:p>
            <w:pPr>
              <w:keepNext w:val="0"/>
              <w:spacing w:after="50" w:before="20" w:line="250" w:lineRule="auto"/>
            </w:pPr>
            <w:r>
              <w:rPr>
                <w:rFonts w:ascii="Arial" w:hAnsi="Arial"/>
                <w:b/>
                <w:sz w:val="18"/>
              </w:rPr>
              <w:t>F040  Home care plan</w:t>
            </w:r>
            <w:r>
              <w:rPr>
                <w:rFonts w:ascii="Arial" w:hAnsi="Arial"/>
                <w:b w:val="0"/>
                <w:sz w:val="18"/>
              </w:rPr>
              <w:br/>
              <w:t>Record products recommended, frequency, client preferences and practitioner-approved instructions alongside visits.</w:t>
            </w:r>
          </w:p>
        </w:tc>
        <w:tc>
          <w:tcPr>
            <w:tcW w:type="dxa" w:w="3744"/>
            <w:vAlign w:val="top"/>
            <w:shd w:fill="F3F6F7"/>
          </w:tcPr>
          <w:p>
            <w:pPr>
              <w:keepNext w:val="0"/>
              <w:spacing w:after="50" w:before="20" w:line="250" w:lineRule="auto"/>
            </w:pPr>
            <w:r>
              <w:rPr>
                <w:rFonts w:ascii="Arial" w:hAnsi="Arial"/>
                <w:sz w:val="18"/>
              </w:rPr>
              <w:t>Product and document records. Clients see the plan version they received and can ask questions.</w:t>
            </w:r>
          </w:p>
        </w:tc>
        <w:tc>
          <w:tcPr>
            <w:tcW w:type="dxa" w:w="2088"/>
            <w:vAlign w:val="top"/>
            <w:shd w:fill="F3F6F7"/>
          </w:tcPr>
          <w:p>
            <w:pPr>
              <w:keepNext w:val="0"/>
              <w:spacing w:after="50" w:before="20" w:line="250" w:lineRule="auto"/>
            </w:pPr>
            <w:r>
              <w:rPr>
                <w:rFonts w:ascii="Arial" w:hAnsi="Arial"/>
                <w:sz w:val="18"/>
              </w:rPr>
              <w:t>Growth (G)</w:t>
              <w:br/>
              <w:t>People: CLIN</w:t>
              <w:br/>
              <w:t>Basis: I; WB F29</w:t>
            </w:r>
          </w:p>
        </w:tc>
      </w:tr>
      <w:tr>
        <w:trPr>
          <w:cantSplit/>
        </w:trPr>
        <w:tc>
          <w:tcPr>
            <w:tcW w:type="dxa" w:w="4392"/>
            <w:vAlign w:val="top"/>
          </w:tcPr>
          <w:p>
            <w:pPr>
              <w:keepNext w:val="0"/>
              <w:spacing w:after="50" w:before="20" w:line="250" w:lineRule="auto"/>
            </w:pPr>
            <w:r>
              <w:rPr>
                <w:rFonts w:ascii="Arial" w:hAnsi="Arial"/>
                <w:b/>
                <w:sz w:val="18"/>
              </w:rPr>
              <w:t>F041  Changes since last visit</w:t>
            </w:r>
            <w:r>
              <w:rPr>
                <w:rFonts w:ascii="Arial" w:hAnsi="Arial"/>
                <w:b w:val="0"/>
                <w:sz w:val="18"/>
              </w:rPr>
              <w:br/>
              <w:t>Show previous answers and ask clients to confirm or update only the relevant changes, with full review available.</w:t>
            </w:r>
          </w:p>
        </w:tc>
        <w:tc>
          <w:tcPr>
            <w:tcW w:type="dxa" w:w="3744"/>
            <w:vAlign w:val="top"/>
          </w:tcPr>
          <w:p>
            <w:pPr>
              <w:keepNext w:val="0"/>
              <w:spacing w:after="50" w:before="20" w:line="250" w:lineRule="auto"/>
            </w:pPr>
            <w:r>
              <w:rPr>
                <w:rFonts w:ascii="Arial" w:hAnsi="Arial"/>
                <w:sz w:val="18"/>
              </w:rPr>
              <w:t>Versioned forms. Confirmations never overwrite original responses or imply unchanged medical eligibility.</w:t>
            </w:r>
          </w:p>
        </w:tc>
        <w:tc>
          <w:tcPr>
            <w:tcW w:type="dxa" w:w="2088"/>
            <w:vAlign w:val="top"/>
          </w:tcPr>
          <w:p>
            <w:pPr>
              <w:keepNext w:val="0"/>
              <w:spacing w:after="50" w:before="20" w:line="250" w:lineRule="auto"/>
            </w:pPr>
            <w:r>
              <w:rPr>
                <w:rFonts w:ascii="Arial" w:hAnsi="Arial"/>
                <w:sz w:val="18"/>
              </w:rPr>
              <w:t>Growth (G)</w:t>
              <w:br/>
              <w:t>People: CLIN UX</w:t>
              <w:br/>
              <w:t>Basis: T; reduced repeated entry</w:t>
            </w:r>
          </w:p>
        </w:tc>
      </w:tr>
      <w:tr>
        <w:trPr>
          <w:cantSplit/>
        </w:trPr>
        <w:tc>
          <w:tcPr>
            <w:tcW w:type="dxa" w:w="4392"/>
            <w:vAlign w:val="top"/>
            <w:shd w:fill="F3F6F7"/>
          </w:tcPr>
          <w:p>
            <w:pPr>
              <w:keepNext w:val="0"/>
              <w:spacing w:after="50" w:before="20" w:line="250" w:lineRule="auto"/>
            </w:pPr>
            <w:r>
              <w:rPr>
                <w:rFonts w:ascii="Arial" w:hAnsi="Arial"/>
                <w:b/>
                <w:sz w:val="18"/>
              </w:rPr>
              <w:t>F042  Patch test record</w:t>
            </w:r>
            <w:r>
              <w:rPr>
                <w:rFonts w:ascii="Arial" w:hAnsi="Arial"/>
                <w:b w:val="0"/>
                <w:sz w:val="18"/>
              </w:rPr>
              <w:br/>
              <w:t>Record product, lot, test date, result entered by the professional and next review date.</w:t>
            </w:r>
          </w:p>
        </w:tc>
        <w:tc>
          <w:tcPr>
            <w:tcW w:type="dxa" w:w="3744"/>
            <w:vAlign w:val="top"/>
            <w:shd w:fill="F3F6F7"/>
          </w:tcPr>
          <w:p>
            <w:pPr>
              <w:keepNext w:val="0"/>
              <w:spacing w:after="50" w:before="20" w:line="250" w:lineRule="auto"/>
            </w:pPr>
            <w:r>
              <w:rPr>
                <w:rFonts w:ascii="Arial" w:hAnsi="Arial"/>
                <w:sz w:val="18"/>
              </w:rPr>
              <w:t>Professional-approved rules. The system flags missing evidence without inventing a universal expiry period.</w:t>
            </w:r>
          </w:p>
        </w:tc>
        <w:tc>
          <w:tcPr>
            <w:tcW w:type="dxa" w:w="2088"/>
            <w:vAlign w:val="top"/>
            <w:shd w:fill="F3F6F7"/>
          </w:tcPr>
          <w:p>
            <w:pPr>
              <w:keepNext w:val="0"/>
              <w:spacing w:after="50" w:before="20" w:line="250" w:lineRule="auto"/>
            </w:pPr>
            <w:r>
              <w:rPr>
                <w:rFonts w:ascii="Arial" w:hAnsi="Arial"/>
                <w:sz w:val="18"/>
              </w:rPr>
              <w:t>Launch candidate (L)</w:t>
              <w:br/>
              <w:t>People: CLIN</w:t>
              <w:br/>
              <w:t>Basis: B; WB F28</w:t>
            </w:r>
          </w:p>
        </w:tc>
      </w:tr>
      <w:tr>
        <w:trPr>
          <w:cantSplit/>
        </w:trPr>
        <w:tc>
          <w:tcPr>
            <w:tcW w:type="dxa" w:w="4392"/>
            <w:vAlign w:val="top"/>
          </w:tcPr>
          <w:p>
            <w:pPr>
              <w:keepNext w:val="0"/>
              <w:spacing w:after="50" w:before="20" w:line="250" w:lineRule="auto"/>
            </w:pPr>
            <w:r>
              <w:rPr>
                <w:rFonts w:ascii="Arial" w:hAnsi="Arial"/>
                <w:b/>
                <w:sz w:val="18"/>
              </w:rPr>
              <w:t>F043  Forms matched to the appointment</w:t>
            </w:r>
            <w:r>
              <w:rPr>
                <w:rFonts w:ascii="Arial" w:hAnsi="Arial"/>
                <w:b w:val="0"/>
                <w:sz w:val="18"/>
              </w:rPr>
              <w:br/>
              <w:t>Automatically prepare the correct intake, consent and preparation documents for the actual booked service.</w:t>
            </w:r>
          </w:p>
        </w:tc>
        <w:tc>
          <w:tcPr>
            <w:tcW w:type="dxa" w:w="3744"/>
            <w:vAlign w:val="top"/>
          </w:tcPr>
          <w:p>
            <w:pPr>
              <w:keepNext w:val="0"/>
              <w:spacing w:after="50" w:before="20" w:line="250" w:lineRule="auto"/>
            </w:pPr>
            <w:r>
              <w:rPr>
                <w:rFonts w:ascii="Arial" w:hAnsi="Arial"/>
                <w:sz w:val="18"/>
              </w:rPr>
              <w:t>Catalog and form versions. A service change re-evaluates requirements and explains any new form request.</w:t>
            </w:r>
          </w:p>
        </w:tc>
        <w:tc>
          <w:tcPr>
            <w:tcW w:type="dxa" w:w="2088"/>
            <w:vAlign w:val="top"/>
          </w:tcPr>
          <w:p>
            <w:pPr>
              <w:keepNext w:val="0"/>
              <w:spacing w:after="50" w:before="20" w:line="250" w:lineRule="auto"/>
            </w:pPr>
            <w:r>
              <w:rPr>
                <w:rFonts w:ascii="Arial" w:hAnsi="Arial"/>
                <w:sz w:val="18"/>
              </w:rPr>
              <w:t>Launch candidate (L)</w:t>
              <w:br/>
              <w:t>People: CLIN</w:t>
              <w:br/>
              <w:t>Basis: B; WB U21</w:t>
            </w:r>
          </w:p>
        </w:tc>
      </w:tr>
      <w:tr>
        <w:trPr>
          <w:cantSplit/>
        </w:trPr>
        <w:tc>
          <w:tcPr>
            <w:tcW w:type="dxa" w:w="4392"/>
            <w:vAlign w:val="top"/>
            <w:shd w:fill="F3F6F7"/>
          </w:tcPr>
          <w:p>
            <w:pPr>
              <w:keepNext w:val="0"/>
              <w:spacing w:after="50" w:before="20" w:line="250" w:lineRule="auto"/>
            </w:pPr>
            <w:r>
              <w:rPr>
                <w:rFonts w:ascii="Arial" w:hAnsi="Arial"/>
                <w:b/>
                <w:sz w:val="18"/>
              </w:rPr>
              <w:t>F044  Itemized service estimates</w:t>
            </w:r>
            <w:r>
              <w:rPr>
                <w:rFonts w:ascii="Arial" w:hAnsi="Arial"/>
                <w:b w:val="0"/>
                <w:sz w:val="18"/>
              </w:rPr>
              <w:br/>
              <w:t>Prepare price ranges or fixed quotes covering services, products, deposits, discounts and relevant taxes.</w:t>
            </w:r>
          </w:p>
        </w:tc>
        <w:tc>
          <w:tcPr>
            <w:tcW w:type="dxa" w:w="3744"/>
            <w:vAlign w:val="top"/>
            <w:shd w:fill="F3F6F7"/>
          </w:tcPr>
          <w:p>
            <w:pPr>
              <w:keepNext w:val="0"/>
              <w:spacing w:after="50" w:before="20" w:line="250" w:lineRule="auto"/>
            </w:pPr>
            <w:r>
              <w:rPr>
                <w:rFonts w:ascii="Arial" w:hAnsi="Arial"/>
                <w:sz w:val="18"/>
              </w:rPr>
              <w:t>Pricing and tax rules. The client can distinguish an estimate from a confirmed final charge.</w:t>
            </w:r>
          </w:p>
        </w:tc>
        <w:tc>
          <w:tcPr>
            <w:tcW w:type="dxa" w:w="2088"/>
            <w:vAlign w:val="top"/>
            <w:shd w:fill="F3F6F7"/>
          </w:tcPr>
          <w:p>
            <w:pPr>
              <w:keepNext w:val="0"/>
              <w:spacing w:after="50" w:before="20" w:line="250" w:lineRule="auto"/>
            </w:pPr>
            <w:r>
              <w:rPr>
                <w:rFonts w:ascii="Arial" w:hAnsi="Arial"/>
                <w:sz w:val="18"/>
              </w:rPr>
              <w:t>Growth (G)</w:t>
              <w:br/>
              <w:t>People: FIN LEG</w:t>
              <w:br/>
              <w:t>Basis: T; quotes and approvals</w:t>
            </w:r>
          </w:p>
        </w:tc>
      </w:tr>
      <w:tr>
        <w:trPr>
          <w:cantSplit/>
        </w:trPr>
        <w:tc>
          <w:tcPr>
            <w:tcW w:type="dxa" w:w="4392"/>
            <w:vAlign w:val="top"/>
          </w:tcPr>
          <w:p>
            <w:pPr>
              <w:keepNext w:val="0"/>
              <w:spacing w:after="50" w:before="20" w:line="250" w:lineRule="auto"/>
            </w:pPr>
            <w:r>
              <w:rPr>
                <w:rFonts w:ascii="Arial" w:hAnsi="Arial"/>
                <w:b/>
                <w:sz w:val="18"/>
              </w:rPr>
              <w:t>F045  Client approval of service plans</w:t>
            </w:r>
            <w:r>
              <w:rPr>
                <w:rFonts w:ascii="Arial" w:hAnsi="Arial"/>
                <w:b w:val="0"/>
                <w:sz w:val="18"/>
              </w:rPr>
              <w:br/>
              <w:t>Let clients choose an approved option, ask a question or accept a plan with a visible validity period.</w:t>
            </w:r>
          </w:p>
        </w:tc>
        <w:tc>
          <w:tcPr>
            <w:tcW w:type="dxa" w:w="3744"/>
            <w:vAlign w:val="top"/>
          </w:tcPr>
          <w:p>
            <w:pPr>
              <w:keepNext w:val="0"/>
              <w:spacing w:after="50" w:before="20" w:line="250" w:lineRule="auto"/>
            </w:pPr>
            <w:r>
              <w:rPr>
                <w:rFonts w:ascii="Arial" w:hAnsi="Arial"/>
                <w:sz w:val="18"/>
              </w:rPr>
              <w:t>Quote versions. Acceptance refers to one exact version and changes require renewed agreement.</w:t>
            </w:r>
          </w:p>
        </w:tc>
        <w:tc>
          <w:tcPr>
            <w:tcW w:type="dxa" w:w="2088"/>
            <w:vAlign w:val="top"/>
          </w:tcPr>
          <w:p>
            <w:pPr>
              <w:keepNext w:val="0"/>
              <w:spacing w:after="50" w:before="20" w:line="250" w:lineRule="auto"/>
            </w:pPr>
            <w:r>
              <w:rPr>
                <w:rFonts w:ascii="Arial" w:hAnsi="Arial"/>
                <w:sz w:val="18"/>
              </w:rPr>
              <w:t>Growth (G)</w:t>
              <w:br/>
              <w:t>People: LEG</w:t>
              <w:br/>
              <w:t>Basis: T; one link proposals</w:t>
            </w:r>
          </w:p>
        </w:tc>
      </w:tr>
      <w:tr>
        <w:trPr>
          <w:cantSplit/>
        </w:trPr>
        <w:tc>
          <w:tcPr>
            <w:tcW w:type="dxa" w:w="4392"/>
            <w:vAlign w:val="top"/>
            <w:shd w:fill="F3F6F7"/>
          </w:tcPr>
          <w:p>
            <w:pPr>
              <w:keepNext w:val="0"/>
              <w:spacing w:after="50" w:before="20" w:line="250" w:lineRule="auto"/>
            </w:pPr>
            <w:r>
              <w:rPr>
                <w:rFonts w:ascii="Arial" w:hAnsi="Arial"/>
                <w:b/>
                <w:sz w:val="18"/>
              </w:rPr>
              <w:t>F046  Retail inventory basics</w:t>
            </w:r>
            <w:r>
              <w:rPr>
                <w:rFonts w:ascii="Arial" w:hAnsi="Arial"/>
                <w:b w:val="0"/>
                <w:sz w:val="18"/>
              </w:rPr>
              <w:br/>
              <w:t>Track variants, barcodes, sellable and reserved stock, thresholds, physical stocktakes and approved shrinkage or write-offs.</w:t>
            </w:r>
          </w:p>
        </w:tc>
        <w:tc>
          <w:tcPr>
            <w:tcW w:type="dxa" w:w="3744"/>
            <w:vAlign w:val="top"/>
            <w:shd w:fill="F3F6F7"/>
          </w:tcPr>
          <w:p>
            <w:pPr>
              <w:keepNext w:val="0"/>
              <w:spacing w:after="50" w:before="20" w:line="250" w:lineRule="auto"/>
            </w:pPr>
            <w:r>
              <w:rPr>
                <w:rFonts w:ascii="Arial" w:hAnsi="Arial"/>
                <w:sz w:val="18"/>
              </w:rPr>
              <w:t>Stock ledger. Sales, returns and receiving create traceable movements rather than overwrite totals.</w:t>
            </w:r>
          </w:p>
        </w:tc>
        <w:tc>
          <w:tcPr>
            <w:tcW w:type="dxa" w:w="2088"/>
            <w:vAlign w:val="top"/>
            <w:shd w:fill="F3F6F7"/>
          </w:tcPr>
          <w:p>
            <w:pPr>
              <w:keepNext w:val="0"/>
              <w:spacing w:after="50" w:before="20" w:line="250" w:lineRule="auto"/>
            </w:pPr>
            <w:r>
              <w:rPr>
                <w:rFonts w:ascii="Arial" w:hAnsi="Arial"/>
                <w:sz w:val="18"/>
              </w:rPr>
              <w:t>Launch candidate (L)</w:t>
              <w:br/>
              <w:t>People: CORE</w:t>
              <w:br/>
              <w:t>Basis: B; WB F51</w:t>
            </w:r>
          </w:p>
        </w:tc>
      </w:tr>
      <w:tr>
        <w:trPr>
          <w:cantSplit/>
        </w:trPr>
        <w:tc>
          <w:tcPr>
            <w:tcW w:type="dxa" w:w="4392"/>
            <w:vAlign w:val="top"/>
          </w:tcPr>
          <w:p>
            <w:pPr>
              <w:keepNext w:val="0"/>
              <w:spacing w:after="50" w:before="20" w:line="250" w:lineRule="auto"/>
            </w:pPr>
            <w:r>
              <w:rPr>
                <w:rFonts w:ascii="Arial" w:hAnsi="Arial"/>
                <w:b/>
                <w:sz w:val="18"/>
              </w:rPr>
              <w:t>F047  Purchase orders and receiving</w:t>
            </w:r>
            <w:r>
              <w:rPr>
                <w:rFonts w:ascii="Arial" w:hAnsi="Arial"/>
                <w:b w:val="0"/>
                <w:sz w:val="18"/>
              </w:rPr>
              <w:br/>
              <w:t>Prepare supplier orders, record partial receipts and supplier returns, and reconcile quantities, credits and costs.</w:t>
            </w:r>
          </w:p>
        </w:tc>
        <w:tc>
          <w:tcPr>
            <w:tcW w:type="dxa" w:w="3744"/>
            <w:vAlign w:val="top"/>
          </w:tcPr>
          <w:p>
            <w:pPr>
              <w:keepNext w:val="0"/>
              <w:spacing w:after="50" w:before="20" w:line="250" w:lineRule="auto"/>
            </w:pPr>
            <w:r>
              <w:rPr>
                <w:rFonts w:ascii="Arial" w:hAnsi="Arial"/>
                <w:sz w:val="18"/>
              </w:rPr>
              <w:t>Inventory and suppliers. Missing or substituted products remain visible after partial delivery.</w:t>
            </w:r>
          </w:p>
        </w:tc>
        <w:tc>
          <w:tcPr>
            <w:tcW w:type="dxa" w:w="2088"/>
            <w:vAlign w:val="top"/>
          </w:tcPr>
          <w:p>
            <w:pPr>
              <w:keepNext w:val="0"/>
              <w:spacing w:after="50" w:before="20" w:line="250" w:lineRule="auto"/>
            </w:pPr>
            <w:r>
              <w:rPr>
                <w:rFonts w:ascii="Arial" w:hAnsi="Arial"/>
                <w:sz w:val="18"/>
              </w:rPr>
              <w:t>Growth (G)</w:t>
              <w:br/>
              <w:t>People: OPS</w:t>
              <w:br/>
              <w:t>Basis: B; inventory operations</w:t>
            </w:r>
          </w:p>
        </w:tc>
      </w:tr>
      <w:tr>
        <w:trPr>
          <w:cantSplit/>
        </w:trPr>
        <w:tc>
          <w:tcPr>
            <w:tcW w:type="dxa" w:w="4392"/>
            <w:vAlign w:val="top"/>
            <w:shd w:fill="F3F6F7"/>
          </w:tcPr>
          <w:p>
            <w:pPr>
              <w:keepNext w:val="0"/>
              <w:spacing w:after="50" w:before="20" w:line="250" w:lineRule="auto"/>
            </w:pPr>
            <w:r>
              <w:rPr>
                <w:rFonts w:ascii="Arial" w:hAnsi="Arial"/>
                <w:b/>
                <w:sz w:val="18"/>
              </w:rPr>
              <w:t>F048  Email campaign builder</w:t>
            </w:r>
            <w:r>
              <w:rPr>
                <w:rFonts w:ascii="Arial" w:hAnsi="Arial"/>
                <w:b w:val="0"/>
                <w:sz w:val="18"/>
              </w:rPr>
              <w:br/>
              <w:t>Create brand-consistent campaigns using approved segments, previews and a test send.</w:t>
            </w:r>
          </w:p>
        </w:tc>
        <w:tc>
          <w:tcPr>
            <w:tcW w:type="dxa" w:w="3744"/>
            <w:vAlign w:val="top"/>
            <w:shd w:fill="F3F6F7"/>
          </w:tcPr>
          <w:p>
            <w:pPr>
              <w:keepNext w:val="0"/>
              <w:spacing w:after="50" w:before="20" w:line="250" w:lineRule="auto"/>
            </w:pPr>
            <w:r>
              <w:rPr>
                <w:rFonts w:ascii="Arial" w:hAnsi="Arial"/>
                <w:sz w:val="18"/>
              </w:rPr>
              <w:t>Consent and delivery system. Opted-out recipients are excluded at send time, not only when drafted.</w:t>
            </w:r>
          </w:p>
        </w:tc>
        <w:tc>
          <w:tcPr>
            <w:tcW w:type="dxa" w:w="2088"/>
            <w:vAlign w:val="top"/>
            <w:shd w:fill="F3F6F7"/>
          </w:tcPr>
          <w:p>
            <w:pPr>
              <w:keepNext w:val="0"/>
              <w:spacing w:after="50" w:before="20" w:line="250" w:lineRule="auto"/>
            </w:pPr>
            <w:r>
              <w:rPr>
                <w:rFonts w:ascii="Arial" w:hAnsi="Arial"/>
                <w:sz w:val="18"/>
              </w:rPr>
              <w:t>Growth (G)</w:t>
              <w:br/>
              <w:t>People: MSG DES</w:t>
              <w:br/>
              <w:t>Basis: B; WB F41</w:t>
            </w:r>
          </w:p>
        </w:tc>
      </w:tr>
      <w:tr>
        <w:trPr>
          <w:cantSplit/>
        </w:trPr>
        <w:tc>
          <w:tcPr>
            <w:tcW w:type="dxa" w:w="4392"/>
            <w:vAlign w:val="top"/>
          </w:tcPr>
          <w:p>
            <w:pPr>
              <w:keepNext w:val="0"/>
              <w:spacing w:after="50" w:before="20" w:line="250" w:lineRule="auto"/>
            </w:pPr>
            <w:r>
              <w:rPr>
                <w:rFonts w:ascii="Arial" w:hAnsi="Arial"/>
                <w:b/>
                <w:sz w:val="18"/>
              </w:rPr>
              <w:t>F049  Client segments</w:t>
            </w:r>
            <w:r>
              <w:rPr>
                <w:rFonts w:ascii="Arial" w:hAnsi="Arial"/>
                <w:b w:val="0"/>
                <w:sz w:val="18"/>
              </w:rPr>
              <w:br/>
              <w:t>Create understandable filters such as first visit completed, package balance or expected return date.</w:t>
            </w:r>
          </w:p>
        </w:tc>
        <w:tc>
          <w:tcPr>
            <w:tcW w:type="dxa" w:w="3744"/>
            <w:vAlign w:val="top"/>
          </w:tcPr>
          <w:p>
            <w:pPr>
              <w:keepNext w:val="0"/>
              <w:spacing w:after="50" w:before="20" w:line="250" w:lineRule="auto"/>
            </w:pPr>
            <w:r>
              <w:rPr>
                <w:rFonts w:ascii="Arial" w:hAnsi="Arial"/>
                <w:sz w:val="18"/>
              </w:rPr>
              <w:t>Metric definitions and permissions. Users can inspect the included clients and exclusion reasons.</w:t>
            </w:r>
          </w:p>
        </w:tc>
        <w:tc>
          <w:tcPr>
            <w:tcW w:type="dxa" w:w="2088"/>
            <w:vAlign w:val="top"/>
          </w:tcPr>
          <w:p>
            <w:pPr>
              <w:keepNext w:val="0"/>
              <w:spacing w:after="50" w:before="20" w:line="250" w:lineRule="auto"/>
            </w:pPr>
            <w:r>
              <w:rPr>
                <w:rFonts w:ascii="Arial" w:hAnsi="Arial"/>
                <w:sz w:val="18"/>
              </w:rPr>
              <w:t>Growth (G)</w:t>
              <w:br/>
              <w:t>People: CORE</w:t>
              <w:br/>
              <w:t>Basis: B; WB F21</w:t>
            </w:r>
          </w:p>
        </w:tc>
      </w:tr>
      <w:tr>
        <w:trPr>
          <w:cantSplit/>
        </w:trPr>
        <w:tc>
          <w:tcPr>
            <w:tcW w:type="dxa" w:w="4392"/>
            <w:vAlign w:val="top"/>
            <w:shd w:fill="F3F6F7"/>
          </w:tcPr>
          <w:p>
            <w:pPr>
              <w:keepNext w:val="0"/>
              <w:spacing w:after="50" w:before="20" w:line="250" w:lineRule="auto"/>
            </w:pPr>
            <w:r>
              <w:rPr>
                <w:rFonts w:ascii="Arial" w:hAnsi="Arial"/>
                <w:b/>
                <w:sz w:val="18"/>
              </w:rPr>
              <w:t>F050  Fair review requests</w:t>
            </w:r>
            <w:r>
              <w:rPr>
                <w:rFonts w:ascii="Arial" w:hAnsi="Arial"/>
                <w:b w:val="0"/>
                <w:sz w:val="18"/>
              </w:rPr>
              <w:br/>
              <w:t>Request feedback consistently and offer a public review link without screening out dissatisfied clients.</w:t>
            </w:r>
          </w:p>
        </w:tc>
        <w:tc>
          <w:tcPr>
            <w:tcW w:type="dxa" w:w="3744"/>
            <w:vAlign w:val="top"/>
            <w:shd w:fill="F3F6F7"/>
          </w:tcPr>
          <w:p>
            <w:pPr>
              <w:keepNext w:val="0"/>
              <w:spacing w:after="50" w:before="20" w:line="250" w:lineRule="auto"/>
            </w:pPr>
            <w:r>
              <w:rPr>
                <w:rFonts w:ascii="Arial" w:hAnsi="Arial"/>
                <w:sz w:val="18"/>
              </w:rPr>
              <w:t>Visit completion and consent. Eligibility rules do not depend on the client's private rating.</w:t>
            </w:r>
          </w:p>
        </w:tc>
        <w:tc>
          <w:tcPr>
            <w:tcW w:type="dxa" w:w="2088"/>
            <w:vAlign w:val="top"/>
            <w:shd w:fill="F3F6F7"/>
          </w:tcPr>
          <w:p>
            <w:pPr>
              <w:keepNext w:val="0"/>
              <w:spacing w:after="50" w:before="20" w:line="250" w:lineRule="auto"/>
            </w:pPr>
            <w:r>
              <w:rPr>
                <w:rFonts w:ascii="Arial" w:hAnsi="Arial"/>
                <w:sz w:val="18"/>
              </w:rPr>
              <w:t>Growth (G)</w:t>
              <w:br/>
              <w:t>People: LEG MSG</w:t>
              <w:br/>
              <w:t>Basis: B; WB F44 U11</w:t>
            </w:r>
          </w:p>
        </w:tc>
      </w:tr>
      <w:tr>
        <w:trPr>
          <w:cantSplit/>
        </w:trPr>
        <w:tc>
          <w:tcPr>
            <w:tcW w:type="dxa" w:w="4392"/>
            <w:vAlign w:val="top"/>
          </w:tcPr>
          <w:p>
            <w:pPr>
              <w:keepNext w:val="0"/>
              <w:spacing w:after="50" w:before="20" w:line="250" w:lineRule="auto"/>
            </w:pPr>
            <w:r>
              <w:rPr>
                <w:rFonts w:ascii="Arial" w:hAnsi="Arial"/>
                <w:b/>
                <w:sz w:val="18"/>
              </w:rPr>
              <w:t>F051  Referral tracking</w:t>
            </w:r>
            <w:r>
              <w:rPr>
                <w:rFonts w:ascii="Arial" w:hAnsi="Arial"/>
                <w:b w:val="0"/>
                <w:sz w:val="18"/>
              </w:rPr>
              <w:br/>
              <w:t>Generate optional client referral links or codes and credit benefits after a qualifying completed visit.</w:t>
            </w:r>
          </w:p>
        </w:tc>
        <w:tc>
          <w:tcPr>
            <w:tcW w:type="dxa" w:w="3744"/>
            <w:vAlign w:val="top"/>
          </w:tcPr>
          <w:p>
            <w:pPr>
              <w:keepNext w:val="0"/>
              <w:spacing w:after="50" w:before="20" w:line="250" w:lineRule="auto"/>
            </w:pPr>
            <w:r>
              <w:rPr>
                <w:rFonts w:ascii="Arial" w:hAnsi="Arial"/>
                <w:sz w:val="18"/>
              </w:rPr>
              <w:t>Identity and reward rules. Self-referrals, duplicate credits and canceled visits cannot earn rewards.</w:t>
            </w:r>
          </w:p>
        </w:tc>
        <w:tc>
          <w:tcPr>
            <w:tcW w:type="dxa" w:w="2088"/>
            <w:vAlign w:val="top"/>
          </w:tcPr>
          <w:p>
            <w:pPr>
              <w:keepNext w:val="0"/>
              <w:spacing w:after="50" w:before="20" w:line="250" w:lineRule="auto"/>
            </w:pPr>
            <w:r>
              <w:rPr>
                <w:rFonts w:ascii="Arial" w:hAnsi="Arial"/>
                <w:sz w:val="18"/>
              </w:rPr>
              <w:t>Growth (G)</w:t>
              <w:br/>
              <w:t>People: CORE</w:t>
              <w:br/>
              <w:t>Basis: B; WB F45</w:t>
            </w:r>
          </w:p>
        </w:tc>
      </w:tr>
      <w:tr>
        <w:trPr>
          <w:cantSplit/>
        </w:trPr>
        <w:tc>
          <w:tcPr>
            <w:tcW w:type="dxa" w:w="4392"/>
            <w:vAlign w:val="top"/>
            <w:shd w:fill="F3F6F7"/>
          </w:tcPr>
          <w:p>
            <w:pPr>
              <w:keepNext w:val="0"/>
              <w:spacing w:after="50" w:before="20" w:line="250" w:lineRule="auto"/>
            </w:pPr>
            <w:r>
              <w:rPr>
                <w:rFonts w:ascii="Arial" w:hAnsi="Arial"/>
                <w:b/>
                <w:sz w:val="18"/>
              </w:rPr>
              <w:t>F052  Promotion controls</w:t>
            </w:r>
            <w:r>
              <w:rPr>
                <w:rFonts w:ascii="Arial" w:hAnsi="Arial"/>
                <w:b w:val="0"/>
                <w:sz w:val="18"/>
              </w:rPr>
              <w:br/>
              <w:t>Create coupons with dates, service eligibility, redemption limits and a clearly displayed final price.</w:t>
            </w:r>
          </w:p>
        </w:tc>
        <w:tc>
          <w:tcPr>
            <w:tcW w:type="dxa" w:w="3744"/>
            <w:vAlign w:val="top"/>
            <w:shd w:fill="F3F6F7"/>
          </w:tcPr>
          <w:p>
            <w:pPr>
              <w:keepNext w:val="0"/>
              <w:spacing w:after="50" w:before="20" w:line="250" w:lineRule="auto"/>
            </w:pPr>
            <w:r>
              <w:rPr>
                <w:rFonts w:ascii="Arial" w:hAnsi="Arial"/>
                <w:sz w:val="18"/>
              </w:rPr>
              <w:t>Pricing engine. Mutually exclusive discounts never stack silently and owner margin limits are respected.</w:t>
            </w:r>
          </w:p>
        </w:tc>
        <w:tc>
          <w:tcPr>
            <w:tcW w:type="dxa" w:w="2088"/>
            <w:vAlign w:val="top"/>
            <w:shd w:fill="F3F6F7"/>
          </w:tcPr>
          <w:p>
            <w:pPr>
              <w:keepNext w:val="0"/>
              <w:spacing w:after="50" w:before="20" w:line="250" w:lineRule="auto"/>
            </w:pPr>
            <w:r>
              <w:rPr>
                <w:rFonts w:ascii="Arial" w:hAnsi="Arial"/>
                <w:sz w:val="18"/>
              </w:rPr>
              <w:t>Growth (G)</w:t>
              <w:br/>
              <w:t>People: FIN</w:t>
              <w:br/>
              <w:t>Basis: B; WB F47</w:t>
            </w:r>
          </w:p>
        </w:tc>
      </w:tr>
      <w:tr>
        <w:trPr>
          <w:cantSplit/>
        </w:trPr>
        <w:tc>
          <w:tcPr>
            <w:tcW w:type="dxa" w:w="4392"/>
            <w:vAlign w:val="top"/>
          </w:tcPr>
          <w:p>
            <w:pPr>
              <w:keepNext w:val="0"/>
              <w:spacing w:after="50" w:before="20" w:line="250" w:lineRule="auto"/>
            </w:pPr>
            <w:r>
              <w:rPr>
                <w:rFonts w:ascii="Arial" w:hAnsi="Arial"/>
                <w:b/>
                <w:sz w:val="18"/>
              </w:rPr>
              <w:t>F053  Approved document repository</w:t>
            </w:r>
            <w:r>
              <w:rPr>
                <w:rFonts w:ascii="Arial" w:hAnsi="Arial"/>
                <w:b w:val="0"/>
                <w:sz w:val="18"/>
              </w:rPr>
              <w:br/>
              <w:t>Import existing policies and consent documents, label owner approval and map them to services.</w:t>
            </w:r>
          </w:p>
        </w:tc>
        <w:tc>
          <w:tcPr>
            <w:tcW w:type="dxa" w:w="3744"/>
            <w:vAlign w:val="top"/>
          </w:tcPr>
          <w:p>
            <w:pPr>
              <w:keepNext w:val="0"/>
              <w:spacing w:after="50" w:before="20" w:line="250" w:lineRule="auto"/>
            </w:pPr>
            <w:r>
              <w:rPr>
                <w:rFonts w:ascii="Arial" w:hAnsi="Arial"/>
                <w:sz w:val="18"/>
              </w:rPr>
              <w:t>Versioned storage. Editing a legal or clinical clause requires named review before publication.</w:t>
            </w:r>
          </w:p>
        </w:tc>
        <w:tc>
          <w:tcPr>
            <w:tcW w:type="dxa" w:w="2088"/>
            <w:vAlign w:val="top"/>
          </w:tcPr>
          <w:p>
            <w:pPr>
              <w:keepNext w:val="0"/>
              <w:spacing w:after="50" w:before="20" w:line="250" w:lineRule="auto"/>
            </w:pPr>
            <w:r>
              <w:rPr>
                <w:rFonts w:ascii="Arial" w:hAnsi="Arial"/>
                <w:sz w:val="18"/>
              </w:rPr>
              <w:t>Launch candidate (L)</w:t>
              <w:br/>
              <w:t>People: LEG CLIN</w:t>
              <w:br/>
              <w:t>Basis: I; document governance</w:t>
            </w:r>
          </w:p>
        </w:tc>
      </w:tr>
      <w:tr>
        <w:trPr>
          <w:cantSplit/>
        </w:trPr>
        <w:tc>
          <w:tcPr>
            <w:tcW w:type="dxa" w:w="4392"/>
            <w:vAlign w:val="top"/>
            <w:shd w:fill="F3F6F7"/>
          </w:tcPr>
          <w:p>
            <w:pPr>
              <w:keepNext w:val="0"/>
              <w:spacing w:after="50" w:before="20" w:line="250" w:lineRule="auto"/>
            </w:pPr>
            <w:r>
              <w:rPr>
                <w:rFonts w:ascii="Arial" w:hAnsi="Arial"/>
                <w:b/>
                <w:sz w:val="18"/>
              </w:rPr>
              <w:t>F054  Team shifts and availability</w:t>
            </w:r>
            <w:r>
              <w:rPr>
                <w:rFonts w:ascii="Arial" w:hAnsi="Arial"/>
                <w:b w:val="0"/>
                <w:sz w:val="18"/>
              </w:rPr>
              <w:br/>
              <w:t>Maintain working shifts, assignment eligibility and coverage requests separately from bookable appointments.</w:t>
            </w:r>
          </w:p>
        </w:tc>
        <w:tc>
          <w:tcPr>
            <w:tcW w:type="dxa" w:w="3744"/>
            <w:vAlign w:val="top"/>
            <w:shd w:fill="F3F6F7"/>
          </w:tcPr>
          <w:p>
            <w:pPr>
              <w:keepNext w:val="0"/>
              <w:spacing w:after="50" w:before="20" w:line="250" w:lineRule="auto"/>
            </w:pPr>
            <w:r>
              <w:rPr>
                <w:rFonts w:ascii="Arial" w:hAnsi="Arial"/>
                <w:sz w:val="18"/>
              </w:rPr>
              <w:t>Scheduling foundation. A staff shift change cannot silently cancel client commitments.</w:t>
            </w:r>
          </w:p>
        </w:tc>
        <w:tc>
          <w:tcPr>
            <w:tcW w:type="dxa" w:w="2088"/>
            <w:vAlign w:val="top"/>
            <w:shd w:fill="F3F6F7"/>
          </w:tcPr>
          <w:p>
            <w:pPr>
              <w:keepNext w:val="0"/>
              <w:spacing w:after="50" w:before="20" w:line="250" w:lineRule="auto"/>
            </w:pPr>
            <w:r>
              <w:rPr>
                <w:rFonts w:ascii="Arial" w:hAnsi="Arial"/>
                <w:sz w:val="18"/>
              </w:rPr>
              <w:t>Growth (G)</w:t>
              <w:br/>
              <w:t>People: CORE</w:t>
              <w:br/>
              <w:t>Basis: B; team operations</w:t>
            </w:r>
          </w:p>
        </w:tc>
      </w:tr>
      <w:tr>
        <w:trPr>
          <w:cantSplit/>
        </w:trPr>
        <w:tc>
          <w:tcPr>
            <w:tcW w:type="dxa" w:w="4392"/>
            <w:vAlign w:val="top"/>
          </w:tcPr>
          <w:p>
            <w:pPr>
              <w:keepNext w:val="0"/>
              <w:spacing w:after="50" w:before="20" w:line="250" w:lineRule="auto"/>
            </w:pPr>
            <w:r>
              <w:rPr>
                <w:rFonts w:ascii="Arial" w:hAnsi="Arial"/>
                <w:b/>
                <w:sz w:val="18"/>
              </w:rPr>
              <w:t>F055  Time clock and approvals</w:t>
            </w:r>
            <w:r>
              <w:rPr>
                <w:rFonts w:ascii="Arial" w:hAnsi="Arial"/>
                <w:b w:val="0"/>
                <w:sz w:val="18"/>
              </w:rPr>
              <w:br/>
              <w:t>Capture clock-in, breaks, edits and manager approval with accessible correction requests.</w:t>
            </w:r>
          </w:p>
        </w:tc>
        <w:tc>
          <w:tcPr>
            <w:tcW w:type="dxa" w:w="3744"/>
            <w:vAlign w:val="top"/>
          </w:tcPr>
          <w:p>
            <w:pPr>
              <w:keepNext w:val="0"/>
              <w:spacing w:after="50" w:before="20" w:line="250" w:lineRule="auto"/>
            </w:pPr>
            <w:r>
              <w:rPr>
                <w:rFonts w:ascii="Arial" w:hAnsi="Arial"/>
                <w:sz w:val="18"/>
              </w:rPr>
              <w:t>Staff identity and audit trail. Approved time exports reconcile to the pay period.</w:t>
            </w:r>
          </w:p>
        </w:tc>
        <w:tc>
          <w:tcPr>
            <w:tcW w:type="dxa" w:w="2088"/>
            <w:vAlign w:val="top"/>
          </w:tcPr>
          <w:p>
            <w:pPr>
              <w:keepNext w:val="0"/>
              <w:spacing w:after="50" w:before="20" w:line="250" w:lineRule="auto"/>
            </w:pPr>
            <w:r>
              <w:rPr>
                <w:rFonts w:ascii="Arial" w:hAnsi="Arial"/>
                <w:sz w:val="18"/>
              </w:rPr>
              <w:t>Growth (G)</w:t>
              <w:br/>
              <w:t>People: FIN LEG</w:t>
              <w:br/>
              <w:t>Basis: B; WB F54</w:t>
            </w:r>
          </w:p>
        </w:tc>
      </w:tr>
      <w:tr>
        <w:trPr>
          <w:cantSplit/>
        </w:trPr>
        <w:tc>
          <w:tcPr>
            <w:tcW w:type="dxa" w:w="4392"/>
            <w:vAlign w:val="top"/>
            <w:shd w:fill="F3F6F7"/>
          </w:tcPr>
          <w:p>
            <w:pPr>
              <w:keepNext w:val="0"/>
              <w:spacing w:after="50" w:before="20" w:line="250" w:lineRule="auto"/>
            </w:pPr>
            <w:r>
              <w:rPr>
                <w:rFonts w:ascii="Arial" w:hAnsi="Arial"/>
                <w:b/>
                <w:sz w:val="18"/>
              </w:rPr>
              <w:t>F056  Expense and receipt capture</w:t>
            </w:r>
            <w:r>
              <w:rPr>
                <w:rFonts w:ascii="Arial" w:hAnsi="Arial"/>
                <w:b w:val="0"/>
                <w:sz w:val="18"/>
              </w:rPr>
              <w:br/>
              <w:t>Record categories, business purpose, merchant, amount and attachment, with duplicate detection prompts.</w:t>
            </w:r>
          </w:p>
        </w:tc>
        <w:tc>
          <w:tcPr>
            <w:tcW w:type="dxa" w:w="3744"/>
            <w:vAlign w:val="top"/>
            <w:shd w:fill="F3F6F7"/>
          </w:tcPr>
          <w:p>
            <w:pPr>
              <w:keepNext w:val="0"/>
              <w:spacing w:after="50" w:before="20" w:line="250" w:lineRule="auto"/>
            </w:pPr>
            <w:r>
              <w:rPr>
                <w:rFonts w:ascii="Arial" w:hAnsi="Arial"/>
                <w:sz w:val="18"/>
              </w:rPr>
              <w:t>Expense records. Owners can export source receipts without representing the categorization as tax advice.</w:t>
            </w:r>
          </w:p>
        </w:tc>
        <w:tc>
          <w:tcPr>
            <w:tcW w:type="dxa" w:w="2088"/>
            <w:vAlign w:val="top"/>
            <w:shd w:fill="F3F6F7"/>
          </w:tcPr>
          <w:p>
            <w:pPr>
              <w:keepNext w:val="0"/>
              <w:spacing w:after="50" w:before="20" w:line="250" w:lineRule="auto"/>
            </w:pPr>
            <w:r>
              <w:rPr>
                <w:rFonts w:ascii="Arial" w:hAnsi="Arial"/>
                <w:sz w:val="18"/>
              </w:rPr>
              <w:t>Growth (G)</w:t>
              <w:br/>
              <w:t>People: FIN</w:t>
              <w:br/>
              <w:t>Basis: B; workbook cost concerns</w:t>
            </w:r>
          </w:p>
        </w:tc>
      </w:tr>
      <w:tr>
        <w:trPr>
          <w:cantSplit/>
        </w:trPr>
        <w:tc>
          <w:tcPr>
            <w:tcW w:type="dxa" w:w="4392"/>
            <w:vAlign w:val="top"/>
          </w:tcPr>
          <w:p>
            <w:pPr>
              <w:keepNext w:val="0"/>
              <w:spacing w:after="50" w:before="20" w:line="250" w:lineRule="auto"/>
            </w:pPr>
            <w:r>
              <w:rPr>
                <w:rFonts w:ascii="Arial" w:hAnsi="Arial"/>
                <w:b/>
                <w:sz w:val="18"/>
              </w:rPr>
              <w:t>F057  Structured data export</w:t>
            </w:r>
            <w:r>
              <w:rPr>
                <w:rFonts w:ascii="Arial" w:hAnsi="Arial"/>
                <w:b w:val="0"/>
                <w:sz w:val="18"/>
              </w:rPr>
              <w:br/>
              <w:t>Export contacts, services, history, balances and relevant consent metadata in documented CSV or JSON formats.</w:t>
            </w:r>
          </w:p>
        </w:tc>
        <w:tc>
          <w:tcPr>
            <w:tcW w:type="dxa" w:w="3744"/>
            <w:vAlign w:val="top"/>
          </w:tcPr>
          <w:p>
            <w:pPr>
              <w:keepNext w:val="0"/>
              <w:spacing w:after="50" w:before="20" w:line="250" w:lineRule="auto"/>
            </w:pPr>
            <w:r>
              <w:rPr>
                <w:rFonts w:ascii="Arial" w:hAnsi="Arial"/>
                <w:sz w:val="18"/>
              </w:rPr>
              <w:t>Permissions and stable identifiers. Export totals match visible records and include a schema description.</w:t>
            </w:r>
          </w:p>
        </w:tc>
        <w:tc>
          <w:tcPr>
            <w:tcW w:type="dxa" w:w="2088"/>
            <w:vAlign w:val="top"/>
          </w:tcPr>
          <w:p>
            <w:pPr>
              <w:keepNext w:val="0"/>
              <w:spacing w:after="50" w:before="20" w:line="250" w:lineRule="auto"/>
            </w:pPr>
            <w:r>
              <w:rPr>
                <w:rFonts w:ascii="Arial" w:hAnsi="Arial"/>
                <w:sz w:val="18"/>
              </w:rPr>
              <w:t>Launch candidate (L)</w:t>
              <w:br/>
              <w:t>People: SEC</w:t>
              <w:br/>
              <w:t>Basis: I; WB C10</w:t>
            </w:r>
          </w:p>
        </w:tc>
      </w:tr>
      <w:tr>
        <w:trPr>
          <w:cantSplit/>
        </w:trPr>
        <w:tc>
          <w:tcPr>
            <w:tcW w:type="dxa" w:w="4392"/>
            <w:vAlign w:val="top"/>
            <w:shd w:fill="F3F6F7"/>
          </w:tcPr>
          <w:p>
            <w:pPr>
              <w:keepNext w:val="0"/>
              <w:spacing w:after="50" w:before="20" w:line="250" w:lineRule="auto"/>
            </w:pPr>
            <w:r>
              <w:rPr>
                <w:rFonts w:ascii="Arial" w:hAnsi="Arial"/>
                <w:b/>
                <w:sz w:val="18"/>
              </w:rPr>
              <w:t>F058  Daily close workspace</w:t>
            </w:r>
            <w:r>
              <w:rPr>
                <w:rFonts w:ascii="Arial" w:hAnsi="Arial"/>
                <w:b w:val="0"/>
                <w:sz w:val="18"/>
              </w:rPr>
              <w:br/>
              <w:t>Close incomplete tickets, unpaid visits and tips. Reconcile cash opening float, paid-in and paid-out movements, counted drawers and explained discrepancies.</w:t>
            </w:r>
          </w:p>
        </w:tc>
        <w:tc>
          <w:tcPr>
            <w:tcW w:type="dxa" w:w="3744"/>
            <w:vAlign w:val="top"/>
            <w:shd w:fill="F3F6F7"/>
          </w:tcPr>
          <w:p>
            <w:pPr>
              <w:keepNext w:val="0"/>
              <w:spacing w:after="50" w:before="20" w:line="250" w:lineRule="auto"/>
            </w:pPr>
            <w:r>
              <w:rPr>
                <w:rFonts w:ascii="Arial" w:hAnsi="Arial"/>
                <w:sz w:val="18"/>
              </w:rPr>
              <w:t>Payment ledger. Final close ties to processor transactions and unresolved exceptions stay visible.</w:t>
            </w:r>
          </w:p>
        </w:tc>
        <w:tc>
          <w:tcPr>
            <w:tcW w:type="dxa" w:w="2088"/>
            <w:vAlign w:val="top"/>
            <w:shd w:fill="F3F6F7"/>
          </w:tcPr>
          <w:p>
            <w:pPr>
              <w:keepNext w:val="0"/>
              <w:spacing w:after="50" w:before="20" w:line="250" w:lineRule="auto"/>
            </w:pPr>
            <w:r>
              <w:rPr>
                <w:rFonts w:ascii="Arial" w:hAnsi="Arial"/>
                <w:sz w:val="18"/>
              </w:rPr>
              <w:t>Launch candidate (L)</w:t>
              <w:br/>
              <w:t>People: FIN PAY</w:t>
              <w:br/>
              <w:t>Basis: I; WB C12 C17</w:t>
            </w:r>
          </w:p>
        </w:tc>
      </w:tr>
      <w:tr>
        <w:trPr>
          <w:cantSplit/>
        </w:trPr>
        <w:tc>
          <w:tcPr>
            <w:tcW w:type="dxa" w:w="4392"/>
            <w:vAlign w:val="top"/>
          </w:tcPr>
          <w:p>
            <w:pPr>
              <w:keepNext w:val="0"/>
              <w:spacing w:after="50" w:before="20" w:line="250" w:lineRule="auto"/>
            </w:pPr>
            <w:r>
              <w:rPr>
                <w:rFonts w:ascii="Arial" w:hAnsi="Arial"/>
                <w:b/>
                <w:sz w:val="18"/>
              </w:rPr>
              <w:t>F059  Client complaint resolution</w:t>
            </w:r>
            <w:r>
              <w:rPr>
                <w:rFonts w:ascii="Arial" w:hAnsi="Arial"/>
                <w:b w:val="0"/>
                <w:sz w:val="18"/>
              </w:rPr>
              <w:br/>
              <w:t>Keep a private issue, accountable owner, response promise and remedy. Link complimentary redo appointments to the original visit and record materials, labor and compensation cost.</w:t>
            </w:r>
          </w:p>
        </w:tc>
        <w:tc>
          <w:tcPr>
            <w:tcW w:type="dxa" w:w="3744"/>
            <w:vAlign w:val="top"/>
          </w:tcPr>
          <w:p>
            <w:pPr>
              <w:keepNext w:val="0"/>
              <w:spacing w:after="50" w:before="20" w:line="250" w:lineRule="auto"/>
            </w:pPr>
            <w:r>
              <w:rPr>
                <w:rFonts w:ascii="Arial" w:hAnsi="Arial"/>
                <w:sz w:val="18"/>
              </w:rPr>
              <w:t>Permissions and case history. Closing a case records the outcome without deleting the original complaint.</w:t>
            </w:r>
          </w:p>
        </w:tc>
        <w:tc>
          <w:tcPr>
            <w:tcW w:type="dxa" w:w="2088"/>
            <w:vAlign w:val="top"/>
          </w:tcPr>
          <w:p>
            <w:pPr>
              <w:keepNext w:val="0"/>
              <w:spacing w:after="50" w:before="20" w:line="250" w:lineRule="auto"/>
            </w:pPr>
            <w:r>
              <w:rPr>
                <w:rFonts w:ascii="Arial" w:hAnsi="Arial"/>
                <w:sz w:val="18"/>
              </w:rPr>
              <w:t>Launch candidate (L)</w:t>
              <w:br/>
              <w:t>People: OPS</w:t>
              <w:br/>
              <w:t>Basis: I; support and service recovery</w:t>
            </w:r>
          </w:p>
        </w:tc>
      </w:tr>
      <w:tr>
        <w:trPr>
          <w:cantSplit/>
        </w:trPr>
        <w:tc>
          <w:tcPr>
            <w:tcW w:type="dxa" w:w="4392"/>
            <w:vAlign w:val="top"/>
            <w:shd w:fill="F3F6F7"/>
          </w:tcPr>
          <w:p>
            <w:pPr>
              <w:keepNext w:val="0"/>
              <w:spacing w:after="50" w:before="20" w:line="250" w:lineRule="auto"/>
            </w:pPr>
            <w:r>
              <w:rPr>
                <w:rFonts w:ascii="Arial" w:hAnsi="Arial"/>
                <w:b/>
                <w:sz w:val="18"/>
              </w:rPr>
              <w:t>F060  Human support escalation</w:t>
            </w:r>
            <w:r>
              <w:rPr>
                <w:rFonts w:ascii="Arial" w:hAnsi="Arial"/>
                <w:b w:val="0"/>
                <w:sz w:val="18"/>
              </w:rPr>
              <w:br/>
              <w:t>Offer a clear escalation path with operating hours, callback request, urgency and actual response status.</w:t>
            </w:r>
          </w:p>
        </w:tc>
        <w:tc>
          <w:tcPr>
            <w:tcW w:type="dxa" w:w="3744"/>
            <w:vAlign w:val="top"/>
            <w:shd w:fill="F3F6F7"/>
          </w:tcPr>
          <w:p>
            <w:pPr>
              <w:keepNext w:val="0"/>
              <w:spacing w:after="50" w:before="20" w:line="250" w:lineRule="auto"/>
            </w:pPr>
            <w:r>
              <w:rPr>
                <w:rFonts w:ascii="Arial" w:hAnsi="Arial"/>
                <w:sz w:val="18"/>
              </w:rPr>
              <w:t>Support staffing. A bot cannot promise immediate human contact outside staffed hours.</w:t>
            </w:r>
          </w:p>
        </w:tc>
        <w:tc>
          <w:tcPr>
            <w:tcW w:type="dxa" w:w="2088"/>
            <w:vAlign w:val="top"/>
            <w:shd w:fill="F3F6F7"/>
          </w:tcPr>
          <w:p>
            <w:pPr>
              <w:keepNext w:val="0"/>
              <w:spacing w:after="50" w:before="20" w:line="250" w:lineRule="auto"/>
            </w:pPr>
            <w:r>
              <w:rPr>
                <w:rFonts w:ascii="Arial" w:hAnsi="Arial"/>
                <w:sz w:val="18"/>
              </w:rPr>
              <w:t>Launch candidate (L)</w:t>
              <w:br/>
              <w:t>People: OPS</w:t>
              <w:br/>
              <w:t>Basis: I; WB C5</w:t>
            </w:r>
          </w:p>
        </w:tc>
      </w:tr>
      <w:tr>
        <w:trPr>
          <w:cantSplit/>
        </w:trPr>
        <w:tc>
          <w:tcPr>
            <w:tcW w:type="dxa" w:w="4392"/>
            <w:vAlign w:val="top"/>
          </w:tcPr>
          <w:p>
            <w:pPr>
              <w:keepNext w:val="0"/>
              <w:spacing w:after="50" w:before="20" w:line="250" w:lineRule="auto"/>
            </w:pPr>
            <w:r>
              <w:rPr>
                <w:rFonts w:ascii="Arial" w:hAnsi="Arial"/>
                <w:b/>
                <w:sz w:val="18"/>
              </w:rPr>
              <w:t>F061  Usage and bill preview</w:t>
            </w:r>
            <w:r>
              <w:rPr>
                <w:rFonts w:ascii="Arial" w:hAnsi="Arial"/>
                <w:b w:val="0"/>
                <w:sz w:val="18"/>
              </w:rPr>
              <w:br/>
              <w:t>Show accrued subscription and usage charges with alerts, optional spending limits and next invoice estimate.</w:t>
            </w:r>
          </w:p>
        </w:tc>
        <w:tc>
          <w:tcPr>
            <w:tcW w:type="dxa" w:w="3744"/>
            <w:vAlign w:val="top"/>
          </w:tcPr>
          <w:p>
            <w:pPr>
              <w:keepNext w:val="0"/>
              <w:spacing w:after="50" w:before="20" w:line="250" w:lineRule="auto"/>
            </w:pPr>
            <w:r>
              <w:rPr>
                <w:rFonts w:ascii="Arial" w:hAnsi="Arial"/>
                <w:sz w:val="18"/>
              </w:rPr>
              <w:t>Billing events. The preview reconciles to the final bill and explains taxes or late provider adjustments.</w:t>
            </w:r>
          </w:p>
        </w:tc>
        <w:tc>
          <w:tcPr>
            <w:tcW w:type="dxa" w:w="2088"/>
            <w:vAlign w:val="top"/>
          </w:tcPr>
          <w:p>
            <w:pPr>
              <w:keepNext w:val="0"/>
              <w:spacing w:after="50" w:before="20" w:line="250" w:lineRule="auto"/>
            </w:pPr>
            <w:r>
              <w:rPr>
                <w:rFonts w:ascii="Arial" w:hAnsi="Arial"/>
                <w:sz w:val="18"/>
              </w:rPr>
              <w:t>Launch candidate (L)</w:t>
              <w:br/>
              <w:t>People: FIN</w:t>
              <w:br/>
              <w:t>Basis: I; WB C7 C14</w:t>
            </w:r>
          </w:p>
        </w:tc>
      </w:tr>
      <w:tr>
        <w:trPr>
          <w:cantSplit/>
        </w:trPr>
        <w:tc>
          <w:tcPr>
            <w:tcW w:type="dxa" w:w="4392"/>
            <w:vAlign w:val="top"/>
            <w:shd w:fill="F3F6F7"/>
          </w:tcPr>
          <w:p>
            <w:pPr>
              <w:keepNext w:val="0"/>
              <w:spacing w:after="50" w:before="20" w:line="250" w:lineRule="auto"/>
            </w:pPr>
            <w:r>
              <w:rPr>
                <w:rFonts w:ascii="Arial" w:hAnsi="Arial"/>
                <w:b/>
                <w:sz w:val="18"/>
              </w:rPr>
              <w:t>F062  Communication preferences</w:t>
            </w:r>
            <w:r>
              <w:rPr>
                <w:rFonts w:ascii="Arial" w:hAnsi="Arial"/>
                <w:b w:val="0"/>
                <w:sz w:val="18"/>
              </w:rPr>
              <w:br/>
              <w:t>Separate appointment, care and promotional channels; expose opt-outs and quiet hours with consent history.</w:t>
            </w:r>
          </w:p>
        </w:tc>
        <w:tc>
          <w:tcPr>
            <w:tcW w:type="dxa" w:w="3744"/>
            <w:vAlign w:val="top"/>
            <w:shd w:fill="F3F6F7"/>
          </w:tcPr>
          <w:p>
            <w:pPr>
              <w:keepNext w:val="0"/>
              <w:spacing w:after="50" w:before="20" w:line="250" w:lineRule="auto"/>
            </w:pPr>
            <w:r>
              <w:rPr>
                <w:rFonts w:ascii="Arial" w:hAnsi="Arial"/>
                <w:sz w:val="18"/>
              </w:rPr>
              <w:t>Messaging and consent records. An opt-out propagates to every future eligible campaign.</w:t>
            </w:r>
          </w:p>
        </w:tc>
        <w:tc>
          <w:tcPr>
            <w:tcW w:type="dxa" w:w="2088"/>
            <w:vAlign w:val="top"/>
            <w:shd w:fill="F3F6F7"/>
          </w:tcPr>
          <w:p>
            <w:pPr>
              <w:keepNext w:val="0"/>
              <w:spacing w:after="50" w:before="20" w:line="250" w:lineRule="auto"/>
            </w:pPr>
            <w:r>
              <w:rPr>
                <w:rFonts w:ascii="Arial" w:hAnsi="Arial"/>
                <w:sz w:val="18"/>
              </w:rPr>
              <w:t>Launch candidate (L)</w:t>
              <w:br/>
              <w:t>People: MSG LEG</w:t>
              <w:br/>
              <w:t>Basis: B; messaging controls</w:t>
            </w:r>
          </w:p>
        </w:tc>
      </w:tr>
      <w:tr>
        <w:trPr>
          <w:cantSplit/>
        </w:trPr>
        <w:tc>
          <w:tcPr>
            <w:tcW w:type="dxa" w:w="4392"/>
            <w:vAlign w:val="top"/>
          </w:tcPr>
          <w:p>
            <w:pPr>
              <w:keepNext w:val="0"/>
              <w:spacing w:after="50" w:before="20" w:line="250" w:lineRule="auto"/>
            </w:pPr>
            <w:r>
              <w:rPr>
                <w:rFonts w:ascii="Arial" w:hAnsi="Arial"/>
                <w:b/>
                <w:sz w:val="18"/>
              </w:rPr>
              <w:t>F063  Visit progress check-ins</w:t>
            </w:r>
            <w:r>
              <w:rPr>
                <w:rFonts w:ascii="Arial" w:hAnsi="Arial"/>
                <w:b w:val="0"/>
                <w:sz w:val="18"/>
              </w:rPr>
              <w:br/>
              <w:t>Invite an optional self-report after a service, allow photos and route concerns to the practitioner.</w:t>
            </w:r>
          </w:p>
        </w:tc>
        <w:tc>
          <w:tcPr>
            <w:tcW w:type="dxa" w:w="3744"/>
            <w:vAlign w:val="top"/>
          </w:tcPr>
          <w:p>
            <w:pPr>
              <w:keepNext w:val="0"/>
              <w:spacing w:after="50" w:before="20" w:line="250" w:lineRule="auto"/>
            </w:pPr>
            <w:r>
              <w:rPr>
                <w:rFonts w:ascii="Arial" w:hAnsi="Arial"/>
                <w:sz w:val="18"/>
              </w:rPr>
              <w:t>Secure portal. Reports are not diagnoses and urgent concerns receive approved escalation instructions.</w:t>
            </w:r>
          </w:p>
        </w:tc>
        <w:tc>
          <w:tcPr>
            <w:tcW w:type="dxa" w:w="2088"/>
            <w:vAlign w:val="top"/>
          </w:tcPr>
          <w:p>
            <w:pPr>
              <w:keepNext w:val="0"/>
              <w:spacing w:after="50" w:before="20" w:line="250" w:lineRule="auto"/>
            </w:pPr>
            <w:r>
              <w:rPr>
                <w:rFonts w:ascii="Arial" w:hAnsi="Arial"/>
                <w:sz w:val="18"/>
              </w:rPr>
              <w:t>Growth (G)</w:t>
              <w:br/>
              <w:t>People: CLIN</w:t>
              <w:br/>
              <w:t>Basis: T; care report cards</w:t>
            </w:r>
          </w:p>
        </w:tc>
      </w:tr>
      <w:tr>
        <w:trPr>
          <w:cantSplit/>
        </w:trPr>
        <w:tc>
          <w:tcPr>
            <w:tcW w:type="dxa" w:w="4392"/>
            <w:vAlign w:val="top"/>
            <w:shd w:fill="F3F6F7"/>
          </w:tcPr>
          <w:p>
            <w:pPr>
              <w:keepNext w:val="0"/>
              <w:spacing w:after="50" w:before="20" w:line="250" w:lineRule="auto"/>
            </w:pPr>
            <w:r>
              <w:rPr>
                <w:rFonts w:ascii="Arial" w:hAnsi="Arial"/>
                <w:b/>
                <w:sz w:val="18"/>
              </w:rPr>
              <w:t>F064  Consent aware portfolio publishing</w:t>
            </w:r>
            <w:r>
              <w:rPr>
                <w:rFonts w:ascii="Arial" w:hAnsi="Arial"/>
                <w:b w:val="0"/>
                <w:sz w:val="18"/>
              </w:rPr>
              <w:br/>
              <w:t>Let clients grant separate permission for internal documentation and public marketing use.</w:t>
            </w:r>
          </w:p>
        </w:tc>
        <w:tc>
          <w:tcPr>
            <w:tcW w:type="dxa" w:w="3744"/>
            <w:vAlign w:val="top"/>
            <w:shd w:fill="F3F6F7"/>
          </w:tcPr>
          <w:p>
            <w:pPr>
              <w:keepNext w:val="0"/>
              <w:spacing w:after="50" w:before="20" w:line="250" w:lineRule="auto"/>
            </w:pPr>
            <w:r>
              <w:rPr>
                <w:rFonts w:ascii="Arial" w:hAnsi="Arial"/>
                <w:sz w:val="18"/>
              </w:rPr>
              <w:t>Media grants. Revoking public permission removes owned public copies and records remaining third-party limits.</w:t>
            </w:r>
          </w:p>
        </w:tc>
        <w:tc>
          <w:tcPr>
            <w:tcW w:type="dxa" w:w="2088"/>
            <w:vAlign w:val="top"/>
            <w:shd w:fill="F3F6F7"/>
          </w:tcPr>
          <w:p>
            <w:pPr>
              <w:keepNext w:val="0"/>
              <w:spacing w:after="50" w:before="20" w:line="250" w:lineRule="auto"/>
            </w:pPr>
            <w:r>
              <w:rPr>
                <w:rFonts w:ascii="Arial" w:hAnsi="Arial"/>
                <w:sz w:val="18"/>
              </w:rPr>
              <w:t>Growth (G)</w:t>
              <w:br/>
              <w:t>People: LEG</w:t>
              <w:br/>
              <w:t>Basis: I; branding with client trust</w:t>
            </w:r>
          </w:p>
        </w:tc>
      </w:tr>
      <w:tr>
        <w:trPr>
          <w:cantSplit/>
        </w:trPr>
        <w:tc>
          <w:tcPr>
            <w:tcW w:type="dxa" w:w="4392"/>
            <w:vAlign w:val="top"/>
          </w:tcPr>
          <w:p>
            <w:pPr>
              <w:keepNext w:val="0"/>
              <w:spacing w:after="50" w:before="20" w:line="250" w:lineRule="auto"/>
            </w:pPr>
            <w:r>
              <w:rPr>
                <w:rFonts w:ascii="Arial" w:hAnsi="Arial"/>
                <w:b/>
                <w:sz w:val="18"/>
              </w:rPr>
              <w:t>F065  Virtual consultation connection</w:t>
            </w:r>
            <w:r>
              <w:rPr>
                <w:rFonts w:ascii="Arial" w:hAnsi="Arial"/>
                <w:b w:val="0"/>
                <w:sz w:val="18"/>
              </w:rPr>
              <w:br/>
              <w:t>Link a scheduled consultation to an approved video provider, intake and follow-up documents.</w:t>
            </w:r>
          </w:p>
        </w:tc>
        <w:tc>
          <w:tcPr>
            <w:tcW w:type="dxa" w:w="3744"/>
            <w:vAlign w:val="top"/>
          </w:tcPr>
          <w:p>
            <w:pPr>
              <w:keepNext w:val="0"/>
              <w:spacing w:after="50" w:before="20" w:line="250" w:lineRule="auto"/>
            </w:pPr>
            <w:r>
              <w:rPr>
                <w:rFonts w:ascii="Arial" w:hAnsi="Arial"/>
                <w:sz w:val="18"/>
              </w:rPr>
              <w:t>Video partner and permissions. Joining is simple and recording is off unless separately authorized.</w:t>
            </w:r>
          </w:p>
        </w:tc>
        <w:tc>
          <w:tcPr>
            <w:tcW w:type="dxa" w:w="2088"/>
            <w:vAlign w:val="top"/>
          </w:tcPr>
          <w:p>
            <w:pPr>
              <w:keepNext w:val="0"/>
              <w:spacing w:after="50" w:before="20" w:line="250" w:lineRule="auto"/>
            </w:pPr>
            <w:r>
              <w:rPr>
                <w:rFonts w:ascii="Arial" w:hAnsi="Arial"/>
                <w:sz w:val="18"/>
              </w:rPr>
              <w:t>Growth (G)</w:t>
              <w:br/>
              <w:t>People: PART CLIN</w:t>
              <w:br/>
              <w:t>Basis: B; WB A6</w:t>
            </w:r>
          </w:p>
        </w:tc>
      </w:tr>
      <w:tr>
        <w:trPr>
          <w:cantSplit/>
        </w:trPr>
        <w:tc>
          <w:tcPr>
            <w:tcW w:type="dxa" w:w="4392"/>
            <w:vAlign w:val="top"/>
            <w:shd w:fill="F3F6F7"/>
          </w:tcPr>
          <w:p>
            <w:pPr>
              <w:keepNext w:val="0"/>
              <w:spacing w:after="50" w:before="20" w:line="250" w:lineRule="auto"/>
            </w:pPr>
            <w:r>
              <w:rPr>
                <w:rFonts w:ascii="Arial" w:hAnsi="Arial"/>
                <w:b/>
                <w:sz w:val="18"/>
              </w:rPr>
              <w:t>F066  Arrival and waiting status</w:t>
            </w:r>
            <w:r>
              <w:rPr>
                <w:rFonts w:ascii="Arial" w:hAnsi="Arial"/>
                <w:b w:val="0"/>
                <w:sz w:val="18"/>
              </w:rPr>
              <w:br/>
              <w:t>Offer accessible check-in, a private queue and optional client updates without exposing other clients.</w:t>
            </w:r>
          </w:p>
        </w:tc>
        <w:tc>
          <w:tcPr>
            <w:tcW w:type="dxa" w:w="3744"/>
            <w:vAlign w:val="top"/>
            <w:shd w:fill="F3F6F7"/>
          </w:tcPr>
          <w:p>
            <w:pPr>
              <w:keepNext w:val="0"/>
              <w:spacing w:after="50" w:before="20" w:line="250" w:lineRule="auto"/>
            </w:pPr>
            <w:r>
              <w:rPr>
                <w:rFonts w:ascii="Arial" w:hAnsi="Arial"/>
                <w:sz w:val="18"/>
              </w:rPr>
              <w:t>Visit states. A staff member can correct an accidental check-in and prevent duplicate queues.</w:t>
            </w:r>
          </w:p>
        </w:tc>
        <w:tc>
          <w:tcPr>
            <w:tcW w:type="dxa" w:w="2088"/>
            <w:vAlign w:val="top"/>
            <w:shd w:fill="F3F6F7"/>
          </w:tcPr>
          <w:p>
            <w:pPr>
              <w:keepNext w:val="0"/>
              <w:spacing w:after="50" w:before="20" w:line="250" w:lineRule="auto"/>
            </w:pPr>
            <w:r>
              <w:rPr>
                <w:rFonts w:ascii="Arial" w:hAnsi="Arial"/>
                <w:sz w:val="18"/>
              </w:rPr>
              <w:t>Growth (G)</w:t>
              <w:br/>
              <w:t>People: CORE</w:t>
              <w:br/>
              <w:t>Basis: T; waiting room experience</w:t>
            </w:r>
          </w:p>
        </w:tc>
      </w:tr>
      <w:tr>
        <w:trPr>
          <w:cantSplit/>
        </w:trPr>
        <w:tc>
          <w:tcPr>
            <w:tcW w:type="dxa" w:w="4392"/>
            <w:vAlign w:val="top"/>
          </w:tcPr>
          <w:p>
            <w:pPr>
              <w:keepNext w:val="0"/>
              <w:spacing w:after="50" w:before="20" w:line="250" w:lineRule="auto"/>
            </w:pPr>
            <w:r>
              <w:rPr>
                <w:rFonts w:ascii="Arial" w:hAnsi="Arial"/>
                <w:b/>
                <w:sz w:val="18"/>
              </w:rPr>
              <w:t>F067  Local device preferences</w:t>
            </w:r>
            <w:r>
              <w:rPr>
                <w:rFonts w:ascii="Arial" w:hAnsi="Arial"/>
                <w:b w:val="0"/>
                <w:sz w:val="18"/>
              </w:rPr>
              <w:br/>
              <w:t>Support larger text, keyboard navigation, clear focus, reduced motion and persistent individual settings.</w:t>
            </w:r>
          </w:p>
        </w:tc>
        <w:tc>
          <w:tcPr>
            <w:tcW w:type="dxa" w:w="3744"/>
            <w:vAlign w:val="top"/>
          </w:tcPr>
          <w:p>
            <w:pPr>
              <w:keepNext w:val="0"/>
              <w:spacing w:after="50" w:before="20" w:line="250" w:lineRule="auto"/>
            </w:pPr>
            <w:r>
              <w:rPr>
                <w:rFonts w:ascii="Arial" w:hAnsi="Arial"/>
                <w:sz w:val="18"/>
              </w:rPr>
              <w:t>Accessible design system. Complete booking and checkout without drag-only or memory puzzle interactions.</w:t>
            </w:r>
          </w:p>
        </w:tc>
        <w:tc>
          <w:tcPr>
            <w:tcW w:type="dxa" w:w="2088"/>
            <w:vAlign w:val="top"/>
          </w:tcPr>
          <w:p>
            <w:pPr>
              <w:keepNext w:val="0"/>
              <w:spacing w:after="50" w:before="20" w:line="250" w:lineRule="auto"/>
            </w:pPr>
            <w:r>
              <w:rPr>
                <w:rFonts w:ascii="Arial" w:hAnsi="Arial"/>
                <w:sz w:val="18"/>
              </w:rPr>
              <w:t>Launch candidate (L)</w:t>
              <w:br/>
              <w:t>People: UX</w:t>
              <w:br/>
              <w:t>Basis: I; R04</w:t>
            </w:r>
          </w:p>
        </w:tc>
      </w:tr>
      <w:tr>
        <w:trPr>
          <w:cantSplit/>
        </w:trPr>
        <w:tc>
          <w:tcPr>
            <w:tcW w:type="dxa" w:w="4392"/>
            <w:vAlign w:val="top"/>
            <w:shd w:fill="F3F6F7"/>
          </w:tcPr>
          <w:p>
            <w:pPr>
              <w:keepNext w:val="0"/>
              <w:spacing w:after="50" w:before="20" w:line="250" w:lineRule="auto"/>
            </w:pPr>
            <w:r>
              <w:rPr>
                <w:rFonts w:ascii="Arial" w:hAnsi="Arial"/>
                <w:b/>
                <w:sz w:val="18"/>
              </w:rPr>
              <w:t>F068  Client credit and balance explanations</w:t>
            </w:r>
            <w:r>
              <w:rPr>
                <w:rFonts w:ascii="Arial" w:hAnsi="Arial"/>
                <w:b w:val="0"/>
                <w:sz w:val="18"/>
              </w:rPr>
              <w:br/>
              <w:t>Present every package credit, membership allowance, gift balance and expiry in understandable language.</w:t>
            </w:r>
          </w:p>
        </w:tc>
        <w:tc>
          <w:tcPr>
            <w:tcW w:type="dxa" w:w="3744"/>
            <w:vAlign w:val="top"/>
            <w:shd w:fill="F3F6F7"/>
          </w:tcPr>
          <w:p>
            <w:pPr>
              <w:keepNext w:val="0"/>
              <w:spacing w:after="50" w:before="20" w:line="250" w:lineRule="auto"/>
            </w:pPr>
            <w:r>
              <w:rPr>
                <w:rFonts w:ascii="Arial" w:hAnsi="Arial"/>
                <w:sz w:val="18"/>
              </w:rPr>
              <w:t>Entitlement ledger. A client can trace every reduction to a specific redemption or adjustment.</w:t>
            </w:r>
          </w:p>
        </w:tc>
        <w:tc>
          <w:tcPr>
            <w:tcW w:type="dxa" w:w="2088"/>
            <w:vAlign w:val="top"/>
            <w:shd w:fill="F3F6F7"/>
          </w:tcPr>
          <w:p>
            <w:pPr>
              <w:keepNext w:val="0"/>
              <w:spacing w:after="50" w:before="20" w:line="250" w:lineRule="auto"/>
            </w:pPr>
            <w:r>
              <w:rPr>
                <w:rFonts w:ascii="Arial" w:hAnsi="Arial"/>
                <w:sz w:val="18"/>
              </w:rPr>
              <w:t>Growth (G)</w:t>
              <w:br/>
              <w:t>People: FIN</w:t>
              <w:br/>
              <w:t>Basis: I; trust in memberships</w:t>
            </w:r>
          </w:p>
        </w:tc>
      </w:tr>
      <w:tr>
        <w:trPr>
          <w:cantSplit/>
        </w:trPr>
        <w:tc>
          <w:tcPr>
            <w:tcW w:type="dxa" w:w="4392"/>
            <w:vAlign w:val="top"/>
          </w:tcPr>
          <w:p>
            <w:pPr>
              <w:keepNext w:val="0"/>
              <w:spacing w:after="50" w:before="20" w:line="250" w:lineRule="auto"/>
            </w:pPr>
            <w:r>
              <w:rPr>
                <w:rFonts w:ascii="Arial" w:hAnsi="Arial"/>
                <w:b/>
                <w:sz w:val="18"/>
              </w:rPr>
              <w:t>F069  Staff document generation</w:t>
            </w:r>
            <w:r>
              <w:rPr>
                <w:rFonts w:ascii="Arial" w:hAnsi="Arial"/>
                <w:b w:val="0"/>
                <w:sz w:val="18"/>
              </w:rPr>
              <w:br/>
              <w:t>Generate role descriptions, onboarding packs and approved policy acknowledgments from staff records.</w:t>
            </w:r>
          </w:p>
        </w:tc>
        <w:tc>
          <w:tcPr>
            <w:tcW w:type="dxa" w:w="3744"/>
            <w:vAlign w:val="top"/>
          </w:tcPr>
          <w:p>
            <w:pPr>
              <w:keepNext w:val="0"/>
              <w:spacing w:after="50" w:before="20" w:line="250" w:lineRule="auto"/>
            </w:pPr>
            <w:r>
              <w:rPr>
                <w:rFonts w:ascii="Arial" w:hAnsi="Arial"/>
                <w:sz w:val="18"/>
              </w:rPr>
              <w:t>Template library. Employment and contractor documents use counsel-reviewed templates for the right jurisdiction.</w:t>
            </w:r>
          </w:p>
        </w:tc>
        <w:tc>
          <w:tcPr>
            <w:tcW w:type="dxa" w:w="2088"/>
            <w:vAlign w:val="top"/>
          </w:tcPr>
          <w:p>
            <w:pPr>
              <w:keepNext w:val="0"/>
              <w:spacing w:after="50" w:before="20" w:line="250" w:lineRule="auto"/>
            </w:pPr>
            <w:r>
              <w:rPr>
                <w:rFonts w:ascii="Arial" w:hAnsi="Arial"/>
                <w:sz w:val="18"/>
              </w:rPr>
              <w:t>Growth (G)</w:t>
              <w:br/>
              <w:t>People: LEG</w:t>
              <w:br/>
              <w:t>Basis: T; document automation</w:t>
            </w:r>
          </w:p>
        </w:tc>
      </w:tr>
      <w:tr>
        <w:trPr>
          <w:cantSplit/>
        </w:trPr>
        <w:tc>
          <w:tcPr>
            <w:tcW w:type="dxa" w:w="4392"/>
            <w:vAlign w:val="top"/>
            <w:shd w:fill="F3F6F7"/>
          </w:tcPr>
          <w:p>
            <w:pPr>
              <w:keepNext w:val="0"/>
              <w:spacing w:after="50" w:before="20" w:line="250" w:lineRule="auto"/>
            </w:pPr>
            <w:r>
              <w:rPr>
                <w:rFonts w:ascii="Arial" w:hAnsi="Arial"/>
                <w:b/>
                <w:sz w:val="18"/>
              </w:rPr>
              <w:t>F070  International language presentation</w:t>
            </w:r>
            <w:r>
              <w:rPr>
                <w:rFonts w:ascii="Arial" w:hAnsi="Arial"/>
                <w:b w:val="0"/>
                <w:sz w:val="18"/>
              </w:rPr>
              <w:br/>
              <w:t>Localize client-facing labels, dates and numbers with reviewed service and policy translations.</w:t>
            </w:r>
          </w:p>
        </w:tc>
        <w:tc>
          <w:tcPr>
            <w:tcW w:type="dxa" w:w="3744"/>
            <w:vAlign w:val="top"/>
            <w:shd w:fill="F3F6F7"/>
          </w:tcPr>
          <w:p>
            <w:pPr>
              <w:keepNext w:val="0"/>
              <w:spacing w:after="50" w:before="20" w:line="250" w:lineRule="auto"/>
            </w:pPr>
            <w:r>
              <w:rPr>
                <w:rFonts w:ascii="Arial" w:hAnsi="Arial"/>
                <w:sz w:val="18"/>
              </w:rPr>
              <w:t>Locale system. Signed records retain the exact language shown, and currencies are never inferred from locale.</w:t>
            </w:r>
          </w:p>
        </w:tc>
        <w:tc>
          <w:tcPr>
            <w:tcW w:type="dxa" w:w="2088"/>
            <w:vAlign w:val="top"/>
            <w:shd w:fill="F3F6F7"/>
          </w:tcPr>
          <w:p>
            <w:pPr>
              <w:keepNext w:val="0"/>
              <w:spacing w:after="50" w:before="20" w:line="250" w:lineRule="auto"/>
            </w:pPr>
            <w:r>
              <w:rPr>
                <w:rFonts w:ascii="Arial" w:hAnsi="Arial"/>
                <w:sz w:val="18"/>
              </w:rPr>
              <w:t>Growth (G)</w:t>
              <w:br/>
              <w:t>People: LANG LEG</w:t>
              <w:br/>
              <w:t>Basis: I; inclusive usability</w:t>
            </w:r>
          </w:p>
        </w:tc>
      </w:tr>
      <w:tr>
        <w:trPr>
          <w:cantSplit/>
        </w:trPr>
        <w:tc>
          <w:tcPr>
            <w:tcW w:type="dxa" w:w="4392"/>
            <w:vAlign w:val="top"/>
          </w:tcPr>
          <w:p>
            <w:pPr>
              <w:keepNext w:val="0"/>
              <w:spacing w:after="50" w:before="20" w:line="250" w:lineRule="auto"/>
            </w:pPr>
            <w:r>
              <w:rPr>
                <w:rFonts w:ascii="Arial" w:hAnsi="Arial"/>
                <w:b/>
                <w:sz w:val="18"/>
              </w:rPr>
              <w:t>F071  Rebooking at checkout</w:t>
            </w:r>
            <w:r>
              <w:rPr>
                <w:rFonts w:ascii="Arial" w:hAnsi="Arial"/>
                <w:b w:val="0"/>
                <w:sz w:val="18"/>
              </w:rPr>
              <w:br/>
              <w:t>Offer a preferred return interval and a few suitable slots while preserving the client's right to defer.</w:t>
            </w:r>
          </w:p>
        </w:tc>
        <w:tc>
          <w:tcPr>
            <w:tcW w:type="dxa" w:w="3744"/>
            <w:vAlign w:val="top"/>
          </w:tcPr>
          <w:p>
            <w:pPr>
              <w:keepNext w:val="0"/>
              <w:spacing w:after="50" w:before="20" w:line="250" w:lineRule="auto"/>
            </w:pPr>
            <w:r>
              <w:rPr>
                <w:rFonts w:ascii="Arial" w:hAnsi="Arial"/>
                <w:sz w:val="18"/>
              </w:rPr>
              <w:t>Availability and service rules. A proposed return date remains unbooked until accepted.</w:t>
            </w:r>
          </w:p>
        </w:tc>
        <w:tc>
          <w:tcPr>
            <w:tcW w:type="dxa" w:w="2088"/>
            <w:vAlign w:val="top"/>
          </w:tcPr>
          <w:p>
            <w:pPr>
              <w:keepNext w:val="0"/>
              <w:spacing w:after="50" w:before="20" w:line="250" w:lineRule="auto"/>
            </w:pPr>
            <w:r>
              <w:rPr>
                <w:rFonts w:ascii="Arial" w:hAnsi="Arial"/>
                <w:sz w:val="18"/>
              </w:rPr>
              <w:t>Growth (G)</w:t>
              <w:br/>
              <w:t>People: CORE</w:t>
              <w:br/>
              <w:t>Basis: B; retention workflow</w:t>
            </w:r>
          </w:p>
        </w:tc>
      </w:tr>
      <w:tr>
        <w:trPr>
          <w:cantSplit/>
        </w:trPr>
        <w:tc>
          <w:tcPr>
            <w:tcW w:type="dxa" w:w="4392"/>
            <w:vAlign w:val="top"/>
            <w:shd w:fill="F3F6F7"/>
          </w:tcPr>
          <w:p>
            <w:pPr>
              <w:keepNext w:val="0"/>
              <w:spacing w:after="50" w:before="20" w:line="250" w:lineRule="auto"/>
            </w:pPr>
            <w:r>
              <w:rPr>
                <w:rFonts w:ascii="Arial" w:hAnsi="Arial"/>
                <w:b/>
                <w:sz w:val="18"/>
              </w:rPr>
              <w:t>F072  Customer owned contact number</w:t>
            </w:r>
            <w:r>
              <w:rPr>
                <w:rFonts w:ascii="Arial" w:hAnsi="Arial"/>
                <w:b w:val="0"/>
                <w:sz w:val="18"/>
              </w:rPr>
              <w:br/>
              <w:t>Allow an approved business number, clear porting status and documented exit procedure.</w:t>
            </w:r>
          </w:p>
        </w:tc>
        <w:tc>
          <w:tcPr>
            <w:tcW w:type="dxa" w:w="3744"/>
            <w:vAlign w:val="top"/>
            <w:shd w:fill="F3F6F7"/>
          </w:tcPr>
          <w:p>
            <w:pPr>
              <w:keepNext w:val="0"/>
              <w:spacing w:after="50" w:before="20" w:line="250" w:lineRule="auto"/>
            </w:pPr>
            <w:r>
              <w:rPr>
                <w:rFonts w:ascii="Arial" w:hAnsi="Arial"/>
                <w:sz w:val="18"/>
              </w:rPr>
              <w:t>Telephony partner. The owner sees ownership, fees and porting constraints before subscribing.</w:t>
            </w:r>
          </w:p>
        </w:tc>
        <w:tc>
          <w:tcPr>
            <w:tcW w:type="dxa" w:w="2088"/>
            <w:vAlign w:val="top"/>
            <w:shd w:fill="F3F6F7"/>
          </w:tcPr>
          <w:p>
            <w:pPr>
              <w:keepNext w:val="0"/>
              <w:spacing w:after="50" w:before="20" w:line="250" w:lineRule="auto"/>
            </w:pPr>
            <w:r>
              <w:rPr>
                <w:rFonts w:ascii="Arial" w:hAnsi="Arial"/>
                <w:sz w:val="18"/>
              </w:rPr>
              <w:t>Growth (G)</w:t>
              <w:br/>
              <w:t>People: MSG PART</w:t>
              <w:br/>
              <w:t>Basis: I; WB U19</w:t>
            </w:r>
          </w:p>
        </w:tc>
      </w:tr>
      <w:tr>
        <w:trPr>
          <w:cantSplit/>
        </w:trPr>
        <w:tc>
          <w:tcPr>
            <w:tcW w:type="dxa" w:w="4392"/>
            <w:vAlign w:val="top"/>
          </w:tcPr>
          <w:p>
            <w:pPr>
              <w:keepNext w:val="0"/>
              <w:spacing w:after="50" w:before="20" w:line="250" w:lineRule="auto"/>
            </w:pPr>
            <w:r>
              <w:rPr>
                <w:rFonts w:ascii="Arial" w:hAnsi="Arial"/>
                <w:b/>
                <w:sz w:val="18"/>
              </w:rPr>
              <w:t>F190  Self service subscription exit</w:t>
            </w:r>
            <w:r>
              <w:rPr>
                <w:rFonts w:ascii="Arial" w:hAnsi="Arial"/>
                <w:b w:val="0"/>
                <w:sz w:val="18"/>
              </w:rPr>
              <w:br/>
              <w:t>Allow clear cancellation and downgrade, with a specified historical read-only period, export and published retention policy.</w:t>
            </w:r>
          </w:p>
        </w:tc>
        <w:tc>
          <w:tcPr>
            <w:tcW w:type="dxa" w:w="3744"/>
            <w:vAlign w:val="top"/>
          </w:tcPr>
          <w:p>
            <w:pPr>
              <w:keepNext w:val="0"/>
              <w:spacing w:after="50" w:before="20" w:line="250" w:lineRule="auto"/>
            </w:pPr>
            <w:r>
              <w:rPr>
                <w:rFonts w:ascii="Arial" w:hAnsi="Arial"/>
                <w:sz w:val="18"/>
              </w:rPr>
              <w:t>Subscription and record permissions. The owner sees what stops, what remains accessible and when data will be deleted.</w:t>
            </w:r>
          </w:p>
        </w:tc>
        <w:tc>
          <w:tcPr>
            <w:tcW w:type="dxa" w:w="2088"/>
            <w:vAlign w:val="top"/>
          </w:tcPr>
          <w:p>
            <w:pPr>
              <w:keepNext w:val="0"/>
              <w:spacing w:after="50" w:before="20" w:line="250" w:lineRule="auto"/>
            </w:pPr>
            <w:r>
              <w:rPr>
                <w:rFonts w:ascii="Arial" w:hAnsi="Arial"/>
                <w:sz w:val="18"/>
              </w:rPr>
              <w:t>Launch candidate (L)</w:t>
              <w:br/>
              <w:t>People: LEG FIN OPS</w:t>
              <w:br/>
              <w:t>Basis: I; WB F71 C10</w:t>
            </w:r>
          </w:p>
        </w:tc>
      </w:tr>
      <w:tr>
        <w:trPr>
          <w:cantSplit/>
        </w:trPr>
        <w:tc>
          <w:tcPr>
            <w:tcW w:type="dxa" w:w="4392"/>
            <w:vAlign w:val="top"/>
            <w:shd w:fill="F3F6F7"/>
          </w:tcPr>
          <w:p>
            <w:pPr>
              <w:keepNext w:val="0"/>
              <w:spacing w:after="50" w:before="20" w:line="250" w:lineRule="auto"/>
            </w:pPr>
            <w:r>
              <w:rPr>
                <w:rFonts w:ascii="Arial" w:hAnsi="Arial"/>
                <w:b/>
                <w:sz w:val="18"/>
              </w:rPr>
              <w:t>F192  Lost demand ledger</w:t>
            </w:r>
            <w:r>
              <w:rPr>
                <w:rFonts w:ascii="Arial" w:hAnsi="Arial"/>
                <w:b w:val="0"/>
                <w:sz w:val="18"/>
              </w:rPr>
              <w:br/>
              <w:t>Capture unsuccessful availability searches and manual turn-aways with requested service, time flexibility and optional permission to follow up.</w:t>
            </w:r>
          </w:p>
        </w:tc>
        <w:tc>
          <w:tcPr>
            <w:tcW w:type="dxa" w:w="3744"/>
            <w:vAlign w:val="top"/>
            <w:shd w:fill="F3F6F7"/>
          </w:tcPr>
          <w:p>
            <w:pPr>
              <w:keepNext w:val="0"/>
              <w:spacing w:after="50" w:before="20" w:line="250" w:lineRule="auto"/>
            </w:pPr>
            <w:r>
              <w:rPr>
                <w:rFonts w:ascii="Arial" w:hAnsi="Arial"/>
                <w:sz w:val="18"/>
              </w:rPr>
              <w:t>Booking events and manual quick entry. Reports separate observed requests from inferred lost revenue and expose duplicate demand.</w:t>
            </w:r>
          </w:p>
        </w:tc>
        <w:tc>
          <w:tcPr>
            <w:tcW w:type="dxa" w:w="2088"/>
            <w:vAlign w:val="top"/>
            <w:shd w:fill="F3F6F7"/>
          </w:tcPr>
          <w:p>
            <w:pPr>
              <w:keepNext w:val="0"/>
              <w:spacing w:after="50" w:before="20" w:line="250" w:lineRule="auto"/>
            </w:pPr>
            <w:r>
              <w:rPr>
                <w:rFonts w:ascii="Arial" w:hAnsi="Arial"/>
                <w:sz w:val="18"/>
              </w:rPr>
              <w:t>Growth (G)</w:t>
              <w:br/>
              <w:t>People: DATA</w:t>
              <w:br/>
              <w:t>Basis: H; CRS04</w:t>
            </w:r>
          </w:p>
        </w:tc>
      </w:tr>
      <w:tr>
        <w:trPr>
          <w:cantSplit/>
        </w:trPr>
        <w:tc>
          <w:tcPr>
            <w:tcW w:type="dxa" w:w="4392"/>
            <w:vAlign w:val="top"/>
          </w:tcPr>
          <w:p>
            <w:pPr>
              <w:keepNext w:val="0"/>
              <w:spacing w:after="50" w:before="20" w:line="250" w:lineRule="auto"/>
            </w:pPr>
            <w:r>
              <w:rPr>
                <w:rFonts w:ascii="Arial" w:hAnsi="Arial"/>
                <w:b/>
                <w:sz w:val="18"/>
              </w:rPr>
              <w:t>F196  Task mastery learning in a safe demo</w:t>
            </w:r>
            <w:r>
              <w:rPr>
                <w:rFonts w:ascii="Arial" w:hAnsi="Arial"/>
                <w:b w:val="0"/>
                <w:sz w:val="18"/>
              </w:rPr>
              <w:br/>
              <w:t>Provide short role-specific practice tasks inside fictional data, with feedback on completing a booking, change, form review or checkout correctly. Show competence in app tasks rather than attendance; reminders and progress are optional.</w:t>
            </w:r>
          </w:p>
        </w:tc>
        <w:tc>
          <w:tcPr>
            <w:tcW w:type="dxa" w:w="3744"/>
            <w:vAlign w:val="top"/>
          </w:tcPr>
          <w:p>
            <w:pPr>
              <w:keepNext w:val="0"/>
              <w:spacing w:after="50" w:before="20" w:line="250" w:lineRule="auto"/>
            </w:pPr>
            <w:r>
              <w:rPr>
                <w:rFonts w:ascii="Arial" w:hAnsi="Arial"/>
                <w:sz w:val="18"/>
              </w:rPr>
              <w:t>F012 demo isolation is prerequisite. Practice cannot message real clients, take payment or count as operational performance. Do not imply professional licensing or clinical competence.</w:t>
            </w:r>
          </w:p>
        </w:tc>
        <w:tc>
          <w:tcPr>
            <w:tcW w:type="dxa" w:w="2088"/>
            <w:vAlign w:val="top"/>
          </w:tcPr>
          <w:p>
            <w:pPr>
              <w:keepNext w:val="0"/>
              <w:spacing w:after="50" w:before="20" w:line="250" w:lineRule="auto"/>
            </w:pPr>
            <w:r>
              <w:rPr>
                <w:rFonts w:ascii="Arial" w:hAnsi="Arial"/>
                <w:sz w:val="18"/>
              </w:rPr>
              <w:t>Launch candidate (L)</w:t>
              <w:br/>
              <w:t>People: UX CLIN</w:t>
              <w:br/>
              <w:t>Basis: T; X11</w:t>
            </w:r>
          </w:p>
        </w:tc>
      </w:tr>
    </w:tbl>
    <w:p>
      <w:pPr>
        <w:spacing w:after="40" w:before="0" w:line="240" w:lineRule="auto"/>
      </w:pPr>
      <w:r>
        <w:rPr>
          <w:sz w:val="4"/>
        </w:rPr>
      </w:r>
    </w:p>
    <w:p>
      <w:pPr>
        <w:pStyle w:val="Heading2"/>
      </w:pPr>
      <w:r>
        <w:t>D3 Stateful and integrated systems</w:t>
      </w:r>
    </w:p>
    <w:p>
      <w:r>
        <w:t>Concurrency, ledgers, signatures, data pipelines, communication or transactional integrations. 73 features.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4392"/>
        <w:gridCol w:w="3744"/>
        <w:gridCol w:w="2088"/>
      </w:tblGrid>
      <w:tr>
        <w:trPr>
          <w:tblHeader/>
        </w:trPr>
        <w:tc>
          <w:tcPr>
            <w:tcW w:type="dxa" w:w="4392"/>
            <w:vAlign w:val="top"/>
            <w:shd w:fill="173F50"/>
          </w:tcPr>
          <w:p>
            <w:pPr>
              <w:keepNext/>
              <w:spacing w:after="50" w:before="20" w:line="250" w:lineRule="auto"/>
            </w:pPr>
            <w:r>
              <w:rPr>
                <w:rFonts w:ascii="Arial" w:hAnsi="Arial"/>
                <w:b/>
                <w:color w:val="FFFFFF"/>
                <w:sz w:val="18"/>
              </w:rPr>
              <w:t>Feature and proposed scope</w:t>
            </w:r>
          </w:p>
        </w:tc>
        <w:tc>
          <w:tcPr>
            <w:tcW w:type="dxa" w:w="3744"/>
            <w:vAlign w:val="top"/>
            <w:shd w:fill="173F50"/>
          </w:tcPr>
          <w:p>
            <w:pPr>
              <w:keepNext/>
              <w:spacing w:after="50" w:before="20" w:line="250" w:lineRule="auto"/>
            </w:pPr>
            <w:r>
              <w:rPr>
                <w:rFonts w:ascii="Arial" w:hAnsi="Arial"/>
                <w:b/>
                <w:color w:val="FFFFFF"/>
                <w:sz w:val="18"/>
              </w:rPr>
              <w:t>Dependencies and acceptance</w:t>
            </w:r>
          </w:p>
        </w:tc>
        <w:tc>
          <w:tcPr>
            <w:tcW w:type="dxa" w:w="2088"/>
            <w:vAlign w:val="top"/>
            <w:shd w:fill="173F50"/>
          </w:tcPr>
          <w:p>
            <w:pPr>
              <w:keepNext/>
              <w:spacing w:after="50" w:before="20" w:line="250" w:lineRule="auto"/>
            </w:pPr>
            <w:r>
              <w:rPr>
                <w:rFonts w:ascii="Arial" w:hAnsi="Arial"/>
                <w:b/>
                <w:color w:val="FFFFFF"/>
                <w:sz w:val="18"/>
              </w:rPr>
              <w:t>Release and people</w:t>
            </w:r>
          </w:p>
        </w:tc>
      </w:tr>
      <w:tr>
        <w:trPr>
          <w:cantSplit/>
        </w:trPr>
        <w:tc>
          <w:tcPr>
            <w:tcW w:type="dxa" w:w="4392"/>
            <w:vAlign w:val="top"/>
          </w:tcPr>
          <w:p>
            <w:pPr>
              <w:keepNext w:val="0"/>
              <w:spacing w:after="50" w:before="20" w:line="250" w:lineRule="auto"/>
            </w:pPr>
            <w:r>
              <w:rPr>
                <w:rFonts w:ascii="Arial" w:hAnsi="Arial"/>
                <w:b/>
                <w:sz w:val="18"/>
              </w:rPr>
              <w:t>F073  Tenant identity and access</w:t>
            </w:r>
            <w:r>
              <w:rPr>
                <w:rFonts w:ascii="Arial" w:hAnsi="Arial"/>
                <w:b w:val="0"/>
                <w:sz w:val="18"/>
              </w:rPr>
              <w:br/>
              <w:t>Separate businesses, locations, employees and clients; support owner recovery, staff MFA and least privilege roles.</w:t>
            </w:r>
          </w:p>
        </w:tc>
        <w:tc>
          <w:tcPr>
            <w:tcW w:type="dxa" w:w="3744"/>
            <w:vAlign w:val="top"/>
          </w:tcPr>
          <w:p>
            <w:pPr>
              <w:keepNext w:val="0"/>
              <w:spacing w:after="50" w:before="20" w:line="250" w:lineRule="auto"/>
            </w:pPr>
            <w:r>
              <w:rPr>
                <w:rFonts w:ascii="Arial" w:hAnsi="Arial"/>
                <w:sz w:val="18"/>
              </w:rPr>
              <w:t>Foundational work. Cross-business access tests pass and staff removal revokes active sessions.</w:t>
            </w:r>
          </w:p>
        </w:tc>
        <w:tc>
          <w:tcPr>
            <w:tcW w:type="dxa" w:w="2088"/>
            <w:vAlign w:val="top"/>
          </w:tcPr>
          <w:p>
            <w:pPr>
              <w:keepNext w:val="0"/>
              <w:spacing w:after="50" w:before="20" w:line="250" w:lineRule="auto"/>
            </w:pPr>
            <w:r>
              <w:rPr>
                <w:rFonts w:ascii="Arial" w:hAnsi="Arial"/>
                <w:sz w:val="18"/>
              </w:rPr>
              <w:t>Foundation (F)</w:t>
              <w:br/>
              <w:t>People: SEC</w:t>
              <w:br/>
              <w:t>Basis: Foundation</w:t>
            </w:r>
          </w:p>
        </w:tc>
      </w:tr>
      <w:tr>
        <w:trPr>
          <w:cantSplit/>
        </w:trPr>
        <w:tc>
          <w:tcPr>
            <w:tcW w:type="dxa" w:w="4392"/>
            <w:vAlign w:val="top"/>
            <w:shd w:fill="F3F6F7"/>
          </w:tcPr>
          <w:p>
            <w:pPr>
              <w:keepNext w:val="0"/>
              <w:spacing w:after="50" w:before="20" w:line="250" w:lineRule="auto"/>
            </w:pPr>
            <w:r>
              <w:rPr>
                <w:rFonts w:ascii="Arial" w:hAnsi="Arial"/>
                <w:b/>
                <w:sz w:val="18"/>
              </w:rPr>
              <w:t>F074  Financial ledger and event history</w:t>
            </w:r>
            <w:r>
              <w:rPr>
                <w:rFonts w:ascii="Arial" w:hAnsi="Arial"/>
                <w:b w:val="0"/>
                <w:sz w:val="18"/>
              </w:rPr>
              <w:br/>
              <w:t>Keep immutable financial movements, appointment state history and stable identifiers for every business action.</w:t>
            </w:r>
          </w:p>
        </w:tc>
        <w:tc>
          <w:tcPr>
            <w:tcW w:type="dxa" w:w="3744"/>
            <w:vAlign w:val="top"/>
            <w:shd w:fill="F3F6F7"/>
          </w:tcPr>
          <w:p>
            <w:pPr>
              <w:keepNext w:val="0"/>
              <w:spacing w:after="50" w:before="20" w:line="250" w:lineRule="auto"/>
            </w:pPr>
            <w:r>
              <w:rPr>
                <w:rFonts w:ascii="Arial" w:hAnsi="Arial"/>
                <w:sz w:val="18"/>
              </w:rPr>
              <w:t>Foundational work. Retries cannot duplicate charges and every reported total can be reconciled.</w:t>
            </w:r>
          </w:p>
        </w:tc>
        <w:tc>
          <w:tcPr>
            <w:tcW w:type="dxa" w:w="2088"/>
            <w:vAlign w:val="top"/>
            <w:shd w:fill="F3F6F7"/>
          </w:tcPr>
          <w:p>
            <w:pPr>
              <w:keepNext w:val="0"/>
              <w:spacing w:after="50" w:before="20" w:line="250" w:lineRule="auto"/>
            </w:pPr>
            <w:r>
              <w:rPr>
                <w:rFonts w:ascii="Arial" w:hAnsi="Arial"/>
                <w:sz w:val="18"/>
              </w:rPr>
              <w:t>Foundation (F)</w:t>
              <w:br/>
              <w:t>People: FIN PAY</w:t>
              <w:br/>
              <w:t>Basis: Foundation; R02</w:t>
            </w:r>
          </w:p>
        </w:tc>
      </w:tr>
      <w:tr>
        <w:trPr>
          <w:cantSplit/>
        </w:trPr>
        <w:tc>
          <w:tcPr>
            <w:tcW w:type="dxa" w:w="4392"/>
            <w:vAlign w:val="top"/>
          </w:tcPr>
          <w:p>
            <w:pPr>
              <w:keepNext w:val="0"/>
              <w:spacing w:after="50" w:before="20" w:line="250" w:lineRule="auto"/>
            </w:pPr>
            <w:r>
              <w:rPr>
                <w:rFonts w:ascii="Arial" w:hAnsi="Arial"/>
                <w:b/>
                <w:sz w:val="18"/>
              </w:rPr>
              <w:t>F075  Reliable booking engine</w:t>
            </w:r>
            <w:r>
              <w:rPr>
                <w:rFonts w:ascii="Arial" w:hAnsi="Arial"/>
                <w:b w:val="0"/>
                <w:sz w:val="18"/>
              </w:rPr>
              <w:br/>
              <w:t>Let clients book as guests without an account or app. Calculate availability, hold a slot and atomically confirm it with policies and time zones. A staff-created provisional booking can be completed by a secure client link.</w:t>
            </w:r>
          </w:p>
        </w:tc>
        <w:tc>
          <w:tcPr>
            <w:tcW w:type="dxa" w:w="3744"/>
            <w:vAlign w:val="top"/>
          </w:tcPr>
          <w:p>
            <w:pPr>
              <w:keepNext w:val="0"/>
              <w:spacing w:after="50" w:before="20" w:line="250" w:lineRule="auto"/>
            </w:pPr>
            <w:r>
              <w:rPr>
                <w:rFonts w:ascii="Arial" w:hAnsi="Arial"/>
                <w:sz w:val="18"/>
              </w:rPr>
              <w:t>Identity and events. Concurrent requests never double-book an exclusive practitioner or resource.</w:t>
            </w:r>
          </w:p>
        </w:tc>
        <w:tc>
          <w:tcPr>
            <w:tcW w:type="dxa" w:w="2088"/>
            <w:vAlign w:val="top"/>
          </w:tcPr>
          <w:p>
            <w:pPr>
              <w:keepNext w:val="0"/>
              <w:spacing w:after="50" w:before="20" w:line="250" w:lineRule="auto"/>
            </w:pPr>
            <w:r>
              <w:rPr>
                <w:rFonts w:ascii="Arial" w:hAnsi="Arial"/>
                <w:sz w:val="18"/>
              </w:rPr>
              <w:t>Foundation (F)</w:t>
              <w:br/>
              <w:t>People: CORE</w:t>
              <w:br/>
              <w:t>Basis: B; WB F5</w:t>
            </w:r>
          </w:p>
        </w:tc>
      </w:tr>
      <w:tr>
        <w:trPr>
          <w:cantSplit/>
        </w:trPr>
        <w:tc>
          <w:tcPr>
            <w:tcW w:type="dxa" w:w="4392"/>
            <w:vAlign w:val="top"/>
            <w:shd w:fill="F3F6F7"/>
          </w:tcPr>
          <w:p>
            <w:pPr>
              <w:keepNext w:val="0"/>
              <w:spacing w:after="50" w:before="20" w:line="250" w:lineRule="auto"/>
            </w:pPr>
            <w:r>
              <w:rPr>
                <w:rFonts w:ascii="Arial" w:hAnsi="Arial"/>
                <w:b/>
                <w:sz w:val="18"/>
              </w:rPr>
              <w:t>F076  Room and equipment scheduling</w:t>
            </w:r>
            <w:r>
              <w:rPr>
                <w:rFonts w:ascii="Arial" w:hAnsi="Arial"/>
                <w:b w:val="0"/>
                <w:sz w:val="18"/>
              </w:rPr>
              <w:br/>
              <w:t>Reserve the required room, chair, device and cleanup period alongside the professional.</w:t>
            </w:r>
          </w:p>
        </w:tc>
        <w:tc>
          <w:tcPr>
            <w:tcW w:type="dxa" w:w="3744"/>
            <w:vAlign w:val="top"/>
            <w:shd w:fill="F3F6F7"/>
          </w:tcPr>
          <w:p>
            <w:pPr>
              <w:keepNext w:val="0"/>
              <w:spacing w:after="50" w:before="20" w:line="250" w:lineRule="auto"/>
            </w:pPr>
            <w:r>
              <w:rPr>
                <w:rFonts w:ascii="Arial" w:hAnsi="Arial"/>
                <w:sz w:val="18"/>
              </w:rPr>
              <w:t>Booking engine. Two services cannot consume the same exclusive resource at the same time.</w:t>
            </w:r>
          </w:p>
        </w:tc>
        <w:tc>
          <w:tcPr>
            <w:tcW w:type="dxa" w:w="2088"/>
            <w:vAlign w:val="top"/>
            <w:shd w:fill="F3F6F7"/>
          </w:tcPr>
          <w:p>
            <w:pPr>
              <w:keepNext w:val="0"/>
              <w:spacing w:after="50" w:before="20" w:line="250" w:lineRule="auto"/>
            </w:pPr>
            <w:r>
              <w:rPr>
                <w:rFonts w:ascii="Arial" w:hAnsi="Arial"/>
                <w:sz w:val="18"/>
              </w:rPr>
              <w:t>Growth (G)</w:t>
              <w:br/>
              <w:t>People: CORE</w:t>
              <w:br/>
              <w:t>Basis: B; WB F16</w:t>
            </w:r>
          </w:p>
        </w:tc>
      </w:tr>
      <w:tr>
        <w:trPr>
          <w:cantSplit/>
        </w:trPr>
        <w:tc>
          <w:tcPr>
            <w:tcW w:type="dxa" w:w="4392"/>
            <w:vAlign w:val="top"/>
          </w:tcPr>
          <w:p>
            <w:pPr>
              <w:keepNext w:val="0"/>
              <w:spacing w:after="50" w:before="20" w:line="250" w:lineRule="auto"/>
            </w:pPr>
            <w:r>
              <w:rPr>
                <w:rFonts w:ascii="Arial" w:hAnsi="Arial"/>
                <w:b/>
                <w:sz w:val="18"/>
              </w:rPr>
              <w:t>F077  Processing and finishing intervals</w:t>
            </w:r>
            <w:r>
              <w:rPr>
                <w:rFonts w:ascii="Arial" w:hAnsi="Arial"/>
                <w:b w:val="0"/>
                <w:sz w:val="18"/>
              </w:rPr>
              <w:br/>
              <w:t>Model hands-on work, processing gaps and finishing segments so released staff time is truly usable.</w:t>
            </w:r>
          </w:p>
        </w:tc>
        <w:tc>
          <w:tcPr>
            <w:tcW w:type="dxa" w:w="3744"/>
            <w:vAlign w:val="top"/>
          </w:tcPr>
          <w:p>
            <w:pPr>
              <w:keepNext w:val="0"/>
              <w:spacing w:after="50" w:before="20" w:line="250" w:lineRule="auto"/>
            </w:pPr>
            <w:r>
              <w:rPr>
                <w:rFonts w:ascii="Arial" w:hAnsi="Arial"/>
                <w:sz w:val="18"/>
              </w:rPr>
              <w:t>Resource scheduler. A processing gap never releases a room or device that remains occupied.</w:t>
            </w:r>
          </w:p>
        </w:tc>
        <w:tc>
          <w:tcPr>
            <w:tcW w:type="dxa" w:w="2088"/>
            <w:vAlign w:val="top"/>
          </w:tcPr>
          <w:p>
            <w:pPr>
              <w:keepNext w:val="0"/>
              <w:spacing w:after="50" w:before="20" w:line="250" w:lineRule="auto"/>
            </w:pPr>
            <w:r>
              <w:rPr>
                <w:rFonts w:ascii="Arial" w:hAnsi="Arial"/>
                <w:sz w:val="18"/>
              </w:rPr>
              <w:t>Growth (G)</w:t>
              <w:br/>
              <w:t>People: CORE</w:t>
              <w:br/>
              <w:t>Basis: B; WB F15</w:t>
            </w:r>
          </w:p>
        </w:tc>
      </w:tr>
      <w:tr>
        <w:trPr>
          <w:cantSplit/>
        </w:trPr>
        <w:tc>
          <w:tcPr>
            <w:tcW w:type="dxa" w:w="4392"/>
            <w:vAlign w:val="top"/>
            <w:shd w:fill="F3F6F7"/>
          </w:tcPr>
          <w:p>
            <w:pPr>
              <w:keepNext w:val="0"/>
              <w:spacing w:after="50" w:before="20" w:line="250" w:lineRule="auto"/>
            </w:pPr>
            <w:r>
              <w:rPr>
                <w:rFonts w:ascii="Arial" w:hAnsi="Arial"/>
                <w:b/>
                <w:sz w:val="18"/>
              </w:rPr>
              <w:t>F078  Multi practitioner appointments</w:t>
            </w:r>
            <w:r>
              <w:rPr>
                <w:rFonts w:ascii="Arial" w:hAnsi="Arial"/>
                <w:b w:val="0"/>
                <w:sz w:val="18"/>
              </w:rPr>
              <w:br/>
              <w:t>Coordinate sequential or overlapping services with skill checks, handoff notes and ownership of each segment.</w:t>
            </w:r>
          </w:p>
        </w:tc>
        <w:tc>
          <w:tcPr>
            <w:tcW w:type="dxa" w:w="3744"/>
            <w:vAlign w:val="top"/>
            <w:shd w:fill="F3F6F7"/>
          </w:tcPr>
          <w:p>
            <w:pPr>
              <w:keepNext w:val="0"/>
              <w:spacing w:after="50" w:before="20" w:line="250" w:lineRule="auto"/>
            </w:pPr>
            <w:r>
              <w:rPr>
                <w:rFonts w:ascii="Arial" w:hAnsi="Arial"/>
                <w:sz w:val="18"/>
              </w:rPr>
              <w:t>Scheduler and permissions. A delayed segment exposes consequences before the next staff member is notified.</w:t>
            </w:r>
          </w:p>
        </w:tc>
        <w:tc>
          <w:tcPr>
            <w:tcW w:type="dxa" w:w="2088"/>
            <w:vAlign w:val="top"/>
            <w:shd w:fill="F3F6F7"/>
          </w:tcPr>
          <w:p>
            <w:pPr>
              <w:keepNext w:val="0"/>
              <w:spacing w:after="50" w:before="20" w:line="250" w:lineRule="auto"/>
            </w:pPr>
            <w:r>
              <w:rPr>
                <w:rFonts w:ascii="Arial" w:hAnsi="Arial"/>
                <w:sz w:val="18"/>
              </w:rPr>
              <w:t>Growth (G)</w:t>
              <w:br/>
              <w:t>People: CORE</w:t>
              <w:br/>
              <w:t>Basis: B; multi staff workflows</w:t>
            </w:r>
          </w:p>
        </w:tc>
      </w:tr>
      <w:tr>
        <w:trPr>
          <w:cantSplit/>
        </w:trPr>
        <w:tc>
          <w:tcPr>
            <w:tcW w:type="dxa" w:w="4392"/>
            <w:vAlign w:val="top"/>
          </w:tcPr>
          <w:p>
            <w:pPr>
              <w:keepNext w:val="0"/>
              <w:spacing w:after="50" w:before="20" w:line="250" w:lineRule="auto"/>
            </w:pPr>
            <w:r>
              <w:rPr>
                <w:rFonts w:ascii="Arial" w:hAnsi="Arial"/>
                <w:b/>
                <w:sz w:val="18"/>
              </w:rPr>
              <w:t>F079  Group and family booking</w:t>
            </w:r>
            <w:r>
              <w:rPr>
                <w:rFonts w:ascii="Arial" w:hAnsi="Arial"/>
                <w:b w:val="0"/>
                <w:sz w:val="18"/>
              </w:rPr>
              <w:br/>
              <w:t>Book several people together with individual services, forms and optional shared payment.</w:t>
            </w:r>
          </w:p>
        </w:tc>
        <w:tc>
          <w:tcPr>
            <w:tcW w:type="dxa" w:w="3744"/>
            <w:vAlign w:val="top"/>
          </w:tcPr>
          <w:p>
            <w:pPr>
              <w:keepNext w:val="0"/>
              <w:spacing w:after="50" w:before="20" w:line="250" w:lineRule="auto"/>
            </w:pPr>
            <w:r>
              <w:rPr>
                <w:rFonts w:ascii="Arial" w:hAnsi="Arial"/>
                <w:sz w:val="18"/>
              </w:rPr>
              <w:t>Scheduling and identity. A guardian does not automatically gain access to another adult's private records.</w:t>
            </w:r>
          </w:p>
        </w:tc>
        <w:tc>
          <w:tcPr>
            <w:tcW w:type="dxa" w:w="2088"/>
            <w:vAlign w:val="top"/>
          </w:tcPr>
          <w:p>
            <w:pPr>
              <w:keepNext w:val="0"/>
              <w:spacing w:after="50" w:before="20" w:line="250" w:lineRule="auto"/>
            </w:pPr>
            <w:r>
              <w:rPr>
                <w:rFonts w:ascii="Arial" w:hAnsi="Arial"/>
                <w:sz w:val="18"/>
              </w:rPr>
              <w:t>Growth (G)</w:t>
              <w:br/>
              <w:t>People: LEG</w:t>
              <w:br/>
              <w:t>Basis: B; WB F18</w:t>
            </w:r>
          </w:p>
        </w:tc>
      </w:tr>
      <w:tr>
        <w:trPr>
          <w:cantSplit/>
        </w:trPr>
        <w:tc>
          <w:tcPr>
            <w:tcW w:type="dxa" w:w="4392"/>
            <w:vAlign w:val="top"/>
            <w:shd w:fill="F3F6F7"/>
          </w:tcPr>
          <w:p>
            <w:pPr>
              <w:keepNext w:val="0"/>
              <w:spacing w:after="50" w:before="20" w:line="250" w:lineRule="auto"/>
            </w:pPr>
            <w:r>
              <w:rPr>
                <w:rFonts w:ascii="Arial" w:hAnsi="Arial"/>
                <w:b/>
                <w:sz w:val="18"/>
              </w:rPr>
              <w:t>F080  Classes and workshops</w:t>
            </w:r>
            <w:r>
              <w:rPr>
                <w:rFonts w:ascii="Arial" w:hAnsi="Arial"/>
                <w:b w:val="0"/>
                <w:sz w:val="18"/>
              </w:rPr>
              <w:br/>
              <w:t>Manage seat capacity, instructor and room availability, rosters, cancellations and relevant package eligibility.</w:t>
            </w:r>
          </w:p>
        </w:tc>
        <w:tc>
          <w:tcPr>
            <w:tcW w:type="dxa" w:w="3744"/>
            <w:vAlign w:val="top"/>
            <w:shd w:fill="F3F6F7"/>
          </w:tcPr>
          <w:p>
            <w:pPr>
              <w:keepNext w:val="0"/>
              <w:spacing w:after="50" w:before="20" w:line="250" w:lineRule="auto"/>
            </w:pPr>
            <w:r>
              <w:rPr>
                <w:rFonts w:ascii="Arial" w:hAnsi="Arial"/>
                <w:sz w:val="18"/>
              </w:rPr>
              <w:t>Scheduler and entitlement ledger. The final seat is sold once, including during concurrent checkout.</w:t>
            </w:r>
          </w:p>
        </w:tc>
        <w:tc>
          <w:tcPr>
            <w:tcW w:type="dxa" w:w="2088"/>
            <w:vAlign w:val="top"/>
            <w:shd w:fill="F3F6F7"/>
          </w:tcPr>
          <w:p>
            <w:pPr>
              <w:keepNext w:val="0"/>
              <w:spacing w:after="50" w:before="20" w:line="250" w:lineRule="auto"/>
            </w:pPr>
            <w:r>
              <w:rPr>
                <w:rFonts w:ascii="Arial" w:hAnsi="Arial"/>
                <w:sz w:val="18"/>
              </w:rPr>
              <w:t>Growth (G)</w:t>
              <w:br/>
              <w:t>People: CORE</w:t>
              <w:br/>
              <w:t>Basis: B; WB F18</w:t>
            </w:r>
          </w:p>
        </w:tc>
      </w:tr>
      <w:tr>
        <w:trPr>
          <w:cantSplit/>
        </w:trPr>
        <w:tc>
          <w:tcPr>
            <w:tcW w:type="dxa" w:w="4392"/>
            <w:vAlign w:val="top"/>
          </w:tcPr>
          <w:p>
            <w:pPr>
              <w:keepNext w:val="0"/>
              <w:spacing w:after="50" w:before="20" w:line="250" w:lineRule="auto"/>
            </w:pPr>
            <w:r>
              <w:rPr>
                <w:rFonts w:ascii="Arial" w:hAnsi="Arial"/>
                <w:b/>
                <w:sz w:val="18"/>
              </w:rPr>
              <w:t>F081  Timed waitlist offers</w:t>
            </w:r>
            <w:r>
              <w:rPr>
                <w:rFonts w:ascii="Arial" w:hAnsi="Arial"/>
                <w:b w:val="0"/>
                <w:sz w:val="18"/>
              </w:rPr>
              <w:br/>
              <w:t>Match an opening to client preferences and send an expiring offer with a reserved claim window.</w:t>
            </w:r>
          </w:p>
        </w:tc>
        <w:tc>
          <w:tcPr>
            <w:tcW w:type="dxa" w:w="3744"/>
            <w:vAlign w:val="top"/>
          </w:tcPr>
          <w:p>
            <w:pPr>
              <w:keepNext w:val="0"/>
              <w:spacing w:after="50" w:before="20" w:line="250" w:lineRule="auto"/>
            </w:pPr>
            <w:r>
              <w:rPr>
                <w:rFonts w:ascii="Arial" w:hAnsi="Arial"/>
                <w:sz w:val="18"/>
              </w:rPr>
              <w:t>Atomic booking and delivery. A successful claim stops later offers; message delivery failure advances safely.</w:t>
            </w:r>
          </w:p>
        </w:tc>
        <w:tc>
          <w:tcPr>
            <w:tcW w:type="dxa" w:w="2088"/>
            <w:vAlign w:val="top"/>
          </w:tcPr>
          <w:p>
            <w:pPr>
              <w:keepNext w:val="0"/>
              <w:spacing w:after="50" w:before="20" w:line="250" w:lineRule="auto"/>
            </w:pPr>
            <w:r>
              <w:rPr>
                <w:rFonts w:ascii="Arial" w:hAnsi="Arial"/>
                <w:sz w:val="18"/>
              </w:rPr>
              <w:t>Growth (G)</w:t>
              <w:br/>
              <w:t>People: MSG</w:t>
              <w:br/>
              <w:t>Basis: B; WB F9 U5</w:t>
            </w:r>
          </w:p>
        </w:tc>
      </w:tr>
      <w:tr>
        <w:trPr>
          <w:cantSplit/>
        </w:trPr>
        <w:tc>
          <w:tcPr>
            <w:tcW w:type="dxa" w:w="4392"/>
            <w:vAlign w:val="top"/>
            <w:shd w:fill="F3F6F7"/>
          </w:tcPr>
          <w:p>
            <w:pPr>
              <w:keepNext w:val="0"/>
              <w:spacing w:after="50" w:before="20" w:line="250" w:lineRule="auto"/>
            </w:pPr>
            <w:r>
              <w:rPr>
                <w:rFonts w:ascii="Arial" w:hAnsi="Arial"/>
                <w:b/>
                <w:sz w:val="18"/>
              </w:rPr>
              <w:t>F082  Cancellation recovery queue</w:t>
            </w:r>
            <w:r>
              <w:rPr>
                <w:rFonts w:ascii="Arial" w:hAnsi="Arial"/>
                <w:b w:val="0"/>
                <w:sz w:val="18"/>
              </w:rPr>
              <w:br/>
              <w:t>Prioritize compatible waitlist requests, earlier-move requests and voluntary standby clients using owner rules.</w:t>
            </w:r>
          </w:p>
        </w:tc>
        <w:tc>
          <w:tcPr>
            <w:tcW w:type="dxa" w:w="3744"/>
            <w:vAlign w:val="top"/>
            <w:shd w:fill="F3F6F7"/>
          </w:tcPr>
          <w:p>
            <w:pPr>
              <w:keepNext w:val="0"/>
              <w:spacing w:after="50" w:before="20" w:line="250" w:lineRule="auto"/>
            </w:pPr>
            <w:r>
              <w:rPr>
                <w:rFonts w:ascii="Arial" w:hAnsi="Arial"/>
                <w:sz w:val="18"/>
              </w:rPr>
              <w:t>Waitlist and permissions. Recovery revenue counts completed replacement visits, excluding simple reschedules.</w:t>
            </w:r>
          </w:p>
        </w:tc>
        <w:tc>
          <w:tcPr>
            <w:tcW w:type="dxa" w:w="2088"/>
            <w:vAlign w:val="top"/>
            <w:shd w:fill="F3F6F7"/>
          </w:tcPr>
          <w:p>
            <w:pPr>
              <w:keepNext w:val="0"/>
              <w:spacing w:after="50" w:before="20" w:line="250" w:lineRule="auto"/>
            </w:pPr>
            <w:r>
              <w:rPr>
                <w:rFonts w:ascii="Arial" w:hAnsi="Arial"/>
                <w:sz w:val="18"/>
              </w:rPr>
              <w:t>Growth (G)</w:t>
              <w:br/>
              <w:t>People: DATA</w:t>
              <w:br/>
              <w:t>Basis: I; cancellation recovery</w:t>
            </w:r>
          </w:p>
        </w:tc>
      </w:tr>
      <w:tr>
        <w:trPr>
          <w:cantSplit/>
        </w:trPr>
        <w:tc>
          <w:tcPr>
            <w:tcW w:type="dxa" w:w="4392"/>
            <w:vAlign w:val="top"/>
          </w:tcPr>
          <w:p>
            <w:pPr>
              <w:keepNext w:val="0"/>
              <w:spacing w:after="50" w:before="20" w:line="250" w:lineRule="auto"/>
            </w:pPr>
            <w:r>
              <w:rPr>
                <w:rFonts w:ascii="Arial" w:hAnsi="Arial"/>
                <w:b/>
                <w:sz w:val="18"/>
              </w:rPr>
              <w:t>F083  Two way calendar sync</w:t>
            </w:r>
            <w:r>
              <w:rPr>
                <w:rFonts w:ascii="Arial" w:hAnsi="Arial"/>
                <w:b w:val="0"/>
                <w:sz w:val="18"/>
              </w:rPr>
              <w:br/>
              <w:t>Read busy blocks and synchronize authorized events with Google or Outlook using deduplication and conflict rules.</w:t>
            </w:r>
          </w:p>
        </w:tc>
        <w:tc>
          <w:tcPr>
            <w:tcW w:type="dxa" w:w="3744"/>
            <w:vAlign w:val="top"/>
          </w:tcPr>
          <w:p>
            <w:pPr>
              <w:keepNext w:val="0"/>
              <w:spacing w:after="50" w:before="20" w:line="250" w:lineRule="auto"/>
            </w:pPr>
            <w:r>
              <w:rPr>
                <w:rFonts w:ascii="Arial" w:hAnsi="Arial"/>
                <w:sz w:val="18"/>
              </w:rPr>
              <w:t>External APIs. An external event cannot silently delete a paid appointment or cause a sync loop.</w:t>
            </w:r>
          </w:p>
        </w:tc>
        <w:tc>
          <w:tcPr>
            <w:tcW w:type="dxa" w:w="2088"/>
            <w:vAlign w:val="top"/>
          </w:tcPr>
          <w:p>
            <w:pPr>
              <w:keepNext w:val="0"/>
              <w:spacing w:after="50" w:before="20" w:line="250" w:lineRule="auto"/>
            </w:pPr>
            <w:r>
              <w:rPr>
                <w:rFonts w:ascii="Arial" w:hAnsi="Arial"/>
                <w:sz w:val="18"/>
              </w:rPr>
              <w:t>Growth (G)</w:t>
              <w:br/>
              <w:t>People: PART</w:t>
              <w:br/>
              <w:t>Basis: B; WB F17</w:t>
            </w:r>
          </w:p>
        </w:tc>
      </w:tr>
      <w:tr>
        <w:trPr>
          <w:cantSplit/>
        </w:trPr>
        <w:tc>
          <w:tcPr>
            <w:tcW w:type="dxa" w:w="4392"/>
            <w:vAlign w:val="top"/>
            <w:shd w:fill="F3F6F7"/>
          </w:tcPr>
          <w:p>
            <w:pPr>
              <w:keepNext w:val="0"/>
              <w:spacing w:after="50" w:before="20" w:line="250" w:lineRule="auto"/>
            </w:pPr>
            <w:r>
              <w:rPr>
                <w:rFonts w:ascii="Arial" w:hAnsi="Arial"/>
                <w:b/>
                <w:sz w:val="18"/>
              </w:rPr>
              <w:t>F084  Deposits and preauthorizations</w:t>
            </w:r>
            <w:r>
              <w:rPr>
                <w:rFonts w:ascii="Arial" w:hAnsi="Arial"/>
                <w:b w:val="0"/>
                <w:sz w:val="18"/>
              </w:rPr>
              <w:br/>
              <w:t>Collect a deposit or supported authorization with clear expiry, remaining balance and refund policy.</w:t>
            </w:r>
          </w:p>
        </w:tc>
        <w:tc>
          <w:tcPr>
            <w:tcW w:type="dxa" w:w="3744"/>
            <w:vAlign w:val="top"/>
            <w:shd w:fill="F3F6F7"/>
          </w:tcPr>
          <w:p>
            <w:pPr>
              <w:keepNext w:val="0"/>
              <w:spacing w:after="50" w:before="20" w:line="250" w:lineRule="auto"/>
            </w:pPr>
            <w:r>
              <w:rPr>
                <w:rFonts w:ascii="Arial" w:hAnsi="Arial"/>
                <w:sz w:val="18"/>
              </w:rPr>
              <w:t>Payment partner and ledger. Authorization expiry and declined balance payments have visible recovery paths.</w:t>
            </w:r>
          </w:p>
        </w:tc>
        <w:tc>
          <w:tcPr>
            <w:tcW w:type="dxa" w:w="2088"/>
            <w:vAlign w:val="top"/>
            <w:shd w:fill="F3F6F7"/>
          </w:tcPr>
          <w:p>
            <w:pPr>
              <w:keepNext w:val="0"/>
              <w:spacing w:after="50" w:before="20" w:line="250" w:lineRule="auto"/>
            </w:pPr>
            <w:r>
              <w:rPr>
                <w:rFonts w:ascii="Arial" w:hAnsi="Arial"/>
                <w:sz w:val="18"/>
              </w:rPr>
              <w:t>Launch candidate (L)</w:t>
              <w:br/>
              <w:t>People: PAY LEG</w:t>
              <w:br/>
              <w:t>Basis: B; WB F7</w:t>
            </w:r>
          </w:p>
        </w:tc>
      </w:tr>
      <w:tr>
        <w:trPr>
          <w:cantSplit/>
        </w:trPr>
        <w:tc>
          <w:tcPr>
            <w:tcW w:type="dxa" w:w="4392"/>
            <w:vAlign w:val="top"/>
          </w:tcPr>
          <w:p>
            <w:pPr>
              <w:keepNext w:val="0"/>
              <w:spacing w:after="50" w:before="20" w:line="250" w:lineRule="auto"/>
            </w:pPr>
            <w:r>
              <w:rPr>
                <w:rFonts w:ascii="Arial" w:hAnsi="Arial"/>
                <w:b/>
                <w:sz w:val="18"/>
              </w:rPr>
              <w:t>F085  Unified checkout</w:t>
            </w:r>
            <w:r>
              <w:rPr>
                <w:rFonts w:ascii="Arial" w:hAnsi="Arial"/>
                <w:b w:val="0"/>
                <w:sz w:val="18"/>
              </w:rPr>
              <w:br/>
              <w:t>Combine services, retail, packages and balances in one itemized ticket with split tender. Offer a secure client-phone payment link for the remaining balance as well as staff checkout.</w:t>
            </w:r>
          </w:p>
        </w:tc>
        <w:tc>
          <w:tcPr>
            <w:tcW w:type="dxa" w:w="3744"/>
            <w:vAlign w:val="top"/>
          </w:tcPr>
          <w:p>
            <w:pPr>
              <w:keepNext w:val="0"/>
              <w:spacing w:after="50" w:before="20" w:line="250" w:lineRule="auto"/>
            </w:pPr>
            <w:r>
              <w:rPr>
                <w:rFonts w:ascii="Arial" w:hAnsi="Arial"/>
                <w:sz w:val="18"/>
              </w:rPr>
              <w:t>Financial and entitlement ledgers. Partial payments, taxes, tips and refunds remain separately traceable.</w:t>
            </w:r>
          </w:p>
        </w:tc>
        <w:tc>
          <w:tcPr>
            <w:tcW w:type="dxa" w:w="2088"/>
            <w:vAlign w:val="top"/>
          </w:tcPr>
          <w:p>
            <w:pPr>
              <w:keepNext w:val="0"/>
              <w:spacing w:after="50" w:before="20" w:line="250" w:lineRule="auto"/>
            </w:pPr>
            <w:r>
              <w:rPr>
                <w:rFonts w:ascii="Arial" w:hAnsi="Arial"/>
                <w:sz w:val="18"/>
              </w:rPr>
              <w:t>Launch candidate (L)</w:t>
              <w:br/>
              <w:t>People: PAY FIN</w:t>
              <w:br/>
              <w:t>Basis: B; WB U22 C17</w:t>
            </w:r>
          </w:p>
        </w:tc>
      </w:tr>
      <w:tr>
        <w:trPr>
          <w:cantSplit/>
        </w:trPr>
        <w:tc>
          <w:tcPr>
            <w:tcW w:type="dxa" w:w="4392"/>
            <w:vAlign w:val="top"/>
            <w:shd w:fill="F3F6F7"/>
          </w:tcPr>
          <w:p>
            <w:pPr>
              <w:keepNext w:val="0"/>
              <w:spacing w:after="50" w:before="20" w:line="250" w:lineRule="auto"/>
            </w:pPr>
            <w:r>
              <w:rPr>
                <w:rFonts w:ascii="Arial" w:hAnsi="Arial"/>
                <w:b/>
                <w:sz w:val="18"/>
              </w:rPr>
              <w:t>F086  Tap to Pay and terminals</w:t>
            </w:r>
            <w:r>
              <w:rPr>
                <w:rFonts w:ascii="Arial" w:hAnsi="Arial"/>
                <w:b w:val="0"/>
                <w:sz w:val="18"/>
              </w:rPr>
              <w:br/>
              <w:t>Integrate certified phone and terminal payment flows with device pairing and clear online status.</w:t>
            </w:r>
          </w:p>
        </w:tc>
        <w:tc>
          <w:tcPr>
            <w:tcW w:type="dxa" w:w="3744"/>
            <w:vAlign w:val="top"/>
            <w:shd w:fill="F3F6F7"/>
          </w:tcPr>
          <w:p>
            <w:pPr>
              <w:keepNext w:val="0"/>
              <w:spacing w:after="50" w:before="20" w:line="250" w:lineRule="auto"/>
            </w:pPr>
            <w:r>
              <w:rPr>
                <w:rFonts w:ascii="Arial" w:hAnsi="Arial"/>
                <w:sz w:val="18"/>
              </w:rPr>
              <w:t>Payment provider certification. Interrupted processing resolves the actual payment state before retry.</w:t>
            </w:r>
          </w:p>
        </w:tc>
        <w:tc>
          <w:tcPr>
            <w:tcW w:type="dxa" w:w="2088"/>
            <w:vAlign w:val="top"/>
            <w:shd w:fill="F3F6F7"/>
          </w:tcPr>
          <w:p>
            <w:pPr>
              <w:keepNext w:val="0"/>
              <w:spacing w:after="50" w:before="20" w:line="250" w:lineRule="auto"/>
            </w:pPr>
            <w:r>
              <w:rPr>
                <w:rFonts w:ascii="Arial" w:hAnsi="Arial"/>
                <w:sz w:val="18"/>
              </w:rPr>
              <w:t>Launch candidate (L)</w:t>
              <w:br/>
              <w:t>People: PAY</w:t>
              <w:br/>
              <w:t>Basis: B; WB F31</w:t>
            </w:r>
          </w:p>
        </w:tc>
      </w:tr>
      <w:tr>
        <w:trPr>
          <w:cantSplit/>
        </w:trPr>
        <w:tc>
          <w:tcPr>
            <w:tcW w:type="dxa" w:w="4392"/>
            <w:vAlign w:val="top"/>
          </w:tcPr>
          <w:p>
            <w:pPr>
              <w:keepNext w:val="0"/>
              <w:spacing w:after="50" w:before="20" w:line="250" w:lineRule="auto"/>
            </w:pPr>
            <w:r>
              <w:rPr>
                <w:rFonts w:ascii="Arial" w:hAnsi="Arial"/>
                <w:b/>
                <w:sz w:val="18"/>
              </w:rPr>
              <w:t>F087  Refunds and exchanges</w:t>
            </w:r>
            <w:r>
              <w:rPr>
                <w:rFonts w:ascii="Arial" w:hAnsi="Arial"/>
                <w:b w:val="0"/>
                <w:sz w:val="18"/>
              </w:rPr>
              <w:br/>
              <w:t>Handle full or partial refunds, returned inventory, deposits, tips and processor fees with a reason history.</w:t>
            </w:r>
          </w:p>
        </w:tc>
        <w:tc>
          <w:tcPr>
            <w:tcW w:type="dxa" w:w="3744"/>
            <w:vAlign w:val="top"/>
          </w:tcPr>
          <w:p>
            <w:pPr>
              <w:keepNext w:val="0"/>
              <w:spacing w:after="50" w:before="20" w:line="250" w:lineRule="auto"/>
            </w:pPr>
            <w:r>
              <w:rPr>
                <w:rFonts w:ascii="Arial" w:hAnsi="Arial"/>
                <w:sz w:val="18"/>
              </w:rPr>
              <w:t>Ledger and provider webhooks. Refund state is reconciled before staff can issue another refund.</w:t>
            </w:r>
          </w:p>
        </w:tc>
        <w:tc>
          <w:tcPr>
            <w:tcW w:type="dxa" w:w="2088"/>
            <w:vAlign w:val="top"/>
          </w:tcPr>
          <w:p>
            <w:pPr>
              <w:keepNext w:val="0"/>
              <w:spacing w:after="50" w:before="20" w:line="250" w:lineRule="auto"/>
            </w:pPr>
            <w:r>
              <w:rPr>
                <w:rFonts w:ascii="Arial" w:hAnsi="Arial"/>
                <w:sz w:val="18"/>
              </w:rPr>
              <w:t>Launch candidate (L)</w:t>
              <w:br/>
              <w:t>People: PAY FIN</w:t>
              <w:br/>
              <w:t>Basis: B; R02</w:t>
            </w:r>
          </w:p>
        </w:tc>
      </w:tr>
      <w:tr>
        <w:trPr>
          <w:cantSplit/>
        </w:trPr>
        <w:tc>
          <w:tcPr>
            <w:tcW w:type="dxa" w:w="4392"/>
            <w:vAlign w:val="top"/>
            <w:shd w:fill="F3F6F7"/>
          </w:tcPr>
          <w:p>
            <w:pPr>
              <w:keepNext w:val="0"/>
              <w:spacing w:after="50" w:before="20" w:line="250" w:lineRule="auto"/>
            </w:pPr>
            <w:r>
              <w:rPr>
                <w:rFonts w:ascii="Arial" w:hAnsi="Arial"/>
                <w:b/>
                <w:sz w:val="18"/>
              </w:rPr>
              <w:t>F088  No show collection workflow</w:t>
            </w:r>
            <w:r>
              <w:rPr>
                <w:rFonts w:ascii="Arial" w:hAnsi="Arial"/>
                <w:b w:val="0"/>
                <w:sz w:val="18"/>
              </w:rPr>
              <w:br/>
              <w:t>Apply the acknowledged policy, request an eligible charge and show declines, challenges and recovery actions.</w:t>
            </w:r>
          </w:p>
        </w:tc>
        <w:tc>
          <w:tcPr>
            <w:tcW w:type="dxa" w:w="3744"/>
            <w:vAlign w:val="top"/>
            <w:shd w:fill="F3F6F7"/>
          </w:tcPr>
          <w:p>
            <w:pPr>
              <w:keepNext w:val="0"/>
              <w:spacing w:after="50" w:before="20" w:line="250" w:lineRule="auto"/>
            </w:pPr>
            <w:r>
              <w:rPr>
                <w:rFonts w:ascii="Arial" w:hAnsi="Arial"/>
                <w:sz w:val="18"/>
              </w:rPr>
              <w:t>Consent evidence and processor rules. A saved card is never represented as guaranteed collectible funds.</w:t>
            </w:r>
          </w:p>
        </w:tc>
        <w:tc>
          <w:tcPr>
            <w:tcW w:type="dxa" w:w="2088"/>
            <w:vAlign w:val="top"/>
            <w:shd w:fill="F3F6F7"/>
          </w:tcPr>
          <w:p>
            <w:pPr>
              <w:keepNext w:val="0"/>
              <w:spacing w:after="50" w:before="20" w:line="250" w:lineRule="auto"/>
            </w:pPr>
            <w:r>
              <w:rPr>
                <w:rFonts w:ascii="Arial" w:hAnsi="Arial"/>
                <w:sz w:val="18"/>
              </w:rPr>
              <w:t>Launch candidate (L)</w:t>
              <w:br/>
              <w:t>People: PAY LEG</w:t>
              <w:br/>
              <w:t>Basis: I; WB F8 C15</w:t>
            </w:r>
          </w:p>
        </w:tc>
      </w:tr>
      <w:tr>
        <w:trPr>
          <w:cantSplit/>
        </w:trPr>
        <w:tc>
          <w:tcPr>
            <w:tcW w:type="dxa" w:w="4392"/>
            <w:vAlign w:val="top"/>
          </w:tcPr>
          <w:p>
            <w:pPr>
              <w:keepNext w:val="0"/>
              <w:spacing w:after="50" w:before="20" w:line="250" w:lineRule="auto"/>
            </w:pPr>
            <w:r>
              <w:rPr>
                <w:rFonts w:ascii="Arial" w:hAnsi="Arial"/>
                <w:b/>
                <w:sz w:val="18"/>
              </w:rPr>
              <w:t>F089  Dispute evidence workspace</w:t>
            </w:r>
            <w:r>
              <w:rPr>
                <w:rFonts w:ascii="Arial" w:hAnsi="Arial"/>
                <w:b w:val="0"/>
                <w:sz w:val="18"/>
              </w:rPr>
              <w:br/>
              <w:t>Assemble policy acceptance, service records, communications and receipts for staff review and submission.</w:t>
            </w:r>
          </w:p>
        </w:tc>
        <w:tc>
          <w:tcPr>
            <w:tcW w:type="dxa" w:w="3744"/>
            <w:vAlign w:val="top"/>
          </w:tcPr>
          <w:p>
            <w:pPr>
              <w:keepNext w:val="0"/>
              <w:spacing w:after="50" w:before="20" w:line="250" w:lineRule="auto"/>
            </w:pPr>
            <w:r>
              <w:rPr>
                <w:rFonts w:ascii="Arial" w:hAnsi="Arial"/>
                <w:sz w:val="18"/>
              </w:rPr>
              <w:t>Processor integration. Track deadlines and outcome; evidence never implies guaranteed chargeback protection.</w:t>
            </w:r>
          </w:p>
        </w:tc>
        <w:tc>
          <w:tcPr>
            <w:tcW w:type="dxa" w:w="2088"/>
            <w:vAlign w:val="top"/>
          </w:tcPr>
          <w:p>
            <w:pPr>
              <w:keepNext w:val="0"/>
              <w:spacing w:after="50" w:before="20" w:line="250" w:lineRule="auto"/>
            </w:pPr>
            <w:r>
              <w:rPr>
                <w:rFonts w:ascii="Arial" w:hAnsi="Arial"/>
                <w:sz w:val="18"/>
              </w:rPr>
              <w:t>Launch candidate (L)</w:t>
              <w:br/>
              <w:t>People: PAY OPS</w:t>
              <w:br/>
              <w:t>Basis: I; WB F34</w:t>
            </w:r>
          </w:p>
        </w:tc>
      </w:tr>
      <w:tr>
        <w:trPr>
          <w:cantSplit/>
        </w:trPr>
        <w:tc>
          <w:tcPr>
            <w:tcW w:type="dxa" w:w="4392"/>
            <w:vAlign w:val="top"/>
            <w:shd w:fill="F3F6F7"/>
          </w:tcPr>
          <w:p>
            <w:pPr>
              <w:keepNext w:val="0"/>
              <w:spacing w:after="50" w:before="20" w:line="250" w:lineRule="auto"/>
            </w:pPr>
            <w:r>
              <w:rPr>
                <w:rFonts w:ascii="Arial" w:hAnsi="Arial"/>
                <w:b/>
                <w:sz w:val="18"/>
              </w:rPr>
              <w:t>F090  Payout and hold tracker</w:t>
            </w:r>
            <w:r>
              <w:rPr>
                <w:rFonts w:ascii="Arial" w:hAnsi="Arial"/>
                <w:b w:val="0"/>
                <w:sz w:val="18"/>
              </w:rPr>
              <w:br/>
              <w:t>Explain pending, available, reserved and paid funds; show verification requests, owner actions and support contact.</w:t>
            </w:r>
          </w:p>
        </w:tc>
        <w:tc>
          <w:tcPr>
            <w:tcW w:type="dxa" w:w="3744"/>
            <w:vAlign w:val="top"/>
            <w:shd w:fill="F3F6F7"/>
          </w:tcPr>
          <w:p>
            <w:pPr>
              <w:keepNext w:val="0"/>
              <w:spacing w:after="50" w:before="20" w:line="250" w:lineRule="auto"/>
            </w:pPr>
            <w:r>
              <w:rPr>
                <w:rFonts w:ascii="Arial" w:hAnsi="Arial"/>
                <w:sz w:val="18"/>
              </w:rPr>
              <w:t>Provider balance and payout events. A predicted payout date is distinguished from a confirmed settlement.</w:t>
            </w:r>
          </w:p>
        </w:tc>
        <w:tc>
          <w:tcPr>
            <w:tcW w:type="dxa" w:w="2088"/>
            <w:vAlign w:val="top"/>
            <w:shd w:fill="F3F6F7"/>
          </w:tcPr>
          <w:p>
            <w:pPr>
              <w:keepNext w:val="0"/>
              <w:spacing w:after="50" w:before="20" w:line="250" w:lineRule="auto"/>
            </w:pPr>
            <w:r>
              <w:rPr>
                <w:rFonts w:ascii="Arial" w:hAnsi="Arial"/>
                <w:sz w:val="18"/>
              </w:rPr>
              <w:t>Launch candidate (L)</w:t>
              <w:br/>
              <w:t>People: PAY OPS</w:t>
              <w:br/>
              <w:t>Basis: I; WB F36 C8</w:t>
            </w:r>
          </w:p>
        </w:tc>
      </w:tr>
      <w:tr>
        <w:trPr>
          <w:cantSplit/>
        </w:trPr>
        <w:tc>
          <w:tcPr>
            <w:tcW w:type="dxa" w:w="4392"/>
            <w:vAlign w:val="top"/>
          </w:tcPr>
          <w:p>
            <w:pPr>
              <w:keepNext w:val="0"/>
              <w:spacing w:after="50" w:before="20" w:line="250" w:lineRule="auto"/>
            </w:pPr>
            <w:r>
              <w:rPr>
                <w:rFonts w:ascii="Arial" w:hAnsi="Arial"/>
                <w:b/>
                <w:sz w:val="18"/>
              </w:rPr>
              <w:t>F091  Gift card liability ledger</w:t>
            </w:r>
            <w:r>
              <w:rPr>
                <w:rFonts w:ascii="Arial" w:hAnsi="Arial"/>
                <w:b w:val="0"/>
                <w:sz w:val="18"/>
              </w:rPr>
              <w:br/>
              <w:t>Sell, deliver, redeem and refund gift value with configurable local rules and clear remaining balances.</w:t>
            </w:r>
          </w:p>
        </w:tc>
        <w:tc>
          <w:tcPr>
            <w:tcW w:type="dxa" w:w="3744"/>
            <w:vAlign w:val="top"/>
          </w:tcPr>
          <w:p>
            <w:pPr>
              <w:keepNext w:val="0"/>
              <w:spacing w:after="50" w:before="20" w:line="250" w:lineRule="auto"/>
            </w:pPr>
            <w:r>
              <w:rPr>
                <w:rFonts w:ascii="Arial" w:hAnsi="Arial"/>
                <w:sz w:val="18"/>
              </w:rPr>
              <w:t>Ledger and legal review. Selling a gift card does not also count its face value as earned service revenue.</w:t>
            </w:r>
          </w:p>
        </w:tc>
        <w:tc>
          <w:tcPr>
            <w:tcW w:type="dxa" w:w="2088"/>
            <w:vAlign w:val="top"/>
          </w:tcPr>
          <w:p>
            <w:pPr>
              <w:keepNext w:val="0"/>
              <w:spacing w:after="50" w:before="20" w:line="250" w:lineRule="auto"/>
            </w:pPr>
            <w:r>
              <w:rPr>
                <w:rFonts w:ascii="Arial" w:hAnsi="Arial"/>
                <w:sz w:val="18"/>
              </w:rPr>
              <w:t>Growth (G)</w:t>
              <w:br/>
              <w:t>People: FIN LEG</w:t>
              <w:br/>
              <w:t>Basis: B; WB F38</w:t>
            </w:r>
          </w:p>
        </w:tc>
      </w:tr>
      <w:tr>
        <w:trPr>
          <w:cantSplit/>
        </w:trPr>
        <w:tc>
          <w:tcPr>
            <w:tcW w:type="dxa" w:w="4392"/>
            <w:vAlign w:val="top"/>
            <w:shd w:fill="F3F6F7"/>
          </w:tcPr>
          <w:p>
            <w:pPr>
              <w:keepNext w:val="0"/>
              <w:spacing w:after="50" w:before="20" w:line="250" w:lineRule="auto"/>
            </w:pPr>
            <w:r>
              <w:rPr>
                <w:rFonts w:ascii="Arial" w:hAnsi="Arial"/>
                <w:b/>
                <w:sz w:val="18"/>
              </w:rPr>
              <w:t>F092  Package and series entitlements</w:t>
            </w:r>
            <w:r>
              <w:rPr>
                <w:rFonts w:ascii="Arial" w:hAnsi="Arial"/>
                <w:b w:val="0"/>
                <w:sz w:val="18"/>
              </w:rPr>
              <w:br/>
              <w:t>Manage purchased sessions, partial use, expiry, refunds and approved transfers without negative balances.</w:t>
            </w:r>
          </w:p>
        </w:tc>
        <w:tc>
          <w:tcPr>
            <w:tcW w:type="dxa" w:w="3744"/>
            <w:vAlign w:val="top"/>
            <w:shd w:fill="F3F6F7"/>
          </w:tcPr>
          <w:p>
            <w:pPr>
              <w:keepNext w:val="0"/>
              <w:spacing w:after="50" w:before="20" w:line="250" w:lineRule="auto"/>
            </w:pPr>
            <w:r>
              <w:rPr>
                <w:rFonts w:ascii="Arial" w:hAnsi="Arial"/>
                <w:sz w:val="18"/>
              </w:rPr>
              <w:t>Ledger and catalog versions. A refund cannot leave already consumed sessions available again.</w:t>
            </w:r>
          </w:p>
        </w:tc>
        <w:tc>
          <w:tcPr>
            <w:tcW w:type="dxa" w:w="2088"/>
            <w:vAlign w:val="top"/>
            <w:shd w:fill="F3F6F7"/>
          </w:tcPr>
          <w:p>
            <w:pPr>
              <w:keepNext w:val="0"/>
              <w:spacing w:after="50" w:before="20" w:line="250" w:lineRule="auto"/>
            </w:pPr>
            <w:r>
              <w:rPr>
                <w:rFonts w:ascii="Arial" w:hAnsi="Arial"/>
                <w:sz w:val="18"/>
              </w:rPr>
              <w:t>Growth (G)</w:t>
              <w:br/>
              <w:t>People: FIN LEG</w:t>
              <w:br/>
              <w:t>Basis: B; WB F39</w:t>
            </w:r>
          </w:p>
        </w:tc>
      </w:tr>
      <w:tr>
        <w:trPr>
          <w:cantSplit/>
        </w:trPr>
        <w:tc>
          <w:tcPr>
            <w:tcW w:type="dxa" w:w="4392"/>
            <w:vAlign w:val="top"/>
          </w:tcPr>
          <w:p>
            <w:pPr>
              <w:keepNext w:val="0"/>
              <w:spacing w:after="50" w:before="20" w:line="250" w:lineRule="auto"/>
            </w:pPr>
            <w:r>
              <w:rPr>
                <w:rFonts w:ascii="Arial" w:hAnsi="Arial"/>
                <w:b/>
                <w:sz w:val="18"/>
              </w:rPr>
              <w:t>F093  Membership lifecycle</w:t>
            </w:r>
            <w:r>
              <w:rPr>
                <w:rFonts w:ascii="Arial" w:hAnsi="Arial"/>
                <w:b w:val="0"/>
                <w:sz w:val="18"/>
              </w:rPr>
              <w:br/>
              <w:t>Support recurring billing, credits, failed-payment recovery, pause, proration and transparent cancellation.</w:t>
            </w:r>
          </w:p>
        </w:tc>
        <w:tc>
          <w:tcPr>
            <w:tcW w:type="dxa" w:w="3744"/>
            <w:vAlign w:val="top"/>
          </w:tcPr>
          <w:p>
            <w:pPr>
              <w:keepNext w:val="0"/>
              <w:spacing w:after="50" w:before="20" w:line="250" w:lineRule="auto"/>
            </w:pPr>
            <w:r>
              <w:rPr>
                <w:rFonts w:ascii="Arial" w:hAnsi="Arial"/>
                <w:sz w:val="18"/>
              </w:rPr>
              <w:t>Billing and entitlements. Changes preview future charges and earned versus unused benefits.</w:t>
            </w:r>
          </w:p>
        </w:tc>
        <w:tc>
          <w:tcPr>
            <w:tcW w:type="dxa" w:w="2088"/>
            <w:vAlign w:val="top"/>
          </w:tcPr>
          <w:p>
            <w:pPr>
              <w:keepNext w:val="0"/>
              <w:spacing w:after="50" w:before="20" w:line="250" w:lineRule="auto"/>
            </w:pPr>
            <w:r>
              <w:rPr>
                <w:rFonts w:ascii="Arial" w:hAnsi="Arial"/>
                <w:sz w:val="18"/>
              </w:rPr>
              <w:t>Growth (G)</w:t>
              <w:br/>
              <w:t>People: PAY FIN LEG</w:t>
              <w:br/>
              <w:t>Basis: B; WB F40</w:t>
            </w:r>
          </w:p>
        </w:tc>
      </w:tr>
      <w:tr>
        <w:trPr>
          <w:cantSplit/>
        </w:trPr>
        <w:tc>
          <w:tcPr>
            <w:tcW w:type="dxa" w:w="4392"/>
            <w:vAlign w:val="top"/>
            <w:shd w:fill="F3F6F7"/>
          </w:tcPr>
          <w:p>
            <w:pPr>
              <w:keepNext w:val="0"/>
              <w:spacing w:after="50" w:before="20" w:line="250" w:lineRule="auto"/>
            </w:pPr>
            <w:r>
              <w:rPr>
                <w:rFonts w:ascii="Arial" w:hAnsi="Arial"/>
                <w:b/>
                <w:sz w:val="18"/>
              </w:rPr>
              <w:t>F094  Tipping across checkout types</w:t>
            </w:r>
            <w:r>
              <w:rPr>
                <w:rFonts w:ascii="Arial" w:hAnsi="Arial"/>
                <w:b w:val="0"/>
                <w:sz w:val="18"/>
              </w:rPr>
              <w:br/>
              <w:t>Allow optional tips on paid visits and zero-balance redemptions; allocate transparently across providers.</w:t>
            </w:r>
          </w:p>
        </w:tc>
        <w:tc>
          <w:tcPr>
            <w:tcW w:type="dxa" w:w="3744"/>
            <w:vAlign w:val="top"/>
            <w:shd w:fill="F3F6F7"/>
          </w:tcPr>
          <w:p>
            <w:pPr>
              <w:keepNext w:val="0"/>
              <w:spacing w:after="50" w:before="20" w:line="250" w:lineRule="auto"/>
            </w:pPr>
            <w:r>
              <w:rPr>
                <w:rFonts w:ascii="Arial" w:hAnsi="Arial"/>
                <w:sz w:val="18"/>
              </w:rPr>
              <w:t>Checkout and allocation ledger. Refunding services and tips follows distinct approved choices.</w:t>
            </w:r>
          </w:p>
        </w:tc>
        <w:tc>
          <w:tcPr>
            <w:tcW w:type="dxa" w:w="2088"/>
            <w:vAlign w:val="top"/>
            <w:shd w:fill="F3F6F7"/>
          </w:tcPr>
          <w:p>
            <w:pPr>
              <w:keepNext w:val="0"/>
              <w:spacing w:after="50" w:before="20" w:line="250" w:lineRule="auto"/>
            </w:pPr>
            <w:r>
              <w:rPr>
                <w:rFonts w:ascii="Arial" w:hAnsi="Arial"/>
                <w:sz w:val="18"/>
              </w:rPr>
              <w:t>Launch candidate (L)</w:t>
              <w:br/>
              <w:t>People: PAY FIN</w:t>
              <w:br/>
              <w:t>Basis: I; WB F35 U21</w:t>
            </w:r>
          </w:p>
        </w:tc>
      </w:tr>
      <w:tr>
        <w:trPr>
          <w:cantSplit/>
        </w:trPr>
        <w:tc>
          <w:tcPr>
            <w:tcW w:type="dxa" w:w="4392"/>
            <w:vAlign w:val="top"/>
          </w:tcPr>
          <w:p>
            <w:pPr>
              <w:keepNext w:val="0"/>
              <w:spacing w:after="50" w:before="20" w:line="250" w:lineRule="auto"/>
            </w:pPr>
            <w:r>
              <w:rPr>
                <w:rFonts w:ascii="Arial" w:hAnsi="Arial"/>
                <w:b/>
                <w:sz w:val="18"/>
              </w:rPr>
              <w:t>F095  Loyalty balance ledger</w:t>
            </w:r>
            <w:r>
              <w:rPr>
                <w:rFonts w:ascii="Arial" w:hAnsi="Arial"/>
                <w:b w:val="0"/>
                <w:sz w:val="18"/>
              </w:rPr>
              <w:br/>
              <w:t>Accrue and redeem rewards with versioned rules, exclusions and clear reversals after returns.</w:t>
            </w:r>
          </w:p>
        </w:tc>
        <w:tc>
          <w:tcPr>
            <w:tcW w:type="dxa" w:w="3744"/>
            <w:vAlign w:val="top"/>
          </w:tcPr>
          <w:p>
            <w:pPr>
              <w:keepNext w:val="0"/>
              <w:spacing w:after="50" w:before="20" w:line="250" w:lineRule="auto"/>
            </w:pPr>
            <w:r>
              <w:rPr>
                <w:rFonts w:ascii="Arial" w:hAnsi="Arial"/>
                <w:sz w:val="18"/>
              </w:rPr>
              <w:t>Identity and financial rules. Retroactive rule edits cannot silently erase previously earned value.</w:t>
            </w:r>
          </w:p>
        </w:tc>
        <w:tc>
          <w:tcPr>
            <w:tcW w:type="dxa" w:w="2088"/>
            <w:vAlign w:val="top"/>
          </w:tcPr>
          <w:p>
            <w:pPr>
              <w:keepNext w:val="0"/>
              <w:spacing w:after="50" w:before="20" w:line="250" w:lineRule="auto"/>
            </w:pPr>
            <w:r>
              <w:rPr>
                <w:rFonts w:ascii="Arial" w:hAnsi="Arial"/>
                <w:sz w:val="18"/>
              </w:rPr>
              <w:t>Growth (G)</w:t>
              <w:br/>
              <w:t>People: FIN LEG</w:t>
              <w:br/>
              <w:t>Basis: B; WB F46</w:t>
            </w:r>
          </w:p>
        </w:tc>
      </w:tr>
      <w:tr>
        <w:trPr>
          <w:cantSplit/>
        </w:trPr>
        <w:tc>
          <w:tcPr>
            <w:tcW w:type="dxa" w:w="4392"/>
            <w:vAlign w:val="top"/>
            <w:shd w:fill="F3F6F7"/>
          </w:tcPr>
          <w:p>
            <w:pPr>
              <w:keepNext w:val="0"/>
              <w:spacing w:after="50" w:before="20" w:line="250" w:lineRule="auto"/>
            </w:pPr>
            <w:r>
              <w:rPr>
                <w:rFonts w:ascii="Arial" w:hAnsi="Arial"/>
                <w:b/>
                <w:sz w:val="18"/>
              </w:rPr>
              <w:t>F096  Online retail storefront</w:t>
            </w:r>
            <w:r>
              <w:rPr>
                <w:rFonts w:ascii="Arial" w:hAnsi="Arial"/>
                <w:b w:val="0"/>
                <w:sz w:val="18"/>
              </w:rPr>
              <w:br/>
              <w:t>Sell retail with inventory reservation, shipping or pickup, tax calculation, refunds and order status.</w:t>
            </w:r>
          </w:p>
        </w:tc>
        <w:tc>
          <w:tcPr>
            <w:tcW w:type="dxa" w:w="3744"/>
            <w:vAlign w:val="top"/>
            <w:shd w:fill="F3F6F7"/>
          </w:tcPr>
          <w:p>
            <w:pPr>
              <w:keepNext w:val="0"/>
              <w:spacing w:after="50" w:before="20" w:line="250" w:lineRule="auto"/>
            </w:pPr>
            <w:r>
              <w:rPr>
                <w:rFonts w:ascii="Arial" w:hAnsi="Arial"/>
                <w:sz w:val="18"/>
              </w:rPr>
              <w:t>Commerce partners and checkout. Online and in-person sales draw from one stock ledger.</w:t>
            </w:r>
          </w:p>
        </w:tc>
        <w:tc>
          <w:tcPr>
            <w:tcW w:type="dxa" w:w="2088"/>
            <w:vAlign w:val="top"/>
            <w:shd w:fill="F3F6F7"/>
          </w:tcPr>
          <w:p>
            <w:pPr>
              <w:keepNext w:val="0"/>
              <w:spacing w:after="50" w:before="20" w:line="250" w:lineRule="auto"/>
            </w:pPr>
            <w:r>
              <w:rPr>
                <w:rFonts w:ascii="Arial" w:hAnsi="Arial"/>
                <w:sz w:val="18"/>
              </w:rPr>
              <w:t>Growth (G)</w:t>
              <w:br/>
              <w:t>People: PART FIN</w:t>
              <w:br/>
              <w:t>Basis: B; WB F52</w:t>
            </w:r>
          </w:p>
        </w:tc>
      </w:tr>
      <w:tr>
        <w:trPr>
          <w:cantSplit/>
        </w:trPr>
        <w:tc>
          <w:tcPr>
            <w:tcW w:type="dxa" w:w="4392"/>
            <w:vAlign w:val="top"/>
          </w:tcPr>
          <w:p>
            <w:pPr>
              <w:keepNext w:val="0"/>
              <w:spacing w:after="50" w:before="20" w:line="250" w:lineRule="auto"/>
            </w:pPr>
            <w:r>
              <w:rPr>
                <w:rFonts w:ascii="Arial" w:hAnsi="Arial"/>
                <w:b/>
                <w:sz w:val="18"/>
              </w:rPr>
              <w:t>F097  Commission calculation</w:t>
            </w:r>
            <w:r>
              <w:rPr>
                <w:rFonts w:ascii="Arial" w:hAnsi="Arial"/>
                <w:b w:val="0"/>
                <w:sz w:val="18"/>
              </w:rPr>
              <w:br/>
              <w:t>Support service, retail, tiered and team commissions with effective dates, adjustments and staff-visible statements.</w:t>
            </w:r>
          </w:p>
        </w:tc>
        <w:tc>
          <w:tcPr>
            <w:tcW w:type="dxa" w:w="3744"/>
            <w:vAlign w:val="top"/>
          </w:tcPr>
          <w:p>
            <w:pPr>
              <w:keepNext w:val="0"/>
              <w:spacing w:after="50" w:before="20" w:line="250" w:lineRule="auto"/>
            </w:pPr>
            <w:r>
              <w:rPr>
                <w:rFonts w:ascii="Arial" w:hAnsi="Arial"/>
                <w:sz w:val="18"/>
              </w:rPr>
              <w:t>Reconciled sales and time. Retroactive corrections produce adjustments instead of rewriting approved payroll.</w:t>
            </w:r>
          </w:p>
        </w:tc>
        <w:tc>
          <w:tcPr>
            <w:tcW w:type="dxa" w:w="2088"/>
            <w:vAlign w:val="top"/>
          </w:tcPr>
          <w:p>
            <w:pPr>
              <w:keepNext w:val="0"/>
              <w:spacing w:after="50" w:before="20" w:line="250" w:lineRule="auto"/>
            </w:pPr>
            <w:r>
              <w:rPr>
                <w:rFonts w:ascii="Arial" w:hAnsi="Arial"/>
                <w:sz w:val="18"/>
              </w:rPr>
              <w:t>Growth (G)</w:t>
              <w:br/>
              <w:t>People: FIN LEG</w:t>
              <w:br/>
              <w:t>Basis: B; WB F53</w:t>
            </w:r>
          </w:p>
        </w:tc>
      </w:tr>
      <w:tr>
        <w:trPr>
          <w:cantSplit/>
        </w:trPr>
        <w:tc>
          <w:tcPr>
            <w:tcW w:type="dxa" w:w="4392"/>
            <w:vAlign w:val="top"/>
            <w:shd w:fill="F3F6F7"/>
          </w:tcPr>
          <w:p>
            <w:pPr>
              <w:keepNext w:val="0"/>
              <w:spacing w:after="50" w:before="20" w:line="250" w:lineRule="auto"/>
            </w:pPr>
            <w:r>
              <w:rPr>
                <w:rFonts w:ascii="Arial" w:hAnsi="Arial"/>
                <w:b/>
                <w:sz w:val="18"/>
              </w:rPr>
              <w:t>F098  Time off and coverage planning</w:t>
            </w:r>
            <w:r>
              <w:rPr>
                <w:rFonts w:ascii="Arial" w:hAnsi="Arial"/>
                <w:b w:val="0"/>
                <w:sz w:val="18"/>
              </w:rPr>
              <w:br/>
              <w:t>Approve absence requests and preview affected bookings, coverage and payroll implications.</w:t>
            </w:r>
          </w:p>
        </w:tc>
        <w:tc>
          <w:tcPr>
            <w:tcW w:type="dxa" w:w="3744"/>
            <w:vAlign w:val="top"/>
            <w:shd w:fill="F3F6F7"/>
          </w:tcPr>
          <w:p>
            <w:pPr>
              <w:keepNext w:val="0"/>
              <w:spacing w:after="50" w:before="20" w:line="250" w:lineRule="auto"/>
            </w:pPr>
            <w:r>
              <w:rPr>
                <w:rFonts w:ascii="Arial" w:hAnsi="Arial"/>
                <w:sz w:val="18"/>
              </w:rPr>
              <w:t>Staff calendar and eligibility. Owner approval is required before moving client commitments.</w:t>
            </w:r>
          </w:p>
        </w:tc>
        <w:tc>
          <w:tcPr>
            <w:tcW w:type="dxa" w:w="2088"/>
            <w:vAlign w:val="top"/>
            <w:shd w:fill="F3F6F7"/>
          </w:tcPr>
          <w:p>
            <w:pPr>
              <w:keepNext w:val="0"/>
              <w:spacing w:after="50" w:before="20" w:line="250" w:lineRule="auto"/>
            </w:pPr>
            <w:r>
              <w:rPr>
                <w:rFonts w:ascii="Arial" w:hAnsi="Arial"/>
                <w:sz w:val="18"/>
              </w:rPr>
              <w:t>Growth (G)</w:t>
              <w:br/>
              <w:t>People: CORE</w:t>
              <w:br/>
              <w:t>Basis: I; team scheduling</w:t>
            </w:r>
          </w:p>
        </w:tc>
      </w:tr>
      <w:tr>
        <w:trPr>
          <w:cantSplit/>
        </w:trPr>
        <w:tc>
          <w:tcPr>
            <w:tcW w:type="dxa" w:w="4392"/>
            <w:vAlign w:val="top"/>
          </w:tcPr>
          <w:p>
            <w:pPr>
              <w:keepNext w:val="0"/>
              <w:spacing w:after="50" w:before="20" w:line="250" w:lineRule="auto"/>
            </w:pPr>
            <w:r>
              <w:rPr>
                <w:rFonts w:ascii="Arial" w:hAnsi="Arial"/>
                <w:b/>
                <w:sz w:val="18"/>
              </w:rPr>
              <w:t>F099  Accounting integration</w:t>
            </w:r>
            <w:r>
              <w:rPr>
                <w:rFonts w:ascii="Arial" w:hAnsi="Arial"/>
                <w:b w:val="0"/>
                <w:sz w:val="18"/>
              </w:rPr>
              <w:br/>
              <w:t>Map sales, liabilities, taxes, tips, fees and payouts to approved accounts in QuickBooks or Xero.</w:t>
            </w:r>
          </w:p>
        </w:tc>
        <w:tc>
          <w:tcPr>
            <w:tcW w:type="dxa" w:w="3744"/>
            <w:vAlign w:val="top"/>
          </w:tcPr>
          <w:p>
            <w:pPr>
              <w:keepNext w:val="0"/>
              <w:spacing w:after="50" w:before="20" w:line="250" w:lineRule="auto"/>
            </w:pPr>
            <w:r>
              <w:rPr>
                <w:rFonts w:ascii="Arial" w:hAnsi="Arial"/>
                <w:sz w:val="18"/>
              </w:rPr>
              <w:t>Accounting partner and reconciled ledger. Sync retries never create duplicate entries.</w:t>
            </w:r>
          </w:p>
        </w:tc>
        <w:tc>
          <w:tcPr>
            <w:tcW w:type="dxa" w:w="2088"/>
            <w:vAlign w:val="top"/>
          </w:tcPr>
          <w:p>
            <w:pPr>
              <w:keepNext w:val="0"/>
              <w:spacing w:after="50" w:before="20" w:line="250" w:lineRule="auto"/>
            </w:pPr>
            <w:r>
              <w:rPr>
                <w:rFonts w:ascii="Arial" w:hAnsi="Arial"/>
                <w:sz w:val="18"/>
              </w:rPr>
              <w:t>Growth (G)</w:t>
              <w:br/>
              <w:t>People: FIN PART</w:t>
              <w:br/>
              <w:t>Basis: B; WB F68</w:t>
            </w:r>
          </w:p>
        </w:tc>
      </w:tr>
      <w:tr>
        <w:trPr>
          <w:cantSplit/>
        </w:trPr>
        <w:tc>
          <w:tcPr>
            <w:tcW w:type="dxa" w:w="4392"/>
            <w:vAlign w:val="top"/>
            <w:shd w:fill="F3F6F7"/>
          </w:tcPr>
          <w:p>
            <w:pPr>
              <w:keepNext w:val="0"/>
              <w:spacing w:after="50" w:before="20" w:line="250" w:lineRule="auto"/>
            </w:pPr>
            <w:r>
              <w:rPr>
                <w:rFonts w:ascii="Arial" w:hAnsi="Arial"/>
                <w:b/>
                <w:sz w:val="18"/>
              </w:rPr>
              <w:t>F100  Versioned electronic signatures</w:t>
            </w:r>
            <w:r>
              <w:rPr>
                <w:rFonts w:ascii="Arial" w:hAnsi="Arial"/>
                <w:b w:val="0"/>
                <w:sz w:val="18"/>
              </w:rPr>
              <w:br/>
              <w:t>Collect signatures and acknowledgments against an exact document with signer identity and an evidence record.</w:t>
            </w:r>
          </w:p>
        </w:tc>
        <w:tc>
          <w:tcPr>
            <w:tcW w:type="dxa" w:w="3744"/>
            <w:vAlign w:val="top"/>
            <w:shd w:fill="F3F6F7"/>
          </w:tcPr>
          <w:p>
            <w:pPr>
              <w:keepNext w:val="0"/>
              <w:spacing w:after="50" w:before="20" w:line="250" w:lineRule="auto"/>
            </w:pPr>
            <w:r>
              <w:rPr>
                <w:rFonts w:ascii="Arial" w:hAnsi="Arial"/>
                <w:sz w:val="18"/>
              </w:rPr>
              <w:t>E-sign partner or reviewed implementation. An amended document requires a new acceptance where appropriate.</w:t>
            </w:r>
          </w:p>
        </w:tc>
        <w:tc>
          <w:tcPr>
            <w:tcW w:type="dxa" w:w="2088"/>
            <w:vAlign w:val="top"/>
            <w:shd w:fill="F3F6F7"/>
          </w:tcPr>
          <w:p>
            <w:pPr>
              <w:keepNext w:val="0"/>
              <w:spacing w:after="50" w:before="20" w:line="250" w:lineRule="auto"/>
            </w:pPr>
            <w:r>
              <w:rPr>
                <w:rFonts w:ascii="Arial" w:hAnsi="Arial"/>
                <w:sz w:val="18"/>
              </w:rPr>
              <w:t>Launch candidate (L)</w:t>
              <w:br/>
              <w:t>People: LEG SEC</w:t>
              <w:br/>
              <w:t>Basis: B; WB F22</w:t>
            </w:r>
          </w:p>
        </w:tc>
      </w:tr>
      <w:tr>
        <w:trPr>
          <w:cantSplit/>
        </w:trPr>
        <w:tc>
          <w:tcPr>
            <w:tcW w:type="dxa" w:w="4392"/>
            <w:vAlign w:val="top"/>
          </w:tcPr>
          <w:p>
            <w:pPr>
              <w:keepNext w:val="0"/>
              <w:spacing w:after="50" w:before="20" w:line="250" w:lineRule="auto"/>
            </w:pPr>
            <w:r>
              <w:rPr>
                <w:rFonts w:ascii="Arial" w:hAnsi="Arial"/>
                <w:b/>
                <w:sz w:val="18"/>
              </w:rPr>
              <w:t>F101  Private records and chart amendments</w:t>
            </w:r>
            <w:r>
              <w:rPr>
                <w:rFonts w:ascii="Arial" w:hAnsi="Arial"/>
                <w:b w:val="0"/>
                <w:sz w:val="18"/>
              </w:rPr>
              <w:br/>
              <w:t>Separate draft and signed notes, corrections, access grants, retention and client record requests.</w:t>
            </w:r>
          </w:p>
        </w:tc>
        <w:tc>
          <w:tcPr>
            <w:tcW w:type="dxa" w:w="3744"/>
            <w:vAlign w:val="top"/>
          </w:tcPr>
          <w:p>
            <w:pPr>
              <w:keepNext w:val="0"/>
              <w:spacing w:after="50" w:before="20" w:line="250" w:lineRule="auto"/>
            </w:pPr>
            <w:r>
              <w:rPr>
                <w:rFonts w:ascii="Arial" w:hAnsi="Arial"/>
                <w:sz w:val="18"/>
              </w:rPr>
              <w:t>Secure storage and audit. A correction preserves the original entry and identifies its author.</w:t>
            </w:r>
          </w:p>
        </w:tc>
        <w:tc>
          <w:tcPr>
            <w:tcW w:type="dxa" w:w="2088"/>
            <w:vAlign w:val="top"/>
          </w:tcPr>
          <w:p>
            <w:pPr>
              <w:keepNext w:val="0"/>
              <w:spacing w:after="50" w:before="20" w:line="250" w:lineRule="auto"/>
            </w:pPr>
            <w:r>
              <w:rPr>
                <w:rFonts w:ascii="Arial" w:hAnsi="Arial"/>
                <w:sz w:val="18"/>
              </w:rPr>
              <w:t>Launch candidate (L)</w:t>
              <w:br/>
              <w:t>People: SEC CLIN LEG</w:t>
              <w:br/>
              <w:t>Basis: B; WB F23 F27</w:t>
            </w:r>
          </w:p>
        </w:tc>
      </w:tr>
      <w:tr>
        <w:trPr>
          <w:cantSplit/>
        </w:trPr>
        <w:tc>
          <w:tcPr>
            <w:tcW w:type="dxa" w:w="4392"/>
            <w:vAlign w:val="top"/>
            <w:shd w:fill="F3F6F7"/>
          </w:tcPr>
          <w:p>
            <w:pPr>
              <w:keepNext w:val="0"/>
              <w:spacing w:after="50" w:before="20" w:line="250" w:lineRule="auto"/>
            </w:pPr>
            <w:r>
              <w:rPr>
                <w:rFonts w:ascii="Arial" w:hAnsi="Arial"/>
                <w:b/>
                <w:sz w:val="18"/>
              </w:rPr>
              <w:t>F102  Standardized before and after photos</w:t>
            </w:r>
            <w:r>
              <w:rPr>
                <w:rFonts w:ascii="Arial" w:hAnsi="Arial"/>
                <w:b w:val="0"/>
                <w:sz w:val="18"/>
              </w:rPr>
              <w:br/>
              <w:t>Guide angle, lighting and distance, retain originals and compare dated images without cosmetic modification.</w:t>
            </w:r>
          </w:p>
        </w:tc>
        <w:tc>
          <w:tcPr>
            <w:tcW w:type="dxa" w:w="3744"/>
            <w:vAlign w:val="top"/>
            <w:shd w:fill="F3F6F7"/>
          </w:tcPr>
          <w:p>
            <w:pPr>
              <w:keepNext w:val="0"/>
              <w:spacing w:after="50" w:before="20" w:line="250" w:lineRule="auto"/>
            </w:pPr>
            <w:r>
              <w:rPr>
                <w:rFonts w:ascii="Arial" w:hAnsi="Arial"/>
                <w:sz w:val="18"/>
              </w:rPr>
              <w:t>Media security and explicit permissions. Progress views disclose differing capture conditions.</w:t>
            </w:r>
          </w:p>
        </w:tc>
        <w:tc>
          <w:tcPr>
            <w:tcW w:type="dxa" w:w="2088"/>
            <w:vAlign w:val="top"/>
            <w:shd w:fill="F3F6F7"/>
          </w:tcPr>
          <w:p>
            <w:pPr>
              <w:keepNext w:val="0"/>
              <w:spacing w:after="50" w:before="20" w:line="250" w:lineRule="auto"/>
            </w:pPr>
            <w:r>
              <w:rPr>
                <w:rFonts w:ascii="Arial" w:hAnsi="Arial"/>
                <w:sz w:val="18"/>
              </w:rPr>
              <w:t>Growth (G)</w:t>
              <w:br/>
              <w:t>People: CLIN UX</w:t>
              <w:br/>
              <w:t>Basis: B; WB F24 U17</w:t>
            </w:r>
          </w:p>
        </w:tc>
      </w:tr>
      <w:tr>
        <w:trPr>
          <w:cantSplit/>
        </w:trPr>
        <w:tc>
          <w:tcPr>
            <w:tcW w:type="dxa" w:w="4392"/>
            <w:vAlign w:val="top"/>
          </w:tcPr>
          <w:p>
            <w:pPr>
              <w:keepNext w:val="0"/>
              <w:spacing w:after="50" w:before="20" w:line="250" w:lineRule="auto"/>
            </w:pPr>
            <w:r>
              <w:rPr>
                <w:rFonts w:ascii="Arial" w:hAnsi="Arial"/>
                <w:b/>
                <w:sz w:val="18"/>
              </w:rPr>
              <w:t>F103  Client deduplication and merge</w:t>
            </w:r>
            <w:r>
              <w:rPr>
                <w:rFonts w:ascii="Arial" w:hAnsi="Arial"/>
                <w:b w:val="0"/>
                <w:sz w:val="18"/>
              </w:rPr>
              <w:br/>
              <w:t>Propose probable duplicate records, show conflicting data and require review before combining histories.</w:t>
            </w:r>
          </w:p>
        </w:tc>
        <w:tc>
          <w:tcPr>
            <w:tcW w:type="dxa" w:w="3744"/>
            <w:vAlign w:val="top"/>
          </w:tcPr>
          <w:p>
            <w:pPr>
              <w:keepNext w:val="0"/>
              <w:spacing w:after="50" w:before="20" w:line="250" w:lineRule="auto"/>
            </w:pPr>
            <w:r>
              <w:rPr>
                <w:rFonts w:ascii="Arial" w:hAnsi="Arial"/>
                <w:sz w:val="18"/>
              </w:rPr>
              <w:t>Stable identities and reversible merge log. Unrelated clients never merge solely because they share a phone.</w:t>
            </w:r>
          </w:p>
        </w:tc>
        <w:tc>
          <w:tcPr>
            <w:tcW w:type="dxa" w:w="2088"/>
            <w:vAlign w:val="top"/>
          </w:tcPr>
          <w:p>
            <w:pPr>
              <w:keepNext w:val="0"/>
              <w:spacing w:after="50" w:before="20" w:line="250" w:lineRule="auto"/>
            </w:pPr>
            <w:r>
              <w:rPr>
                <w:rFonts w:ascii="Arial" w:hAnsi="Arial"/>
                <w:sz w:val="18"/>
              </w:rPr>
              <w:t>Launch candidate (L)</w:t>
              <w:br/>
              <w:t>People: SEC</w:t>
              <w:br/>
              <w:t>Basis: I; migration quality</w:t>
            </w:r>
          </w:p>
        </w:tc>
      </w:tr>
      <w:tr>
        <w:trPr>
          <w:cantSplit/>
        </w:trPr>
        <w:tc>
          <w:tcPr>
            <w:tcW w:type="dxa" w:w="4392"/>
            <w:vAlign w:val="top"/>
            <w:shd w:fill="F3F6F7"/>
          </w:tcPr>
          <w:p>
            <w:pPr>
              <w:keepNext w:val="0"/>
              <w:spacing w:after="50" w:before="20" w:line="250" w:lineRule="auto"/>
            </w:pPr>
            <w:r>
              <w:rPr>
                <w:rFonts w:ascii="Arial" w:hAnsi="Arial"/>
                <w:b/>
                <w:sz w:val="18"/>
              </w:rPr>
              <w:t>F104  Historical migration mapping</w:t>
            </w:r>
            <w:r>
              <w:rPr>
                <w:rFonts w:ascii="Arial" w:hAnsi="Arial"/>
                <w:b w:val="0"/>
                <w:sz w:val="18"/>
              </w:rPr>
              <w:br/>
              <w:t>Import clients, future visits, forms, notes, images, gift liabilities and packages using explicit field mappings.</w:t>
            </w:r>
          </w:p>
        </w:tc>
        <w:tc>
          <w:tcPr>
            <w:tcW w:type="dxa" w:w="3744"/>
            <w:vAlign w:val="top"/>
            <w:shd w:fill="F3F6F7"/>
          </w:tcPr>
          <w:p>
            <w:pPr>
              <w:keepNext w:val="0"/>
              <w:spacing w:after="50" w:before="20" w:line="250" w:lineRule="auto"/>
            </w:pPr>
            <w:r>
              <w:rPr>
                <w:rFonts w:ascii="Arial" w:hAnsi="Arial"/>
                <w:sz w:val="18"/>
              </w:rPr>
              <w:t>Import staging and provider exports. Unsupported fields remain in an accessible archive with provenance.</w:t>
            </w:r>
          </w:p>
        </w:tc>
        <w:tc>
          <w:tcPr>
            <w:tcW w:type="dxa" w:w="2088"/>
            <w:vAlign w:val="top"/>
            <w:shd w:fill="F3F6F7"/>
          </w:tcPr>
          <w:p>
            <w:pPr>
              <w:keepNext w:val="0"/>
              <w:spacing w:after="50" w:before="20" w:line="250" w:lineRule="auto"/>
            </w:pPr>
            <w:r>
              <w:rPr>
                <w:rFonts w:ascii="Arial" w:hAnsi="Arial"/>
                <w:sz w:val="18"/>
              </w:rPr>
              <w:t>Launch candidate (L)</w:t>
              <w:br/>
              <w:t>People: MIG FIN</w:t>
              <w:br/>
              <w:t>Basis: I; WB F69 C10</w:t>
            </w:r>
          </w:p>
        </w:tc>
      </w:tr>
      <w:tr>
        <w:trPr>
          <w:cantSplit/>
        </w:trPr>
        <w:tc>
          <w:tcPr>
            <w:tcW w:type="dxa" w:w="4392"/>
            <w:vAlign w:val="top"/>
          </w:tcPr>
          <w:p>
            <w:pPr>
              <w:keepNext w:val="0"/>
              <w:spacing w:after="50" w:before="20" w:line="250" w:lineRule="auto"/>
            </w:pPr>
            <w:r>
              <w:rPr>
                <w:rFonts w:ascii="Arial" w:hAnsi="Arial"/>
                <w:b/>
                <w:sz w:val="18"/>
              </w:rPr>
              <w:t>F105  Migration rehearsal and cutover</w:t>
            </w:r>
            <w:r>
              <w:rPr>
                <w:rFonts w:ascii="Arial" w:hAnsi="Arial"/>
                <w:b w:val="0"/>
                <w:sz w:val="18"/>
              </w:rPr>
              <w:br/>
              <w:t>Run a private dry run, compare counts and balances, test sample records and schedule the cutover.</w:t>
            </w:r>
          </w:p>
        </w:tc>
        <w:tc>
          <w:tcPr>
            <w:tcW w:type="dxa" w:w="3744"/>
            <w:vAlign w:val="top"/>
          </w:tcPr>
          <w:p>
            <w:pPr>
              <w:keepNext w:val="0"/>
              <w:spacing w:after="50" w:before="20" w:line="250" w:lineRule="auto"/>
            </w:pPr>
            <w:r>
              <w:rPr>
                <w:rFonts w:ascii="Arial" w:hAnsi="Arial"/>
                <w:sz w:val="18"/>
              </w:rPr>
              <w:t>Opening counts and balances reconcile. Cutover requires no unsupported active obligations, or an approved interim redemption workflow; archiving a liability alone is insufficient.</w:t>
            </w:r>
          </w:p>
        </w:tc>
        <w:tc>
          <w:tcPr>
            <w:tcW w:type="dxa" w:w="2088"/>
            <w:vAlign w:val="top"/>
          </w:tcPr>
          <w:p>
            <w:pPr>
              <w:keepNext w:val="0"/>
              <w:spacing w:after="50" w:before="20" w:line="250" w:lineRule="auto"/>
            </w:pPr>
            <w:r>
              <w:rPr>
                <w:rFonts w:ascii="Arial" w:hAnsi="Arial"/>
                <w:sz w:val="18"/>
              </w:rPr>
              <w:t>Launch candidate (L)</w:t>
              <w:br/>
              <w:t>People: MIG OPS</w:t>
              <w:br/>
              <w:t>Basis: H; switching confidence</w:t>
            </w:r>
          </w:p>
        </w:tc>
      </w:tr>
      <w:tr>
        <w:trPr>
          <w:cantSplit/>
        </w:trPr>
        <w:tc>
          <w:tcPr>
            <w:tcW w:type="dxa" w:w="4392"/>
            <w:vAlign w:val="top"/>
            <w:shd w:fill="F3F6F7"/>
          </w:tcPr>
          <w:p>
            <w:pPr>
              <w:keepNext w:val="0"/>
              <w:spacing w:after="50" w:before="20" w:line="250" w:lineRule="auto"/>
            </w:pPr>
            <w:r>
              <w:rPr>
                <w:rFonts w:ascii="Arial" w:hAnsi="Arial"/>
                <w:b/>
                <w:sz w:val="18"/>
              </w:rPr>
              <w:t>F106  Brand changes across all surfaces</w:t>
            </w:r>
            <w:r>
              <w:rPr>
                <w:rFonts w:ascii="Arial" w:hAnsi="Arial"/>
                <w:b w:val="0"/>
                <w:sz w:val="18"/>
              </w:rPr>
              <w:br/>
              <w:t>Preview a brand revision across site, messages and new document drafts. Publish the approved version while preserving every previously issued or signed artifact.</w:t>
            </w:r>
          </w:p>
        </w:tc>
        <w:tc>
          <w:tcPr>
            <w:tcW w:type="dxa" w:w="3744"/>
            <w:vAlign w:val="top"/>
            <w:shd w:fill="F3F6F7"/>
          </w:tcPr>
          <w:p>
            <w:pPr>
              <w:keepNext w:val="0"/>
              <w:spacing w:after="50" w:before="20" w:line="250" w:lineRule="auto"/>
            </w:pPr>
            <w:r>
              <w:rPr>
                <w:rFonts w:ascii="Arial" w:hAnsi="Arial"/>
                <w:sz w:val="18"/>
              </w:rPr>
              <w:t>Shared design tokens and versioned templates. A changed logo never rewrites past invoices, published care summaries or signed records.</w:t>
            </w:r>
          </w:p>
        </w:tc>
        <w:tc>
          <w:tcPr>
            <w:tcW w:type="dxa" w:w="2088"/>
            <w:vAlign w:val="top"/>
            <w:shd w:fill="F3F6F7"/>
          </w:tcPr>
          <w:p>
            <w:pPr>
              <w:keepNext w:val="0"/>
              <w:spacing w:after="50" w:before="20" w:line="250" w:lineRule="auto"/>
            </w:pPr>
            <w:r>
              <w:rPr>
                <w:rFonts w:ascii="Arial" w:hAnsi="Arial"/>
                <w:sz w:val="18"/>
              </w:rPr>
              <w:t>Growth (G)</w:t>
              <w:br/>
              <w:t>People: DES</w:t>
              <w:br/>
              <w:t>Basis: T; comprehensive branding</w:t>
            </w:r>
          </w:p>
        </w:tc>
      </w:tr>
      <w:tr>
        <w:trPr>
          <w:cantSplit/>
        </w:trPr>
        <w:tc>
          <w:tcPr>
            <w:tcW w:type="dxa" w:w="4392"/>
            <w:vAlign w:val="top"/>
          </w:tcPr>
          <w:p>
            <w:pPr>
              <w:keepNext w:val="0"/>
              <w:spacing w:after="50" w:before="20" w:line="250" w:lineRule="auto"/>
            </w:pPr>
            <w:r>
              <w:rPr>
                <w:rFonts w:ascii="Arial" w:hAnsi="Arial"/>
                <w:b/>
                <w:sz w:val="18"/>
              </w:rPr>
              <w:t>F107  One link for a complete visit</w:t>
            </w:r>
            <w:r>
              <w:rPr>
                <w:rFonts w:ascii="Arial" w:hAnsi="Arial"/>
                <w:b w:val="0"/>
                <w:sz w:val="18"/>
              </w:rPr>
              <w:br/>
              <w:t>Combine choosing a plan, forms, signature, deposit, appointment and aftercare into a resumable branded journey.</w:t>
            </w:r>
          </w:p>
        </w:tc>
        <w:tc>
          <w:tcPr>
            <w:tcW w:type="dxa" w:w="3744"/>
            <w:vAlign w:val="top"/>
          </w:tcPr>
          <w:p>
            <w:pPr>
              <w:keepNext w:val="0"/>
              <w:spacing w:after="50" w:before="20" w:line="250" w:lineRule="auto"/>
            </w:pPr>
            <w:r>
              <w:rPr>
                <w:rFonts w:ascii="Arial" w:hAnsi="Arial"/>
                <w:sz w:val="18"/>
              </w:rPr>
              <w:t>Scheduler, documents and payments. Completed steps are not repeated and each failure has a clear next action.</w:t>
            </w:r>
          </w:p>
        </w:tc>
        <w:tc>
          <w:tcPr>
            <w:tcW w:type="dxa" w:w="2088"/>
            <w:vAlign w:val="top"/>
          </w:tcPr>
          <w:p>
            <w:pPr>
              <w:keepNext w:val="0"/>
              <w:spacing w:after="50" w:before="20" w:line="250" w:lineRule="auto"/>
            </w:pPr>
            <w:r>
              <w:rPr>
                <w:rFonts w:ascii="Arial" w:hAnsi="Arial"/>
                <w:sz w:val="18"/>
              </w:rPr>
              <w:t>Growth (G)</w:t>
              <w:br/>
              <w:t>People: UX LEG PAY</w:t>
              <w:br/>
              <w:t>Basis: T; HoneyBook pattern</w:t>
            </w:r>
          </w:p>
        </w:tc>
      </w:tr>
      <w:tr>
        <w:trPr>
          <w:cantSplit/>
        </w:trPr>
        <w:tc>
          <w:tcPr>
            <w:tcW w:type="dxa" w:w="4392"/>
            <w:vAlign w:val="top"/>
            <w:shd w:fill="F3F6F7"/>
          </w:tcPr>
          <w:p>
            <w:pPr>
              <w:keepNext w:val="0"/>
              <w:spacing w:after="50" w:before="20" w:line="250" w:lineRule="auto"/>
            </w:pPr>
            <w:r>
              <w:rPr>
                <w:rFonts w:ascii="Arial" w:hAnsi="Arial"/>
                <w:b/>
                <w:sz w:val="18"/>
              </w:rPr>
              <w:t>F108  Automation recipes with previews</w:t>
            </w:r>
            <w:r>
              <w:rPr>
                <w:rFonts w:ascii="Arial" w:hAnsi="Arial"/>
                <w:b w:val="0"/>
                <w:sz w:val="18"/>
              </w:rPr>
              <w:br/>
              <w:t>Create reminder, follow-up, review and task recipes. Rehearse against permitted historical events without live effects; preview recipients, exclusions, cost and actions before activation.</w:t>
            </w:r>
          </w:p>
        </w:tc>
        <w:tc>
          <w:tcPr>
            <w:tcW w:type="dxa" w:w="3744"/>
            <w:vAlign w:val="top"/>
            <w:shd w:fill="F3F6F7"/>
          </w:tcPr>
          <w:p>
            <w:pPr>
              <w:keepNext w:val="0"/>
              <w:spacing w:after="50" w:before="20" w:line="250" w:lineRule="auto"/>
            </w:pPr>
            <w:r>
              <w:rPr>
                <w:rFonts w:ascii="Arial" w:hAnsi="Arial"/>
                <w:sz w:val="18"/>
              </w:rPr>
              <w:t>Event system and consent. Before enabling, show who would receive what, when and at what estimated cost.</w:t>
            </w:r>
          </w:p>
        </w:tc>
        <w:tc>
          <w:tcPr>
            <w:tcW w:type="dxa" w:w="2088"/>
            <w:vAlign w:val="top"/>
            <w:shd w:fill="F3F6F7"/>
          </w:tcPr>
          <w:p>
            <w:pPr>
              <w:keepNext w:val="0"/>
              <w:spacing w:after="50" w:before="20" w:line="250" w:lineRule="auto"/>
            </w:pPr>
            <w:r>
              <w:rPr>
                <w:rFonts w:ascii="Arial" w:hAnsi="Arial"/>
                <w:sz w:val="18"/>
              </w:rPr>
              <w:t>Growth (G)</w:t>
              <w:br/>
              <w:t>People: MSG</w:t>
              <w:br/>
              <w:t>Basis: I; WB F43</w:t>
            </w:r>
          </w:p>
        </w:tc>
      </w:tr>
      <w:tr>
        <w:trPr>
          <w:cantSplit/>
        </w:trPr>
        <w:tc>
          <w:tcPr>
            <w:tcW w:type="dxa" w:w="4392"/>
            <w:vAlign w:val="top"/>
          </w:tcPr>
          <w:p>
            <w:pPr>
              <w:keepNext w:val="0"/>
              <w:spacing w:after="50" w:before="20" w:line="250" w:lineRule="auto"/>
            </w:pPr>
            <w:r>
              <w:rPr>
                <w:rFonts w:ascii="Arial" w:hAnsi="Arial"/>
                <w:b/>
                <w:sz w:val="18"/>
              </w:rPr>
              <w:t>F109  Unified client communication inbox</w:t>
            </w:r>
            <w:r>
              <w:rPr>
                <w:rFonts w:ascii="Arial" w:hAnsi="Arial"/>
                <w:b w:val="0"/>
                <w:sz w:val="18"/>
              </w:rPr>
              <w:br/>
              <w:t>Combine authorized email, SMS and web conversations with assignment, delivery status and client context.</w:t>
            </w:r>
          </w:p>
        </w:tc>
        <w:tc>
          <w:tcPr>
            <w:tcW w:type="dxa" w:w="3744"/>
            <w:vAlign w:val="top"/>
          </w:tcPr>
          <w:p>
            <w:pPr>
              <w:keepNext w:val="0"/>
              <w:spacing w:after="50" w:before="20" w:line="250" w:lineRule="auto"/>
            </w:pPr>
            <w:r>
              <w:rPr>
                <w:rFonts w:ascii="Arial" w:hAnsi="Arial"/>
                <w:sz w:val="18"/>
              </w:rPr>
              <w:t>Messaging partners and identity. A failed or private-channel reply is never reported as delivered.</w:t>
            </w:r>
          </w:p>
        </w:tc>
        <w:tc>
          <w:tcPr>
            <w:tcW w:type="dxa" w:w="2088"/>
            <w:vAlign w:val="top"/>
          </w:tcPr>
          <w:p>
            <w:pPr>
              <w:keepNext w:val="0"/>
              <w:spacing w:after="50" w:before="20" w:line="250" w:lineRule="auto"/>
            </w:pPr>
            <w:r>
              <w:rPr>
                <w:rFonts w:ascii="Arial" w:hAnsi="Arial"/>
                <w:sz w:val="18"/>
              </w:rPr>
              <w:t>Growth (G)</w:t>
              <w:br/>
              <w:t>People: MSG</w:t>
              <w:br/>
              <w:t>Basis: B; WB F20</w:t>
            </w:r>
          </w:p>
        </w:tc>
      </w:tr>
      <w:tr>
        <w:trPr>
          <w:cantSplit/>
        </w:trPr>
        <w:tc>
          <w:tcPr>
            <w:tcW w:type="dxa" w:w="4392"/>
            <w:vAlign w:val="top"/>
            <w:shd w:fill="F3F6F7"/>
          </w:tcPr>
          <w:p>
            <w:pPr>
              <w:keepNext w:val="0"/>
              <w:spacing w:after="50" w:before="20" w:line="250" w:lineRule="auto"/>
            </w:pPr>
            <w:r>
              <w:rPr>
                <w:rFonts w:ascii="Arial" w:hAnsi="Arial"/>
                <w:b/>
                <w:sz w:val="18"/>
              </w:rPr>
              <w:t>F110  Business calling and voicemail</w:t>
            </w:r>
            <w:r>
              <w:rPr>
                <w:rFonts w:ascii="Arial" w:hAnsi="Arial"/>
                <w:b w:val="0"/>
                <w:sz w:val="18"/>
              </w:rPr>
              <w:br/>
              <w:t>Provide business calls, missed-call tasks, voicemail and staff routing with approved recording controls.</w:t>
            </w:r>
          </w:p>
        </w:tc>
        <w:tc>
          <w:tcPr>
            <w:tcW w:type="dxa" w:w="3744"/>
            <w:vAlign w:val="top"/>
            <w:shd w:fill="F3F6F7"/>
          </w:tcPr>
          <w:p>
            <w:pPr>
              <w:keepNext w:val="0"/>
              <w:spacing w:after="50" w:before="20" w:line="250" w:lineRule="auto"/>
            </w:pPr>
            <w:r>
              <w:rPr>
                <w:rFonts w:ascii="Arial" w:hAnsi="Arial"/>
                <w:sz w:val="18"/>
              </w:rPr>
              <w:t>Telephony partner. Staff can distinguish recorded, transcribed and unrecorded calls.</w:t>
            </w:r>
          </w:p>
        </w:tc>
        <w:tc>
          <w:tcPr>
            <w:tcW w:type="dxa" w:w="2088"/>
            <w:vAlign w:val="top"/>
            <w:shd w:fill="F3F6F7"/>
          </w:tcPr>
          <w:p>
            <w:pPr>
              <w:keepNext w:val="0"/>
              <w:spacing w:after="50" w:before="20" w:line="250" w:lineRule="auto"/>
            </w:pPr>
            <w:r>
              <w:rPr>
                <w:rFonts w:ascii="Arial" w:hAnsi="Arial"/>
                <w:sz w:val="18"/>
              </w:rPr>
              <w:t>Growth (G)</w:t>
              <w:br/>
              <w:t>People: MSG LEG</w:t>
              <w:br/>
              <w:t>Basis: B; WB U19</w:t>
            </w:r>
          </w:p>
        </w:tc>
      </w:tr>
      <w:tr>
        <w:trPr>
          <w:cantSplit/>
        </w:trPr>
        <w:tc>
          <w:tcPr>
            <w:tcW w:type="dxa" w:w="4392"/>
            <w:vAlign w:val="top"/>
          </w:tcPr>
          <w:p>
            <w:pPr>
              <w:keepNext w:val="0"/>
              <w:spacing w:after="50" w:before="20" w:line="250" w:lineRule="auto"/>
            </w:pPr>
            <w:r>
              <w:rPr>
                <w:rFonts w:ascii="Arial" w:hAnsi="Arial"/>
                <w:b/>
                <w:sz w:val="18"/>
              </w:rPr>
              <w:t>F111  Message consent and delivery system</w:t>
            </w:r>
            <w:r>
              <w:rPr>
                <w:rFonts w:ascii="Arial" w:hAnsi="Arial"/>
                <w:b w:val="0"/>
                <w:sz w:val="18"/>
              </w:rPr>
              <w:br/>
              <w:t>Keep purpose-specific consent, sender registration, opt-outs, retries, delivery receipts and spending controls.</w:t>
            </w:r>
          </w:p>
        </w:tc>
        <w:tc>
          <w:tcPr>
            <w:tcW w:type="dxa" w:w="3744"/>
            <w:vAlign w:val="top"/>
          </w:tcPr>
          <w:p>
            <w:pPr>
              <w:keepNext w:val="0"/>
              <w:spacing w:after="50" w:before="20" w:line="250" w:lineRule="auto"/>
            </w:pPr>
            <w:r>
              <w:rPr>
                <w:rFonts w:ascii="Arial" w:hAnsi="Arial"/>
                <w:sz w:val="18"/>
              </w:rPr>
              <w:t>Carrier and email providers. Revoked consent suppresses future promotional sends across all automations.</w:t>
            </w:r>
          </w:p>
        </w:tc>
        <w:tc>
          <w:tcPr>
            <w:tcW w:type="dxa" w:w="2088"/>
            <w:vAlign w:val="top"/>
          </w:tcPr>
          <w:p>
            <w:pPr>
              <w:keepNext w:val="0"/>
              <w:spacing w:after="50" w:before="20" w:line="250" w:lineRule="auto"/>
            </w:pPr>
            <w:r>
              <w:rPr>
                <w:rFonts w:ascii="Arial" w:hAnsi="Arial"/>
                <w:sz w:val="18"/>
              </w:rPr>
              <w:t>Foundation (F)</w:t>
              <w:br/>
              <w:t>People: MSG LEG</w:t>
              <w:br/>
              <w:t>Basis: Foundation; R03</w:t>
            </w:r>
          </w:p>
        </w:tc>
      </w:tr>
      <w:tr>
        <w:trPr>
          <w:cantSplit/>
        </w:trPr>
        <w:tc>
          <w:tcPr>
            <w:tcW w:type="dxa" w:w="4392"/>
            <w:vAlign w:val="top"/>
            <w:shd w:fill="F3F6F7"/>
          </w:tcPr>
          <w:p>
            <w:pPr>
              <w:keepNext w:val="0"/>
              <w:spacing w:after="50" w:before="20" w:line="250" w:lineRule="auto"/>
            </w:pPr>
            <w:r>
              <w:rPr>
                <w:rFonts w:ascii="Arial" w:hAnsi="Arial"/>
                <w:b/>
                <w:sz w:val="18"/>
              </w:rPr>
              <w:t>F112  Metric dictionary and data model</w:t>
            </w:r>
            <w:r>
              <w:rPr>
                <w:rFonts w:ascii="Arial" w:hAnsi="Arial"/>
                <w:b w:val="0"/>
                <w:sz w:val="18"/>
              </w:rPr>
              <w:br/>
              <w:t>Define appointments, service lines, clients, money, time and cohorts once, with source lineage and freshness.</w:t>
            </w:r>
          </w:p>
        </w:tc>
        <w:tc>
          <w:tcPr>
            <w:tcW w:type="dxa" w:w="3744"/>
            <w:vAlign w:val="top"/>
            <w:shd w:fill="F3F6F7"/>
          </w:tcPr>
          <w:p>
            <w:pPr>
              <w:keepNext w:val="0"/>
              <w:spacing w:after="50" w:before="20" w:line="250" w:lineRule="auto"/>
            </w:pPr>
            <w:r>
              <w:rPr>
                <w:rFonts w:ascii="Arial" w:hAnsi="Arial"/>
                <w:sz w:val="18"/>
              </w:rPr>
              <w:t>Event and financial foundations. Different screens calculate the same metric from the same definition.</w:t>
            </w:r>
          </w:p>
        </w:tc>
        <w:tc>
          <w:tcPr>
            <w:tcW w:type="dxa" w:w="2088"/>
            <w:vAlign w:val="top"/>
            <w:shd w:fill="F3F6F7"/>
          </w:tcPr>
          <w:p>
            <w:pPr>
              <w:keepNext w:val="0"/>
              <w:spacing w:after="50" w:before="20" w:line="250" w:lineRule="auto"/>
            </w:pPr>
            <w:r>
              <w:rPr>
                <w:rFonts w:ascii="Arial" w:hAnsi="Arial"/>
                <w:sz w:val="18"/>
              </w:rPr>
              <w:t>Foundation (F)</w:t>
              <w:br/>
              <w:t>People: DATA FIN</w:t>
              <w:br/>
              <w:t>Basis: Foundation; analytics chapter</w:t>
            </w:r>
          </w:p>
        </w:tc>
      </w:tr>
      <w:tr>
        <w:trPr>
          <w:cantSplit/>
        </w:trPr>
        <w:tc>
          <w:tcPr>
            <w:tcW w:type="dxa" w:w="4392"/>
            <w:vAlign w:val="top"/>
          </w:tcPr>
          <w:p>
            <w:pPr>
              <w:keepNext w:val="0"/>
              <w:spacing w:after="50" w:before="20" w:line="250" w:lineRule="auto"/>
            </w:pPr>
            <w:r>
              <w:rPr>
                <w:rFonts w:ascii="Arial" w:hAnsi="Arial"/>
                <w:b/>
                <w:sz w:val="18"/>
              </w:rPr>
              <w:t>F113  Role based dashboards</w:t>
            </w:r>
            <w:r>
              <w:rPr>
                <w:rFonts w:ascii="Arial" w:hAnsi="Arial"/>
                <w:b w:val="0"/>
                <w:sz w:val="18"/>
              </w:rPr>
              <w:br/>
              <w:t>Show owners, managers and practitioners the measures appropriate to their responsibilities, with drilldowns.</w:t>
            </w:r>
          </w:p>
        </w:tc>
        <w:tc>
          <w:tcPr>
            <w:tcW w:type="dxa" w:w="3744"/>
            <w:vAlign w:val="top"/>
          </w:tcPr>
          <w:p>
            <w:pPr>
              <w:keepNext w:val="0"/>
              <w:spacing w:after="50" w:before="20" w:line="250" w:lineRule="auto"/>
            </w:pPr>
            <w:r>
              <w:rPr>
                <w:rFonts w:ascii="Arial" w:hAnsi="Arial"/>
                <w:sz w:val="18"/>
              </w:rPr>
              <w:t>Governed metrics and roles. Staff cannot infer another renter's financial or private client data.</w:t>
            </w:r>
          </w:p>
        </w:tc>
        <w:tc>
          <w:tcPr>
            <w:tcW w:type="dxa" w:w="2088"/>
            <w:vAlign w:val="top"/>
          </w:tcPr>
          <w:p>
            <w:pPr>
              <w:keepNext w:val="0"/>
              <w:spacing w:after="50" w:before="20" w:line="250" w:lineRule="auto"/>
            </w:pPr>
            <w:r>
              <w:rPr>
                <w:rFonts w:ascii="Arial" w:hAnsi="Arial"/>
                <w:sz w:val="18"/>
              </w:rPr>
              <w:t>Launch candidate (L)</w:t>
              <w:br/>
              <w:t>People: DATA SEC</w:t>
              <w:br/>
              <w:t>Basis: I; WB F57 F58</w:t>
            </w:r>
          </w:p>
        </w:tc>
      </w:tr>
      <w:tr>
        <w:trPr>
          <w:cantSplit/>
        </w:trPr>
        <w:tc>
          <w:tcPr>
            <w:tcW w:type="dxa" w:w="4392"/>
            <w:vAlign w:val="top"/>
            <w:shd w:fill="F3F6F7"/>
          </w:tcPr>
          <w:p>
            <w:pPr>
              <w:keepNext w:val="0"/>
              <w:spacing w:after="50" w:before="20" w:line="250" w:lineRule="auto"/>
            </w:pPr>
            <w:r>
              <w:rPr>
                <w:rFonts w:ascii="Arial" w:hAnsi="Arial"/>
                <w:b/>
                <w:sz w:val="18"/>
              </w:rPr>
              <w:t>F114  Retention and return cohorts</w:t>
            </w:r>
            <w:r>
              <w:rPr>
                <w:rFonts w:ascii="Arial" w:hAnsi="Arial"/>
                <w:b w:val="0"/>
                <w:sz w:val="18"/>
              </w:rPr>
              <w:br/>
              <w:t>Track first-to-second visits, cadence, lapsed clients and observed repeat contribution by acquisition cohort.</w:t>
            </w:r>
          </w:p>
        </w:tc>
        <w:tc>
          <w:tcPr>
            <w:tcW w:type="dxa" w:w="3744"/>
            <w:vAlign w:val="top"/>
            <w:shd w:fill="F3F6F7"/>
          </w:tcPr>
          <w:p>
            <w:pPr>
              <w:keepNext w:val="0"/>
              <w:spacing w:after="50" w:before="20" w:line="250" w:lineRule="auto"/>
            </w:pPr>
            <w:r>
              <w:rPr>
                <w:rFonts w:ascii="Arial" w:hAnsi="Arial"/>
                <w:sz w:val="18"/>
              </w:rPr>
              <w:t>Historical visits. Immature cohorts are labeled and same-day repeats do not masquerade as retention.</w:t>
            </w:r>
          </w:p>
        </w:tc>
        <w:tc>
          <w:tcPr>
            <w:tcW w:type="dxa" w:w="2088"/>
            <w:vAlign w:val="top"/>
            <w:shd w:fill="F3F6F7"/>
          </w:tcPr>
          <w:p>
            <w:pPr>
              <w:keepNext w:val="0"/>
              <w:spacing w:after="50" w:before="20" w:line="250" w:lineRule="auto"/>
            </w:pPr>
            <w:r>
              <w:rPr>
                <w:rFonts w:ascii="Arial" w:hAnsi="Arial"/>
                <w:sz w:val="18"/>
              </w:rPr>
              <w:t>Growth (G)</w:t>
              <w:br/>
              <w:t>People: DATA</w:t>
              <w:br/>
              <w:t>Basis: I; WB F58</w:t>
            </w:r>
          </w:p>
        </w:tc>
      </w:tr>
      <w:tr>
        <w:trPr>
          <w:cantSplit/>
        </w:trPr>
        <w:tc>
          <w:tcPr>
            <w:tcW w:type="dxa" w:w="4392"/>
            <w:vAlign w:val="top"/>
          </w:tcPr>
          <w:p>
            <w:pPr>
              <w:keepNext w:val="0"/>
              <w:spacing w:after="50" w:before="20" w:line="250" w:lineRule="auto"/>
            </w:pPr>
            <w:r>
              <w:rPr>
                <w:rFonts w:ascii="Arial" w:hAnsi="Arial"/>
                <w:b/>
                <w:sz w:val="18"/>
              </w:rPr>
              <w:t>F115  Service contribution analysis</w:t>
            </w:r>
            <w:r>
              <w:rPr>
                <w:rFonts w:ascii="Arial" w:hAnsi="Arial"/>
                <w:b w:val="0"/>
                <w:sz w:val="18"/>
              </w:rPr>
              <w:br/>
              <w:t>Calculate revenue less direct materials, compensation and allocated fees, with explicit missing cost coverage.</w:t>
            </w:r>
          </w:p>
        </w:tc>
        <w:tc>
          <w:tcPr>
            <w:tcW w:type="dxa" w:w="3744"/>
            <w:vAlign w:val="top"/>
          </w:tcPr>
          <w:p>
            <w:pPr>
              <w:keepNext w:val="0"/>
              <w:spacing w:after="50" w:before="20" w:line="250" w:lineRule="auto"/>
            </w:pPr>
            <w:r>
              <w:rPr>
                <w:rFonts w:ascii="Arial" w:hAnsi="Arial"/>
                <w:sz w:val="18"/>
              </w:rPr>
              <w:t>Ledger, stock and pay rules. Estimated contribution is never labeled audited profit.</w:t>
            </w:r>
          </w:p>
        </w:tc>
        <w:tc>
          <w:tcPr>
            <w:tcW w:type="dxa" w:w="2088"/>
            <w:vAlign w:val="top"/>
          </w:tcPr>
          <w:p>
            <w:pPr>
              <w:keepNext w:val="0"/>
              <w:spacing w:after="50" w:before="20" w:line="250" w:lineRule="auto"/>
            </w:pPr>
            <w:r>
              <w:rPr>
                <w:rFonts w:ascii="Arial" w:hAnsi="Arial"/>
                <w:sz w:val="18"/>
              </w:rPr>
              <w:t>Growth (G)</w:t>
              <w:br/>
              <w:t>People: DATA FIN</w:t>
              <w:br/>
              <w:t>Basis: I; R06 R07</w:t>
            </w:r>
          </w:p>
        </w:tc>
      </w:tr>
      <w:tr>
        <w:trPr>
          <w:cantSplit/>
        </w:trPr>
        <w:tc>
          <w:tcPr>
            <w:tcW w:type="dxa" w:w="4392"/>
            <w:vAlign w:val="top"/>
            <w:shd w:fill="F3F6F7"/>
          </w:tcPr>
          <w:p>
            <w:pPr>
              <w:keepNext w:val="0"/>
              <w:spacing w:after="50" w:before="20" w:line="250" w:lineRule="auto"/>
            </w:pPr>
            <w:r>
              <w:rPr>
                <w:rFonts w:ascii="Arial" w:hAnsi="Arial"/>
                <w:b/>
                <w:sz w:val="18"/>
              </w:rPr>
              <w:t>F116  Acquisition attribution records</w:t>
            </w:r>
            <w:r>
              <w:rPr>
                <w:rFonts w:ascii="Arial" w:hAnsi="Arial"/>
                <w:b w:val="0"/>
                <w:sz w:val="18"/>
              </w:rPr>
              <w:br/>
              <w:t>Track direct, referral, marketplace and campaign evidence, preserve overrides and show chargeable attribution rules.</w:t>
            </w:r>
          </w:p>
        </w:tc>
        <w:tc>
          <w:tcPr>
            <w:tcW w:type="dxa" w:w="3744"/>
            <w:vAlign w:val="top"/>
            <w:shd w:fill="F3F6F7"/>
          </w:tcPr>
          <w:p>
            <w:pPr>
              <w:keepNext w:val="0"/>
              <w:spacing w:after="50" w:before="20" w:line="250" w:lineRule="auto"/>
            </w:pPr>
            <w:r>
              <w:rPr>
                <w:rFonts w:ascii="Arial" w:hAnsi="Arial"/>
                <w:sz w:val="18"/>
              </w:rPr>
              <w:t>Identity and consent-aware tracking. Imported existing clients are excluded from new-client fees by policy.</w:t>
            </w:r>
          </w:p>
        </w:tc>
        <w:tc>
          <w:tcPr>
            <w:tcW w:type="dxa" w:w="2088"/>
            <w:vAlign w:val="top"/>
            <w:shd w:fill="F3F6F7"/>
          </w:tcPr>
          <w:p>
            <w:pPr>
              <w:keepNext w:val="0"/>
              <w:spacing w:after="50" w:before="20" w:line="250" w:lineRule="auto"/>
            </w:pPr>
            <w:r>
              <w:rPr>
                <w:rFonts w:ascii="Arial" w:hAnsi="Arial"/>
                <w:sz w:val="18"/>
              </w:rPr>
              <w:t>Growth (G)</w:t>
              <w:br/>
              <w:t>People: DATA FIN</w:t>
              <w:br/>
              <w:t>Basis: I; WB C9</w:t>
            </w:r>
          </w:p>
        </w:tc>
      </w:tr>
      <w:tr>
        <w:trPr>
          <w:cantSplit/>
        </w:trPr>
        <w:tc>
          <w:tcPr>
            <w:tcW w:type="dxa" w:w="4392"/>
            <w:vAlign w:val="top"/>
          </w:tcPr>
          <w:p>
            <w:pPr>
              <w:keepNext w:val="0"/>
              <w:spacing w:after="50" w:before="20" w:line="250" w:lineRule="auto"/>
            </w:pPr>
            <w:r>
              <w:rPr>
                <w:rFonts w:ascii="Arial" w:hAnsi="Arial"/>
                <w:b/>
                <w:sz w:val="18"/>
              </w:rPr>
              <w:t>F117  Booking and product analytics</w:t>
            </w:r>
            <w:r>
              <w:rPr>
                <w:rFonts w:ascii="Arial" w:hAnsi="Arial"/>
                <w:b w:val="0"/>
                <w:sz w:val="18"/>
              </w:rPr>
              <w:br/>
              <w:t>Instrument onboarding, booking, checkout, document and support funnels with privacy-safe events.</w:t>
            </w:r>
          </w:p>
        </w:tc>
        <w:tc>
          <w:tcPr>
            <w:tcW w:type="dxa" w:w="3744"/>
            <w:vAlign w:val="top"/>
          </w:tcPr>
          <w:p>
            <w:pPr>
              <w:keepNext w:val="0"/>
              <w:spacing w:after="50" w:before="20" w:line="250" w:lineRule="auto"/>
            </w:pPr>
            <w:r>
              <w:rPr>
                <w:rFonts w:ascii="Arial" w:hAnsi="Arial"/>
                <w:sz w:val="18"/>
              </w:rPr>
              <w:t>Stable event IDs. Retries and page refreshes do not inflate conversions.</w:t>
            </w:r>
          </w:p>
        </w:tc>
        <w:tc>
          <w:tcPr>
            <w:tcW w:type="dxa" w:w="2088"/>
            <w:vAlign w:val="top"/>
          </w:tcPr>
          <w:p>
            <w:pPr>
              <w:keepNext w:val="0"/>
              <w:spacing w:after="50" w:before="20" w:line="250" w:lineRule="auto"/>
            </w:pPr>
            <w:r>
              <w:rPr>
                <w:rFonts w:ascii="Arial" w:hAnsi="Arial"/>
                <w:sz w:val="18"/>
              </w:rPr>
              <w:t>Foundation (F)</w:t>
              <w:br/>
              <w:t>People: DATA</w:t>
              <w:br/>
              <w:t>Basis: Foundation; analytics chapter</w:t>
            </w:r>
          </w:p>
        </w:tc>
      </w:tr>
      <w:tr>
        <w:trPr>
          <w:cantSplit/>
        </w:trPr>
        <w:tc>
          <w:tcPr>
            <w:tcW w:type="dxa" w:w="4392"/>
            <w:vAlign w:val="top"/>
            <w:shd w:fill="F3F6F7"/>
          </w:tcPr>
          <w:p>
            <w:pPr>
              <w:keepNext w:val="0"/>
              <w:spacing w:after="50" w:before="20" w:line="250" w:lineRule="auto"/>
            </w:pPr>
            <w:r>
              <w:rPr>
                <w:rFonts w:ascii="Arial" w:hAnsi="Arial"/>
                <w:b/>
                <w:sz w:val="18"/>
              </w:rPr>
              <w:t>F118  Operational reliability dashboard</w:t>
            </w:r>
            <w:r>
              <w:rPr>
                <w:rFonts w:ascii="Arial" w:hAnsi="Arial"/>
                <w:b w:val="0"/>
                <w:sz w:val="18"/>
              </w:rPr>
              <w:br/>
              <w:t>Monitor booking errors, payment ambiguity, notification failures, queue delay and business-impacting incidents.</w:t>
            </w:r>
          </w:p>
        </w:tc>
        <w:tc>
          <w:tcPr>
            <w:tcW w:type="dxa" w:w="3744"/>
            <w:vAlign w:val="top"/>
            <w:shd w:fill="F3F6F7"/>
          </w:tcPr>
          <w:p>
            <w:pPr>
              <w:keepNext w:val="0"/>
              <w:spacing w:after="50" w:before="20" w:line="250" w:lineRule="auto"/>
            </w:pPr>
            <w:r>
              <w:rPr>
                <w:rFonts w:ascii="Arial" w:hAnsi="Arial"/>
                <w:sz w:val="18"/>
              </w:rPr>
              <w:t>Observability and on-call ownership. Alerts reach a responsible person with a tested recovery procedure.</w:t>
            </w:r>
          </w:p>
        </w:tc>
        <w:tc>
          <w:tcPr>
            <w:tcW w:type="dxa" w:w="2088"/>
            <w:vAlign w:val="top"/>
            <w:shd w:fill="F3F6F7"/>
          </w:tcPr>
          <w:p>
            <w:pPr>
              <w:keepNext w:val="0"/>
              <w:spacing w:after="50" w:before="20" w:line="250" w:lineRule="auto"/>
            </w:pPr>
            <w:r>
              <w:rPr>
                <w:rFonts w:ascii="Arial" w:hAnsi="Arial"/>
                <w:sz w:val="18"/>
              </w:rPr>
              <w:t>Foundation (F)</w:t>
              <w:br/>
              <w:t>People: SEC OPS</w:t>
              <w:br/>
              <w:t>Basis: Foundation; WB C6</w:t>
            </w:r>
          </w:p>
        </w:tc>
      </w:tr>
      <w:tr>
        <w:trPr>
          <w:cantSplit/>
        </w:trPr>
        <w:tc>
          <w:tcPr>
            <w:tcW w:type="dxa" w:w="4392"/>
            <w:vAlign w:val="top"/>
          </w:tcPr>
          <w:p>
            <w:pPr>
              <w:keepNext w:val="0"/>
              <w:spacing w:after="50" w:before="20" w:line="250" w:lineRule="auto"/>
            </w:pPr>
            <w:r>
              <w:rPr>
                <w:rFonts w:ascii="Arial" w:hAnsi="Arial"/>
                <w:b/>
                <w:sz w:val="18"/>
              </w:rPr>
              <w:t>F119  Complete exit archive</w:t>
            </w:r>
            <w:r>
              <w:rPr>
                <w:rFonts w:ascii="Arial" w:hAnsi="Arial"/>
                <w:b w:val="0"/>
                <w:sz w:val="18"/>
              </w:rPr>
              <w:br/>
              <w:t>Export documents, photos, consent evidence, histories and balances with a readable index and machine-readable files.</w:t>
            </w:r>
          </w:p>
        </w:tc>
        <w:tc>
          <w:tcPr>
            <w:tcW w:type="dxa" w:w="3744"/>
            <w:vAlign w:val="top"/>
          </w:tcPr>
          <w:p>
            <w:pPr>
              <w:keepNext w:val="0"/>
              <w:spacing w:after="50" w:before="20" w:line="250" w:lineRule="auto"/>
            </w:pPr>
            <w:r>
              <w:rPr>
                <w:rFonts w:ascii="Arial" w:hAnsi="Arial"/>
                <w:sz w:val="18"/>
              </w:rPr>
              <w:t>Data permissions and storage. A sampled archive can be opened without an active subscription.</w:t>
            </w:r>
          </w:p>
        </w:tc>
        <w:tc>
          <w:tcPr>
            <w:tcW w:type="dxa" w:w="2088"/>
            <w:vAlign w:val="top"/>
          </w:tcPr>
          <w:p>
            <w:pPr>
              <w:keepNext w:val="0"/>
              <w:spacing w:after="50" w:before="20" w:line="250" w:lineRule="auto"/>
            </w:pPr>
            <w:r>
              <w:rPr>
                <w:rFonts w:ascii="Arial" w:hAnsi="Arial"/>
                <w:sz w:val="18"/>
              </w:rPr>
              <w:t>Launch candidate (L)</w:t>
              <w:br/>
              <w:t>People: MIG SEC</w:t>
              <w:br/>
              <w:t>Basis: I; WB C10</w:t>
            </w:r>
          </w:p>
        </w:tc>
      </w:tr>
      <w:tr>
        <w:trPr>
          <w:cantSplit/>
        </w:trPr>
        <w:tc>
          <w:tcPr>
            <w:tcW w:type="dxa" w:w="4392"/>
            <w:vAlign w:val="top"/>
            <w:shd w:fill="F3F6F7"/>
          </w:tcPr>
          <w:p>
            <w:pPr>
              <w:keepNext w:val="0"/>
              <w:spacing w:after="50" w:before="20" w:line="250" w:lineRule="auto"/>
            </w:pPr>
            <w:r>
              <w:rPr>
                <w:rFonts w:ascii="Arial" w:hAnsi="Arial"/>
                <w:b/>
                <w:sz w:val="18"/>
              </w:rPr>
              <w:t>F120  Phone tablet and desktop parity</w:t>
            </w:r>
            <w:r>
              <w:rPr>
                <w:rFonts w:ascii="Arial" w:hAnsi="Arial"/>
                <w:b w:val="0"/>
                <w:sz w:val="18"/>
              </w:rPr>
              <w:br/>
              <w:t>Support essential scheduling, records, checkout and support actions on responsive devices, with deliberate differences documented.</w:t>
            </w:r>
          </w:p>
        </w:tc>
        <w:tc>
          <w:tcPr>
            <w:tcW w:type="dxa" w:w="3744"/>
            <w:vAlign w:val="top"/>
            <w:shd w:fill="F3F6F7"/>
          </w:tcPr>
          <w:p>
            <w:pPr>
              <w:keepNext w:val="0"/>
              <w:spacing w:after="50" w:before="20" w:line="250" w:lineRule="auto"/>
            </w:pPr>
            <w:r>
              <w:rPr>
                <w:rFonts w:ascii="Arial" w:hAnsi="Arial"/>
                <w:sz w:val="18"/>
              </w:rPr>
              <w:t>Shared application and device tests. A solo user can complete the core workday from a supported phone.</w:t>
            </w:r>
          </w:p>
        </w:tc>
        <w:tc>
          <w:tcPr>
            <w:tcW w:type="dxa" w:w="2088"/>
            <w:vAlign w:val="top"/>
            <w:shd w:fill="F3F6F7"/>
          </w:tcPr>
          <w:p>
            <w:pPr>
              <w:keepNext w:val="0"/>
              <w:spacing w:after="50" w:before="20" w:line="250" w:lineRule="auto"/>
            </w:pPr>
            <w:r>
              <w:rPr>
                <w:rFonts w:ascii="Arial" w:hAnsi="Arial"/>
                <w:sz w:val="18"/>
              </w:rPr>
              <w:t>Launch candidate (L)</w:t>
              <w:br/>
              <w:t>People: UX</w:t>
              <w:br/>
              <w:t>Basis: I; WB F60 C13</w:t>
            </w:r>
          </w:p>
        </w:tc>
      </w:tr>
      <w:tr>
        <w:trPr>
          <w:cantSplit/>
        </w:trPr>
        <w:tc>
          <w:tcPr>
            <w:tcW w:type="dxa" w:w="4392"/>
            <w:vAlign w:val="top"/>
          </w:tcPr>
          <w:p>
            <w:pPr>
              <w:keepNext w:val="0"/>
              <w:spacing w:after="50" w:before="20" w:line="250" w:lineRule="auto"/>
            </w:pPr>
            <w:r>
              <w:rPr>
                <w:rFonts w:ascii="Arial" w:hAnsi="Arial"/>
                <w:b/>
                <w:sz w:val="18"/>
              </w:rPr>
              <w:t>F121  Unified search and commands</w:t>
            </w:r>
            <w:r>
              <w:rPr>
                <w:rFonts w:ascii="Arial" w:hAnsi="Arial"/>
                <w:b w:val="0"/>
                <w:sz w:val="18"/>
              </w:rPr>
              <w:br/>
              <w:t>Find clients, appointments, documents and settings; show role-safe results and clear actions.</w:t>
            </w:r>
          </w:p>
        </w:tc>
        <w:tc>
          <w:tcPr>
            <w:tcW w:type="dxa" w:w="3744"/>
            <w:vAlign w:val="top"/>
          </w:tcPr>
          <w:p>
            <w:pPr>
              <w:keepNext w:val="0"/>
              <w:spacing w:after="50" w:before="20" w:line="250" w:lineRule="auto"/>
            </w:pPr>
            <w:r>
              <w:rPr>
                <w:rFonts w:ascii="Arial" w:hAnsi="Arial"/>
                <w:sz w:val="18"/>
              </w:rPr>
              <w:t>Search index and permissions. Search never reveals a restricted note through its snippet.</w:t>
            </w:r>
          </w:p>
        </w:tc>
        <w:tc>
          <w:tcPr>
            <w:tcW w:type="dxa" w:w="2088"/>
            <w:vAlign w:val="top"/>
          </w:tcPr>
          <w:p>
            <w:pPr>
              <w:keepNext w:val="0"/>
              <w:spacing w:after="50" w:before="20" w:line="250" w:lineRule="auto"/>
            </w:pPr>
            <w:r>
              <w:rPr>
                <w:rFonts w:ascii="Arial" w:hAnsi="Arial"/>
                <w:sz w:val="18"/>
              </w:rPr>
              <w:t>Growth (G)</w:t>
              <w:br/>
              <w:t>People: CORE SEC</w:t>
              <w:br/>
              <w:t>Basis: I; ease of use</w:t>
            </w:r>
          </w:p>
        </w:tc>
      </w:tr>
      <w:tr>
        <w:trPr>
          <w:cantSplit/>
        </w:trPr>
        <w:tc>
          <w:tcPr>
            <w:tcW w:type="dxa" w:w="4392"/>
            <w:vAlign w:val="top"/>
            <w:shd w:fill="F3F6F7"/>
          </w:tcPr>
          <w:p>
            <w:pPr>
              <w:keepNext w:val="0"/>
              <w:spacing w:after="50" w:before="20" w:line="250" w:lineRule="auto"/>
            </w:pPr>
            <w:r>
              <w:rPr>
                <w:rFonts w:ascii="Arial" w:hAnsi="Arial"/>
                <w:b/>
                <w:sz w:val="18"/>
              </w:rPr>
              <w:t>F122  Emergency day view</w:t>
            </w:r>
            <w:r>
              <w:rPr>
                <w:rFonts w:ascii="Arial" w:hAnsi="Arial"/>
                <w:b w:val="0"/>
                <w:sz w:val="18"/>
              </w:rPr>
              <w:br/>
              <w:t>Cache an encrypted, limited read-only day view with age indicator and device controls for outages.</w:t>
            </w:r>
          </w:p>
        </w:tc>
        <w:tc>
          <w:tcPr>
            <w:tcW w:type="dxa" w:w="3744"/>
            <w:vAlign w:val="top"/>
            <w:shd w:fill="F3F6F7"/>
          </w:tcPr>
          <w:p>
            <w:pPr>
              <w:keepNext w:val="0"/>
              <w:spacing w:after="50" w:before="20" w:line="250" w:lineRule="auto"/>
            </w:pPr>
            <w:r>
              <w:rPr>
                <w:rFonts w:ascii="Arial" w:hAnsi="Arial"/>
                <w:sz w:val="18"/>
              </w:rPr>
              <w:t>Secure local storage. No offline payment or appointment change is implied to be confirmed.</w:t>
            </w:r>
          </w:p>
        </w:tc>
        <w:tc>
          <w:tcPr>
            <w:tcW w:type="dxa" w:w="2088"/>
            <w:vAlign w:val="top"/>
            <w:shd w:fill="F3F6F7"/>
          </w:tcPr>
          <w:p>
            <w:pPr>
              <w:keepNext w:val="0"/>
              <w:spacing w:after="50" w:before="20" w:line="250" w:lineRule="auto"/>
            </w:pPr>
            <w:r>
              <w:rPr>
                <w:rFonts w:ascii="Arial" w:hAnsi="Arial"/>
                <w:sz w:val="18"/>
              </w:rPr>
              <w:t>Launch candidate (L)</w:t>
              <w:br/>
              <w:t>People: SEC OPS</w:t>
              <w:br/>
              <w:t>Basis: I; WB C6</w:t>
            </w:r>
          </w:p>
        </w:tc>
      </w:tr>
      <w:tr>
        <w:trPr>
          <w:cantSplit/>
        </w:trPr>
        <w:tc>
          <w:tcPr>
            <w:tcW w:type="dxa" w:w="4392"/>
            <w:vAlign w:val="top"/>
          </w:tcPr>
          <w:p>
            <w:pPr>
              <w:keepNext w:val="0"/>
              <w:spacing w:after="50" w:before="20" w:line="250" w:lineRule="auto"/>
            </w:pPr>
            <w:r>
              <w:rPr>
                <w:rFonts w:ascii="Arial" w:hAnsi="Arial"/>
                <w:b/>
                <w:sz w:val="18"/>
              </w:rPr>
              <w:t>F123  Public API and webhooks</w:t>
            </w:r>
            <w:r>
              <w:rPr>
                <w:rFonts w:ascii="Arial" w:hAnsi="Arial"/>
                <w:b w:val="0"/>
                <w:sz w:val="18"/>
              </w:rPr>
              <w:br/>
              <w:t>Expose documented, permission-scoped records and events with retries, versioning and limits.</w:t>
            </w:r>
          </w:p>
        </w:tc>
        <w:tc>
          <w:tcPr>
            <w:tcW w:type="dxa" w:w="3744"/>
            <w:vAlign w:val="top"/>
          </w:tcPr>
          <w:p>
            <w:pPr>
              <w:keepNext w:val="0"/>
              <w:spacing w:after="50" w:before="20" w:line="250" w:lineRule="auto"/>
            </w:pPr>
            <w:r>
              <w:rPr>
                <w:rFonts w:ascii="Arial" w:hAnsi="Arial"/>
                <w:sz w:val="18"/>
              </w:rPr>
              <w:t>Identity and event foundation. Duplicate or out-of-order deliveries can be handled safely by partners.</w:t>
            </w:r>
          </w:p>
        </w:tc>
        <w:tc>
          <w:tcPr>
            <w:tcW w:type="dxa" w:w="2088"/>
            <w:vAlign w:val="top"/>
          </w:tcPr>
          <w:p>
            <w:pPr>
              <w:keepNext w:val="0"/>
              <w:spacing w:after="50" w:before="20" w:line="250" w:lineRule="auto"/>
            </w:pPr>
            <w:r>
              <w:rPr>
                <w:rFonts w:ascii="Arial" w:hAnsi="Arial"/>
                <w:sz w:val="18"/>
              </w:rPr>
              <w:t>Growth (G)</w:t>
              <w:br/>
              <w:t>People: PART SEC</w:t>
              <w:br/>
              <w:t>Basis: B; WB F67</w:t>
            </w:r>
          </w:p>
        </w:tc>
      </w:tr>
      <w:tr>
        <w:trPr>
          <w:cantSplit/>
        </w:trPr>
        <w:tc>
          <w:tcPr>
            <w:tcW w:type="dxa" w:w="4392"/>
            <w:vAlign w:val="top"/>
            <w:shd w:fill="F3F6F7"/>
          </w:tcPr>
          <w:p>
            <w:pPr>
              <w:keepNext w:val="0"/>
              <w:spacing w:after="50" w:before="20" w:line="250" w:lineRule="auto"/>
            </w:pPr>
            <w:r>
              <w:rPr>
                <w:rFonts w:ascii="Arial" w:hAnsi="Arial"/>
                <w:b/>
                <w:sz w:val="18"/>
              </w:rPr>
              <w:t>F124  Product use per service</w:t>
            </w:r>
            <w:r>
              <w:rPr>
                <w:rFonts w:ascii="Arial" w:hAnsi="Arial"/>
                <w:b w:val="0"/>
                <w:sz w:val="18"/>
              </w:rPr>
              <w:br/>
              <w:t>Track fractional backbar quantities, formula versions and optional measured waste against actual visits.</w:t>
            </w:r>
          </w:p>
        </w:tc>
        <w:tc>
          <w:tcPr>
            <w:tcW w:type="dxa" w:w="3744"/>
            <w:vAlign w:val="top"/>
            <w:shd w:fill="F3F6F7"/>
          </w:tcPr>
          <w:p>
            <w:pPr>
              <w:keepNext w:val="0"/>
              <w:spacing w:after="50" w:before="20" w:line="250" w:lineRule="auto"/>
            </w:pPr>
            <w:r>
              <w:rPr>
                <w:rFonts w:ascii="Arial" w:hAnsi="Arial"/>
                <w:sz w:val="18"/>
              </w:rPr>
              <w:t>Inventory units and product costs. Units convert consistently and unmeasured use is labeled estimated.</w:t>
            </w:r>
          </w:p>
        </w:tc>
        <w:tc>
          <w:tcPr>
            <w:tcW w:type="dxa" w:w="2088"/>
            <w:vAlign w:val="top"/>
            <w:shd w:fill="F3F6F7"/>
          </w:tcPr>
          <w:p>
            <w:pPr>
              <w:keepNext w:val="0"/>
              <w:spacing w:after="50" w:before="20" w:line="250" w:lineRule="auto"/>
            </w:pPr>
            <w:r>
              <w:rPr>
                <w:rFonts w:ascii="Arial" w:hAnsi="Arial"/>
                <w:sz w:val="18"/>
              </w:rPr>
              <w:t>Growth (G)</w:t>
              <w:br/>
              <w:t>People: CLIN FIN</w:t>
              <w:br/>
              <w:t>Basis: B; R06 R07</w:t>
            </w:r>
          </w:p>
        </w:tc>
      </w:tr>
      <w:tr>
        <w:trPr>
          <w:cantSplit/>
        </w:trPr>
        <w:tc>
          <w:tcPr>
            <w:tcW w:type="dxa" w:w="4392"/>
            <w:vAlign w:val="top"/>
          </w:tcPr>
          <w:p>
            <w:pPr>
              <w:keepNext w:val="0"/>
              <w:spacing w:after="50" w:before="20" w:line="250" w:lineRule="auto"/>
            </w:pPr>
            <w:r>
              <w:rPr>
                <w:rFonts w:ascii="Arial" w:hAnsi="Arial"/>
                <w:b/>
                <w:sz w:val="18"/>
              </w:rPr>
              <w:t>F125  Lots expiry and stock forecasts</w:t>
            </w:r>
            <w:r>
              <w:rPr>
                <w:rFonts w:ascii="Arial" w:hAnsi="Arial"/>
                <w:b w:val="0"/>
                <w:sz w:val="18"/>
              </w:rPr>
              <w:br/>
              <w:t>Track batch numbers, expiry, open-container dates and planned consumption from upcoming appointments.</w:t>
            </w:r>
          </w:p>
        </w:tc>
        <w:tc>
          <w:tcPr>
            <w:tcW w:type="dxa" w:w="3744"/>
            <w:vAlign w:val="top"/>
          </w:tcPr>
          <w:p>
            <w:pPr>
              <w:keepNext w:val="0"/>
              <w:spacing w:after="50" w:before="20" w:line="250" w:lineRule="auto"/>
            </w:pPr>
            <w:r>
              <w:rPr>
                <w:rFonts w:ascii="Arial" w:hAnsi="Arial"/>
                <w:sz w:val="18"/>
              </w:rPr>
              <w:t>Inventory and booking data. Alerts distinguish definite shortages from estimates with unknown usage.</w:t>
            </w:r>
          </w:p>
        </w:tc>
        <w:tc>
          <w:tcPr>
            <w:tcW w:type="dxa" w:w="2088"/>
            <w:vAlign w:val="top"/>
          </w:tcPr>
          <w:p>
            <w:pPr>
              <w:keepNext w:val="0"/>
              <w:spacing w:after="50" w:before="20" w:line="250" w:lineRule="auto"/>
            </w:pPr>
            <w:r>
              <w:rPr>
                <w:rFonts w:ascii="Arial" w:hAnsi="Arial"/>
                <w:sz w:val="18"/>
              </w:rPr>
              <w:t>Growth (G)</w:t>
              <w:br/>
              <w:t>People: OPS CLIN</w:t>
              <w:br/>
              <w:t>Basis: I; inventory operations</w:t>
            </w:r>
          </w:p>
        </w:tc>
      </w:tr>
      <w:tr>
        <w:trPr>
          <w:cantSplit/>
        </w:trPr>
        <w:tc>
          <w:tcPr>
            <w:tcW w:type="dxa" w:w="4392"/>
            <w:vAlign w:val="top"/>
            <w:shd w:fill="F3F6F7"/>
          </w:tcPr>
          <w:p>
            <w:pPr>
              <w:keepNext w:val="0"/>
              <w:spacing w:after="50" w:before="20" w:line="250" w:lineRule="auto"/>
            </w:pPr>
            <w:r>
              <w:rPr>
                <w:rFonts w:ascii="Arial" w:hAnsi="Arial"/>
                <w:b/>
                <w:sz w:val="18"/>
              </w:rPr>
              <w:t>F126  Service readiness rules</w:t>
            </w:r>
            <w:r>
              <w:rPr>
                <w:rFonts w:ascii="Arial" w:hAnsi="Arial"/>
                <w:b w:val="0"/>
                <w:sz w:val="18"/>
              </w:rPr>
              <w:br/>
              <w:t>Check required forms, patch test evidence, equipment, stock and staff qualifications before confirming readiness.</w:t>
            </w:r>
          </w:p>
        </w:tc>
        <w:tc>
          <w:tcPr>
            <w:tcW w:type="dxa" w:w="3744"/>
            <w:vAlign w:val="top"/>
            <w:shd w:fill="F3F6F7"/>
          </w:tcPr>
          <w:p>
            <w:pPr>
              <w:keepNext w:val="0"/>
              <w:spacing w:after="50" w:before="20" w:line="250" w:lineRule="auto"/>
            </w:pPr>
            <w:r>
              <w:rPr>
                <w:rFonts w:ascii="Arial" w:hAnsi="Arial"/>
                <w:sz w:val="18"/>
              </w:rPr>
              <w:t>Professionally approved rules. Missing information routes to review rather than an automated diagnosis.</w:t>
            </w:r>
          </w:p>
        </w:tc>
        <w:tc>
          <w:tcPr>
            <w:tcW w:type="dxa" w:w="2088"/>
            <w:vAlign w:val="top"/>
            <w:shd w:fill="F3F6F7"/>
          </w:tcPr>
          <w:p>
            <w:pPr>
              <w:keepNext w:val="0"/>
              <w:spacing w:after="50" w:before="20" w:line="250" w:lineRule="auto"/>
            </w:pPr>
            <w:r>
              <w:rPr>
                <w:rFonts w:ascii="Arial" w:hAnsi="Arial"/>
                <w:sz w:val="18"/>
              </w:rPr>
              <w:t>Growth (G)</w:t>
              <w:br/>
              <w:t>People: CLIN LEG</w:t>
              <w:br/>
              <w:t>Basis: T; Gingr pattern</w:t>
            </w:r>
          </w:p>
        </w:tc>
      </w:tr>
      <w:tr>
        <w:trPr>
          <w:cantSplit/>
        </w:trPr>
        <w:tc>
          <w:tcPr>
            <w:tcW w:type="dxa" w:w="4392"/>
            <w:vAlign w:val="top"/>
          </w:tcPr>
          <w:p>
            <w:pPr>
              <w:keepNext w:val="0"/>
              <w:spacing w:after="50" w:before="20" w:line="250" w:lineRule="auto"/>
            </w:pPr>
            <w:r>
              <w:rPr>
                <w:rFonts w:ascii="Arial" w:hAnsi="Arial"/>
                <w:b/>
                <w:sz w:val="18"/>
              </w:rPr>
              <w:t>F127  Business anomaly explanations</w:t>
            </w:r>
            <w:r>
              <w:rPr>
                <w:rFonts w:ascii="Arial" w:hAnsi="Arial"/>
                <w:b w:val="0"/>
                <w:sz w:val="18"/>
              </w:rPr>
              <w:br/>
              <w:t>Flag unusual declines, empty hours, fee changes or failed payments with source records and suggested checks.</w:t>
            </w:r>
          </w:p>
        </w:tc>
        <w:tc>
          <w:tcPr>
            <w:tcW w:type="dxa" w:w="3744"/>
            <w:vAlign w:val="top"/>
          </w:tcPr>
          <w:p>
            <w:pPr>
              <w:keepNext w:val="0"/>
              <w:spacing w:after="50" w:before="20" w:line="250" w:lineRule="auto"/>
            </w:pPr>
            <w:r>
              <w:rPr>
                <w:rFonts w:ascii="Arial" w:hAnsi="Arial"/>
                <w:sz w:val="18"/>
              </w:rPr>
              <w:t>Governed metrics and historical baselines. Low sample sizes and missing data suppress overconfident alerts.</w:t>
            </w:r>
          </w:p>
        </w:tc>
        <w:tc>
          <w:tcPr>
            <w:tcW w:type="dxa" w:w="2088"/>
            <w:vAlign w:val="top"/>
          </w:tcPr>
          <w:p>
            <w:pPr>
              <w:keepNext w:val="0"/>
              <w:spacing w:after="50" w:before="20" w:line="250" w:lineRule="auto"/>
            </w:pPr>
            <w:r>
              <w:rPr>
                <w:rFonts w:ascii="Arial" w:hAnsi="Arial"/>
                <w:sz w:val="18"/>
              </w:rPr>
              <w:t>Growth (G)</w:t>
              <w:br/>
              <w:t>People: DATA</w:t>
              <w:br/>
              <w:t>Basis: I; analytics to action</w:t>
            </w:r>
          </w:p>
        </w:tc>
      </w:tr>
      <w:tr>
        <w:trPr>
          <w:cantSplit/>
        </w:trPr>
        <w:tc>
          <w:tcPr>
            <w:tcW w:type="dxa" w:w="4392"/>
            <w:vAlign w:val="top"/>
            <w:shd w:fill="F3F6F7"/>
          </w:tcPr>
          <w:p>
            <w:pPr>
              <w:keepNext w:val="0"/>
              <w:spacing w:after="50" w:before="20" w:line="250" w:lineRule="auto"/>
            </w:pPr>
            <w:r>
              <w:rPr>
                <w:rFonts w:ascii="Arial" w:hAnsi="Arial"/>
                <w:b/>
                <w:sz w:val="18"/>
              </w:rPr>
              <w:t>F128  Guardian and authorized payer roles</w:t>
            </w:r>
            <w:r>
              <w:rPr>
                <w:rFonts w:ascii="Arial" w:hAnsi="Arial"/>
                <w:b w:val="0"/>
                <w:sz w:val="18"/>
              </w:rPr>
              <w:br/>
              <w:t>Separate the client receiving service, an authorized guardian, a payer and a person allowed to receive updates.</w:t>
            </w:r>
          </w:p>
        </w:tc>
        <w:tc>
          <w:tcPr>
            <w:tcW w:type="dxa" w:w="3744"/>
            <w:vAlign w:val="top"/>
            <w:shd w:fill="F3F6F7"/>
          </w:tcPr>
          <w:p>
            <w:pPr>
              <w:keepNext w:val="0"/>
              <w:spacing w:after="50" w:before="20" w:line="250" w:lineRule="auto"/>
            </w:pPr>
            <w:r>
              <w:rPr>
                <w:rFonts w:ascii="Arial" w:hAnsi="Arial"/>
                <w:sz w:val="18"/>
              </w:rPr>
              <w:t>Identity and consent. Paying for an appointment alone never grants access to private notes or images.</w:t>
            </w:r>
          </w:p>
        </w:tc>
        <w:tc>
          <w:tcPr>
            <w:tcW w:type="dxa" w:w="2088"/>
            <w:vAlign w:val="top"/>
            <w:shd w:fill="F3F6F7"/>
          </w:tcPr>
          <w:p>
            <w:pPr>
              <w:keepNext w:val="0"/>
              <w:spacing w:after="50" w:before="20" w:line="250" w:lineRule="auto"/>
            </w:pPr>
            <w:r>
              <w:rPr>
                <w:rFonts w:ascii="Arial" w:hAnsi="Arial"/>
                <w:sz w:val="18"/>
              </w:rPr>
              <w:t>Growth (G)</w:t>
              <w:br/>
              <w:t>People: LEG SEC</w:t>
              <w:br/>
              <w:t>Basis: I; family relationships</w:t>
            </w:r>
          </w:p>
        </w:tc>
      </w:tr>
      <w:tr>
        <w:trPr>
          <w:cantSplit/>
        </w:trPr>
        <w:tc>
          <w:tcPr>
            <w:tcW w:type="dxa" w:w="4392"/>
            <w:vAlign w:val="top"/>
          </w:tcPr>
          <w:p>
            <w:pPr>
              <w:keepNext w:val="0"/>
              <w:spacing w:after="50" w:before="20" w:line="250" w:lineRule="auto"/>
            </w:pPr>
            <w:r>
              <w:rPr>
                <w:rFonts w:ascii="Arial" w:hAnsi="Arial"/>
                <w:b/>
                <w:sz w:val="18"/>
              </w:rPr>
              <w:t>F129  Documented care summaries</w:t>
            </w:r>
            <w:r>
              <w:rPr>
                <w:rFonts w:ascii="Arial" w:hAnsi="Arial"/>
                <w:b w:val="0"/>
                <w:sz w:val="18"/>
              </w:rPr>
              <w:br/>
              <w:t>Generate a client-friendly visit summary with approved products, observations, next steps and relevant images.</w:t>
            </w:r>
          </w:p>
        </w:tc>
        <w:tc>
          <w:tcPr>
            <w:tcW w:type="dxa" w:w="3744"/>
            <w:vAlign w:val="top"/>
          </w:tcPr>
          <w:p>
            <w:pPr>
              <w:keepNext w:val="0"/>
              <w:spacing w:after="50" w:before="20" w:line="250" w:lineRule="auto"/>
            </w:pPr>
            <w:r>
              <w:rPr>
                <w:rFonts w:ascii="Arial" w:hAnsi="Arial"/>
                <w:sz w:val="18"/>
              </w:rPr>
              <w:t>Signed record and template system. Staff approve the summary and can trace every statement to its source.</w:t>
            </w:r>
          </w:p>
        </w:tc>
        <w:tc>
          <w:tcPr>
            <w:tcW w:type="dxa" w:w="2088"/>
            <w:vAlign w:val="top"/>
          </w:tcPr>
          <w:p>
            <w:pPr>
              <w:keepNext w:val="0"/>
              <w:spacing w:after="50" w:before="20" w:line="250" w:lineRule="auto"/>
            </w:pPr>
            <w:r>
              <w:rPr>
                <w:rFonts w:ascii="Arial" w:hAnsi="Arial"/>
                <w:sz w:val="18"/>
              </w:rPr>
              <w:t>Growth (G)</w:t>
              <w:br/>
              <w:t>People: CLIN</w:t>
              <w:br/>
              <w:t>Basis: T; Gingr report cards</w:t>
            </w:r>
          </w:p>
        </w:tc>
      </w:tr>
      <w:tr>
        <w:trPr>
          <w:cantSplit/>
        </w:trPr>
        <w:tc>
          <w:tcPr>
            <w:tcW w:type="dxa" w:w="4392"/>
            <w:vAlign w:val="top"/>
            <w:shd w:fill="F3F6F7"/>
          </w:tcPr>
          <w:p>
            <w:pPr>
              <w:keepNext w:val="0"/>
              <w:spacing w:after="50" w:before="20" w:line="250" w:lineRule="auto"/>
            </w:pPr>
            <w:r>
              <w:rPr>
                <w:rFonts w:ascii="Arial" w:hAnsi="Arial"/>
                <w:b/>
                <w:sz w:val="18"/>
              </w:rPr>
              <w:t>F130  Assisted support sessions</w:t>
            </w:r>
            <w:r>
              <w:rPr>
                <w:rFonts w:ascii="Arial" w:hAnsi="Arial"/>
                <w:b w:val="0"/>
                <w:sz w:val="18"/>
              </w:rPr>
              <w:br/>
              <w:t>Let owners share a limited screen state or grant temporary support access with explicit scope and audit.</w:t>
            </w:r>
          </w:p>
        </w:tc>
        <w:tc>
          <w:tcPr>
            <w:tcW w:type="dxa" w:w="3744"/>
            <w:vAlign w:val="top"/>
            <w:shd w:fill="F3F6F7"/>
          </w:tcPr>
          <w:p>
            <w:pPr>
              <w:keepNext w:val="0"/>
              <w:spacing w:after="50" w:before="20" w:line="250" w:lineRule="auto"/>
            </w:pPr>
            <w:r>
              <w:rPr>
                <w:rFonts w:ascii="Arial" w:hAnsi="Arial"/>
                <w:sz w:val="18"/>
              </w:rPr>
              <w:t>Role and privacy controls. Support cannot see payment secrets or private records outside the granted scope.</w:t>
            </w:r>
          </w:p>
        </w:tc>
        <w:tc>
          <w:tcPr>
            <w:tcW w:type="dxa" w:w="2088"/>
            <w:vAlign w:val="top"/>
            <w:shd w:fill="F3F6F7"/>
          </w:tcPr>
          <w:p>
            <w:pPr>
              <w:keepNext w:val="0"/>
              <w:spacing w:after="50" w:before="20" w:line="250" w:lineRule="auto"/>
            </w:pPr>
            <w:r>
              <w:rPr>
                <w:rFonts w:ascii="Arial" w:hAnsi="Arial"/>
                <w:sz w:val="18"/>
              </w:rPr>
              <w:t>Growth (G)</w:t>
              <w:br/>
              <w:t>People: OPS SEC</w:t>
              <w:br/>
              <w:t>Basis: I; support quality</w:t>
            </w:r>
          </w:p>
        </w:tc>
      </w:tr>
      <w:tr>
        <w:trPr>
          <w:cantSplit/>
        </w:trPr>
        <w:tc>
          <w:tcPr>
            <w:tcW w:type="dxa" w:w="4392"/>
            <w:vAlign w:val="top"/>
          </w:tcPr>
          <w:p>
            <w:pPr>
              <w:keepNext w:val="0"/>
              <w:spacing w:after="50" w:before="20" w:line="250" w:lineRule="auto"/>
            </w:pPr>
            <w:r>
              <w:rPr>
                <w:rFonts w:ascii="Arial" w:hAnsi="Arial"/>
                <w:b/>
                <w:sz w:val="18"/>
              </w:rPr>
              <w:t>F131  Payroll ready exports</w:t>
            </w:r>
            <w:r>
              <w:rPr>
                <w:rFonts w:ascii="Arial" w:hAnsi="Arial"/>
                <w:b w:val="0"/>
                <w:sz w:val="18"/>
              </w:rPr>
              <w:br/>
              <w:t>Export approved time, commissions, tips and adjustments to a payroll provider with totals and exceptions.</w:t>
            </w:r>
          </w:p>
        </w:tc>
        <w:tc>
          <w:tcPr>
            <w:tcW w:type="dxa" w:w="3744"/>
            <w:vAlign w:val="top"/>
          </w:tcPr>
          <w:p>
            <w:pPr>
              <w:keepNext w:val="0"/>
              <w:spacing w:after="50" w:before="20" w:line="250" w:lineRule="auto"/>
            </w:pPr>
            <w:r>
              <w:rPr>
                <w:rFonts w:ascii="Arial" w:hAnsi="Arial"/>
                <w:sz w:val="18"/>
              </w:rPr>
              <w:t>Pay rules and period locks. Every amount ties to a service, time record or approved correction.</w:t>
            </w:r>
          </w:p>
        </w:tc>
        <w:tc>
          <w:tcPr>
            <w:tcW w:type="dxa" w:w="2088"/>
            <w:vAlign w:val="top"/>
          </w:tcPr>
          <w:p>
            <w:pPr>
              <w:keepNext w:val="0"/>
              <w:spacing w:after="50" w:before="20" w:line="250" w:lineRule="auto"/>
            </w:pPr>
            <w:r>
              <w:rPr>
                <w:rFonts w:ascii="Arial" w:hAnsi="Arial"/>
                <w:sz w:val="18"/>
              </w:rPr>
              <w:t>Growth (G)</w:t>
              <w:br/>
              <w:t>People: FIN LEG</w:t>
              <w:br/>
              <w:t>Basis: B; WB F55</w:t>
            </w:r>
          </w:p>
        </w:tc>
      </w:tr>
      <w:tr>
        <w:trPr>
          <w:cantSplit/>
        </w:trPr>
        <w:tc>
          <w:tcPr>
            <w:tcW w:type="dxa" w:w="4392"/>
            <w:vAlign w:val="top"/>
            <w:shd w:fill="F3F6F7"/>
          </w:tcPr>
          <w:p>
            <w:pPr>
              <w:keepNext w:val="0"/>
              <w:spacing w:after="50" w:before="20" w:line="250" w:lineRule="auto"/>
            </w:pPr>
            <w:r>
              <w:rPr>
                <w:rFonts w:ascii="Arial" w:hAnsi="Arial"/>
                <w:b/>
                <w:sz w:val="18"/>
              </w:rPr>
              <w:t>F132  Tax and receipt configuration</w:t>
            </w:r>
            <w:r>
              <w:rPr>
                <w:rFonts w:ascii="Arial" w:hAnsi="Arial"/>
                <w:b w:val="0"/>
                <w:sz w:val="18"/>
              </w:rPr>
              <w:br/>
              <w:t>Support location and product/service tax rules through an appropriate tax partner or reviewed configuration.</w:t>
            </w:r>
          </w:p>
        </w:tc>
        <w:tc>
          <w:tcPr>
            <w:tcW w:type="dxa" w:w="3744"/>
            <w:vAlign w:val="top"/>
            <w:shd w:fill="F3F6F7"/>
          </w:tcPr>
          <w:p>
            <w:pPr>
              <w:keepNext w:val="0"/>
              <w:spacing w:after="50" w:before="20" w:line="250" w:lineRule="auto"/>
            </w:pPr>
            <w:r>
              <w:rPr>
                <w:rFonts w:ascii="Arial" w:hAnsi="Arial"/>
                <w:sz w:val="18"/>
              </w:rPr>
              <w:t>Tax expertise and ledger. Tax changes are effective-dated and separately reported from business revenue.</w:t>
            </w:r>
          </w:p>
        </w:tc>
        <w:tc>
          <w:tcPr>
            <w:tcW w:type="dxa" w:w="2088"/>
            <w:vAlign w:val="top"/>
            <w:shd w:fill="F3F6F7"/>
          </w:tcPr>
          <w:p>
            <w:pPr>
              <w:keepNext w:val="0"/>
              <w:spacing w:after="50" w:before="20" w:line="250" w:lineRule="auto"/>
            </w:pPr>
            <w:r>
              <w:rPr>
                <w:rFonts w:ascii="Arial" w:hAnsi="Arial"/>
                <w:sz w:val="18"/>
              </w:rPr>
              <w:t>Launch candidate (L)</w:t>
              <w:br/>
              <w:t>People: FIN LEG PART</w:t>
              <w:br/>
              <w:t>Basis: B; checkout foundation</w:t>
            </w:r>
          </w:p>
        </w:tc>
      </w:tr>
      <w:tr>
        <w:trPr>
          <w:cantSplit/>
        </w:trPr>
        <w:tc>
          <w:tcPr>
            <w:tcW w:type="dxa" w:w="4392"/>
            <w:vAlign w:val="top"/>
          </w:tcPr>
          <w:p>
            <w:pPr>
              <w:keepNext w:val="0"/>
              <w:spacing w:after="50" w:before="20" w:line="250" w:lineRule="auto"/>
            </w:pPr>
            <w:r>
              <w:rPr>
                <w:rFonts w:ascii="Arial" w:hAnsi="Arial"/>
                <w:b/>
                <w:sz w:val="18"/>
              </w:rPr>
              <w:t>F133  Integration connection center</w:t>
            </w:r>
            <w:r>
              <w:rPr>
                <w:rFonts w:ascii="Arial" w:hAnsi="Arial"/>
                <w:b w:val="0"/>
                <w:sz w:val="18"/>
              </w:rPr>
              <w:br/>
              <w:t>Expose connection health, scopes, last synchronization, retries and reconnect actions for external services.</w:t>
            </w:r>
          </w:p>
        </w:tc>
        <w:tc>
          <w:tcPr>
            <w:tcW w:type="dxa" w:w="3744"/>
            <w:vAlign w:val="top"/>
          </w:tcPr>
          <w:p>
            <w:pPr>
              <w:keepNext w:val="0"/>
              <w:spacing w:after="50" w:before="20" w:line="250" w:lineRule="auto"/>
            </w:pPr>
            <w:r>
              <w:rPr>
                <w:rFonts w:ascii="Arial" w:hAnsi="Arial"/>
                <w:sz w:val="18"/>
              </w:rPr>
              <w:t>Connector architecture. A disconnected integration shows what data may be delayed.</w:t>
            </w:r>
          </w:p>
        </w:tc>
        <w:tc>
          <w:tcPr>
            <w:tcW w:type="dxa" w:w="2088"/>
            <w:vAlign w:val="top"/>
          </w:tcPr>
          <w:p>
            <w:pPr>
              <w:keepNext w:val="0"/>
              <w:spacing w:after="50" w:before="20" w:line="250" w:lineRule="auto"/>
            </w:pPr>
            <w:r>
              <w:rPr>
                <w:rFonts w:ascii="Arial" w:hAnsi="Arial"/>
                <w:sz w:val="18"/>
              </w:rPr>
              <w:t>Growth (G)</w:t>
              <w:br/>
              <w:t>People: PART</w:t>
              <w:br/>
              <w:t>Basis: I; integration usability</w:t>
            </w:r>
          </w:p>
        </w:tc>
      </w:tr>
      <w:tr>
        <w:trPr>
          <w:cantSplit/>
        </w:trPr>
        <w:tc>
          <w:tcPr>
            <w:tcW w:type="dxa" w:w="4392"/>
            <w:vAlign w:val="top"/>
            <w:shd w:fill="F3F6F7"/>
          </w:tcPr>
          <w:p>
            <w:pPr>
              <w:keepNext w:val="0"/>
              <w:spacing w:after="50" w:before="20" w:line="250" w:lineRule="auto"/>
            </w:pPr>
            <w:r>
              <w:rPr>
                <w:rFonts w:ascii="Arial" w:hAnsi="Arial"/>
                <w:b/>
                <w:sz w:val="18"/>
              </w:rPr>
              <w:t>F134  Approvals for consequential changes</w:t>
            </w:r>
            <w:r>
              <w:rPr>
                <w:rFonts w:ascii="Arial" w:hAnsi="Arial"/>
                <w:b w:val="0"/>
                <w:sz w:val="18"/>
              </w:rPr>
              <w:br/>
              <w:t>Require configurable approval for bulk messages, large refunds, record exports and major policy or price changes.</w:t>
            </w:r>
          </w:p>
        </w:tc>
        <w:tc>
          <w:tcPr>
            <w:tcW w:type="dxa" w:w="3744"/>
            <w:vAlign w:val="top"/>
            <w:shd w:fill="F3F6F7"/>
          </w:tcPr>
          <w:p>
            <w:pPr>
              <w:keepNext w:val="0"/>
              <w:spacing w:after="50" w:before="20" w:line="250" w:lineRule="auto"/>
            </w:pPr>
            <w:r>
              <w:rPr>
                <w:rFonts w:ascii="Arial" w:hAnsi="Arial"/>
                <w:sz w:val="18"/>
              </w:rPr>
              <w:t>Roles and audit trail. Approvers see the exact affected records and any cost before accepting.</w:t>
            </w:r>
          </w:p>
        </w:tc>
        <w:tc>
          <w:tcPr>
            <w:tcW w:type="dxa" w:w="2088"/>
            <w:vAlign w:val="top"/>
            <w:shd w:fill="F3F6F7"/>
          </w:tcPr>
          <w:p>
            <w:pPr>
              <w:keepNext w:val="0"/>
              <w:spacing w:after="50" w:before="20" w:line="250" w:lineRule="auto"/>
            </w:pPr>
            <w:r>
              <w:rPr>
                <w:rFonts w:ascii="Arial" w:hAnsi="Arial"/>
                <w:sz w:val="18"/>
              </w:rPr>
              <w:t>Growth (G)</w:t>
              <w:br/>
              <w:t>People: SEC LEG</w:t>
              <w:br/>
              <w:t>Basis: I; trustworthy automation</w:t>
            </w:r>
          </w:p>
        </w:tc>
      </w:tr>
      <w:tr>
        <w:trPr>
          <w:cantSplit/>
        </w:trPr>
        <w:tc>
          <w:tcPr>
            <w:tcW w:type="dxa" w:w="4392"/>
            <w:vAlign w:val="top"/>
          </w:tcPr>
          <w:p>
            <w:pPr>
              <w:keepNext w:val="0"/>
              <w:spacing w:after="50" w:before="20" w:line="250" w:lineRule="auto"/>
            </w:pPr>
            <w:r>
              <w:rPr>
                <w:rFonts w:ascii="Arial" w:hAnsi="Arial"/>
                <w:b/>
                <w:sz w:val="18"/>
              </w:rPr>
              <w:t>F135  Supported wallet and online payment methods</w:t>
            </w:r>
            <w:r>
              <w:rPr>
                <w:rFonts w:ascii="Arial" w:hAnsi="Arial"/>
                <w:b w:val="0"/>
                <w:sz w:val="18"/>
              </w:rPr>
              <w:br/>
              <w:t>Offer eligible wallets and approved local payment methods using the processor's hosted or certified flow.</w:t>
            </w:r>
          </w:p>
        </w:tc>
        <w:tc>
          <w:tcPr>
            <w:tcW w:type="dxa" w:w="3744"/>
            <w:vAlign w:val="top"/>
          </w:tcPr>
          <w:p>
            <w:pPr>
              <w:keepNext w:val="0"/>
              <w:spacing w:after="50" w:before="20" w:line="250" w:lineRule="auto"/>
            </w:pPr>
            <w:r>
              <w:rPr>
                <w:rFonts w:ascii="Arial" w:hAnsi="Arial"/>
                <w:sz w:val="18"/>
              </w:rPr>
              <w:t>Payment partner. Supported methods and fees are disclosed per country and device.</w:t>
            </w:r>
          </w:p>
        </w:tc>
        <w:tc>
          <w:tcPr>
            <w:tcW w:type="dxa" w:w="2088"/>
            <w:vAlign w:val="top"/>
          </w:tcPr>
          <w:p>
            <w:pPr>
              <w:keepNext w:val="0"/>
              <w:spacing w:after="50" w:before="20" w:line="250" w:lineRule="auto"/>
            </w:pPr>
            <w:r>
              <w:rPr>
                <w:rFonts w:ascii="Arial" w:hAnsi="Arial"/>
                <w:sz w:val="18"/>
              </w:rPr>
              <w:t>Growth (G)</w:t>
              <w:br/>
              <w:t>People: PAY</w:t>
              <w:br/>
              <w:t>Basis: B; WB F30</w:t>
            </w:r>
          </w:p>
        </w:tc>
      </w:tr>
      <w:tr>
        <w:trPr>
          <w:cantSplit/>
        </w:trPr>
        <w:tc>
          <w:tcPr>
            <w:tcW w:type="dxa" w:w="4392"/>
            <w:vAlign w:val="top"/>
            <w:shd w:fill="F3F6F7"/>
          </w:tcPr>
          <w:p>
            <w:pPr>
              <w:keepNext w:val="0"/>
              <w:spacing w:after="50" w:before="20" w:line="250" w:lineRule="auto"/>
            </w:pPr>
            <w:r>
              <w:rPr>
                <w:rFonts w:ascii="Arial" w:hAnsi="Arial"/>
                <w:b/>
                <w:sz w:val="18"/>
              </w:rPr>
              <w:t>F136  Transparent waitlist priorities</w:t>
            </w:r>
            <w:r>
              <w:rPr>
                <w:rFonts w:ascii="Arial" w:hAnsi="Arial"/>
                <w:b w:val="0"/>
                <w:sz w:val="18"/>
              </w:rPr>
              <w:br/>
              <w:t>Let clients choose time, practitioner, notice and flexibility; explain owner-defined priority rules.</w:t>
            </w:r>
          </w:p>
        </w:tc>
        <w:tc>
          <w:tcPr>
            <w:tcW w:type="dxa" w:w="3744"/>
            <w:vAlign w:val="top"/>
            <w:shd w:fill="F3F6F7"/>
          </w:tcPr>
          <w:p>
            <w:pPr>
              <w:keepNext w:val="0"/>
              <w:spacing w:after="50" w:before="20" w:line="250" w:lineRule="auto"/>
            </w:pPr>
            <w:r>
              <w:rPr>
                <w:rFonts w:ascii="Arial" w:hAnsi="Arial"/>
                <w:sz w:val="18"/>
              </w:rPr>
              <w:t>Waitlist engine. Prioritization never uses inferred health, wealth or protected characteristics.</w:t>
            </w:r>
          </w:p>
        </w:tc>
        <w:tc>
          <w:tcPr>
            <w:tcW w:type="dxa" w:w="2088"/>
            <w:vAlign w:val="top"/>
            <w:shd w:fill="F3F6F7"/>
          </w:tcPr>
          <w:p>
            <w:pPr>
              <w:keepNext w:val="0"/>
              <w:spacing w:after="50" w:before="20" w:line="250" w:lineRule="auto"/>
            </w:pPr>
            <w:r>
              <w:rPr>
                <w:rFonts w:ascii="Arial" w:hAnsi="Arial"/>
                <w:sz w:val="18"/>
              </w:rPr>
              <w:t>Growth (G)</w:t>
              <w:br/>
              <w:t>People: UX DATA</w:t>
              <w:br/>
              <w:t>Basis: H; fair recovery design</w:t>
            </w:r>
          </w:p>
        </w:tc>
      </w:tr>
      <w:tr>
        <w:trPr>
          <w:cantSplit/>
        </w:trPr>
        <w:tc>
          <w:tcPr>
            <w:tcW w:type="dxa" w:w="4392"/>
            <w:vAlign w:val="top"/>
          </w:tcPr>
          <w:p>
            <w:pPr>
              <w:keepNext w:val="0"/>
              <w:spacing w:after="50" w:before="20" w:line="250" w:lineRule="auto"/>
            </w:pPr>
            <w:r>
              <w:rPr>
                <w:rFonts w:ascii="Arial" w:hAnsi="Arial"/>
                <w:b/>
                <w:sz w:val="18"/>
              </w:rPr>
              <w:t>F137  Intake and note OCR assistance</w:t>
            </w:r>
            <w:r>
              <w:rPr>
                <w:rFonts w:ascii="Arial" w:hAnsi="Arial"/>
                <w:b w:val="0"/>
                <w:sz w:val="18"/>
              </w:rPr>
              <w:br/>
              <w:t>Extract draft fields from authorized forms or notes with field confidence and image references.</w:t>
            </w:r>
          </w:p>
        </w:tc>
        <w:tc>
          <w:tcPr>
            <w:tcW w:type="dxa" w:w="3744"/>
            <w:vAlign w:val="top"/>
          </w:tcPr>
          <w:p>
            <w:pPr>
              <w:keepNext w:val="0"/>
              <w:spacing w:after="50" w:before="20" w:line="250" w:lineRule="auto"/>
            </w:pPr>
            <w:r>
              <w:rPr>
                <w:rFonts w:ascii="Arial" w:hAnsi="Arial"/>
                <w:sz w:val="18"/>
              </w:rPr>
              <w:t>Document processing and privacy. A human confirms identity and sensitive fields before they become records.</w:t>
            </w:r>
          </w:p>
        </w:tc>
        <w:tc>
          <w:tcPr>
            <w:tcW w:type="dxa" w:w="2088"/>
            <w:vAlign w:val="top"/>
          </w:tcPr>
          <w:p>
            <w:pPr>
              <w:keepNext w:val="0"/>
              <w:spacing w:after="50" w:before="20" w:line="250" w:lineRule="auto"/>
            </w:pPr>
            <w:r>
              <w:rPr>
                <w:rFonts w:ascii="Arial" w:hAnsi="Arial"/>
                <w:sz w:val="18"/>
              </w:rPr>
              <w:t>Growth (G)</w:t>
              <w:br/>
              <w:t>People: CLIN SEC</w:t>
              <w:br/>
              <w:t>Basis: I; easier migration</w:t>
            </w:r>
          </w:p>
        </w:tc>
      </w:tr>
      <w:tr>
        <w:trPr>
          <w:cantSplit/>
        </w:trPr>
        <w:tc>
          <w:tcPr>
            <w:tcW w:type="dxa" w:w="4392"/>
            <w:vAlign w:val="top"/>
            <w:shd w:fill="F3F6F7"/>
          </w:tcPr>
          <w:p>
            <w:pPr>
              <w:keepNext w:val="0"/>
              <w:spacing w:after="50" w:before="20" w:line="250" w:lineRule="auto"/>
            </w:pPr>
            <w:r>
              <w:rPr>
                <w:rFonts w:ascii="Arial" w:hAnsi="Arial"/>
                <w:b/>
                <w:sz w:val="18"/>
              </w:rPr>
              <w:t>F188  Native discovery booking integrations</w:t>
            </w:r>
            <w:r>
              <w:rPr>
                <w:rFonts w:ascii="Arial" w:hAnsi="Arial"/>
                <w:b w:val="0"/>
                <w:sz w:val="18"/>
              </w:rPr>
              <w:br/>
              <w:t>Connect eligible businesses to Reserve with Google and supported social booking actions, with controlled source attribution.</w:t>
            </w:r>
          </w:p>
        </w:tc>
        <w:tc>
          <w:tcPr>
            <w:tcW w:type="dxa" w:w="3744"/>
            <w:vAlign w:val="top"/>
            <w:shd w:fill="F3F6F7"/>
          </w:tcPr>
          <w:p>
            <w:pPr>
              <w:keepNext w:val="0"/>
              <w:spacing w:after="50" w:before="20" w:line="250" w:lineRule="auto"/>
            </w:pPr>
            <w:r>
              <w:rPr>
                <w:rFonts w:ascii="Arial" w:hAnsi="Arial"/>
                <w:sz w:val="18"/>
              </w:rPr>
              <w:t>Partner eligibility and API access. A native booking creates one appointment and carries the correct current price.</w:t>
            </w:r>
          </w:p>
        </w:tc>
        <w:tc>
          <w:tcPr>
            <w:tcW w:type="dxa" w:w="2088"/>
            <w:vAlign w:val="top"/>
            <w:shd w:fill="F3F6F7"/>
          </w:tcPr>
          <w:p>
            <w:pPr>
              <w:keepNext w:val="0"/>
              <w:spacing w:after="50" w:before="20" w:line="250" w:lineRule="auto"/>
            </w:pPr>
            <w:r>
              <w:rPr>
                <w:rFonts w:ascii="Arial" w:hAnsi="Arial"/>
                <w:sz w:val="18"/>
              </w:rPr>
              <w:t>Growth (G)</w:t>
              <w:br/>
              <w:t>People: PART</w:t>
              <w:br/>
              <w:t>Basis: B; WB F10 F11</w:t>
            </w:r>
          </w:p>
        </w:tc>
      </w:tr>
      <w:tr>
        <w:trPr>
          <w:cantSplit/>
        </w:trPr>
        <w:tc>
          <w:tcPr>
            <w:tcW w:type="dxa" w:w="4392"/>
            <w:vAlign w:val="top"/>
          </w:tcPr>
          <w:p>
            <w:pPr>
              <w:keepNext w:val="0"/>
              <w:spacing w:after="50" w:before="20" w:line="250" w:lineRule="auto"/>
            </w:pPr>
            <w:r>
              <w:rPr>
                <w:rFonts w:ascii="Arial" w:hAnsi="Arial"/>
                <w:b/>
                <w:sz w:val="18"/>
              </w:rPr>
              <w:t>F189  Flexible entry plans and acquisition fees</w:t>
            </w:r>
            <w:r>
              <w:rPr>
                <w:rFonts w:ascii="Arial" w:hAnsi="Arial"/>
                <w:b w:val="0"/>
                <w:sz w:val="18"/>
              </w:rPr>
              <w:br/>
              <w:t>Support a trial or sustainable low-volume entry tier, clear usage caps and optional marketplace acquisition fees with explicit attribution.</w:t>
            </w:r>
          </w:p>
        </w:tc>
        <w:tc>
          <w:tcPr>
            <w:tcW w:type="dxa" w:w="3744"/>
            <w:vAlign w:val="top"/>
          </w:tcPr>
          <w:p>
            <w:pPr>
              <w:keepNext w:val="0"/>
              <w:spacing w:after="50" w:before="20" w:line="250" w:lineRule="auto"/>
            </w:pPr>
            <w:r>
              <w:rPr>
                <w:rFonts w:ascii="Arial" w:hAnsi="Arial"/>
                <w:sz w:val="18"/>
              </w:rPr>
              <w:t>Billing, unit economics and consent. No surprise client convenience fee or automatic paid add-on is hidden at checkout.</w:t>
            </w:r>
          </w:p>
        </w:tc>
        <w:tc>
          <w:tcPr>
            <w:tcW w:type="dxa" w:w="2088"/>
            <w:vAlign w:val="top"/>
          </w:tcPr>
          <w:p>
            <w:pPr>
              <w:keepNext w:val="0"/>
              <w:spacing w:after="50" w:before="20" w:line="250" w:lineRule="auto"/>
            </w:pPr>
            <w:r>
              <w:rPr>
                <w:rFonts w:ascii="Arial" w:hAnsi="Arial"/>
                <w:sz w:val="18"/>
              </w:rPr>
              <w:t>Growth (G)</w:t>
              <w:br/>
              <w:t>People: FIN LEG</w:t>
              <w:br/>
              <w:t>Basis: T; WB A5 A10 A16</w:t>
            </w:r>
          </w:p>
        </w:tc>
      </w:tr>
      <w:tr>
        <w:trPr>
          <w:cantSplit/>
        </w:trPr>
        <w:tc>
          <w:tcPr>
            <w:tcW w:type="dxa" w:w="4392"/>
            <w:vAlign w:val="top"/>
            <w:shd w:fill="F3F6F7"/>
          </w:tcPr>
          <w:p>
            <w:pPr>
              <w:keepNext w:val="0"/>
              <w:spacing w:after="50" w:before="20" w:line="250" w:lineRule="auto"/>
            </w:pPr>
            <w:r>
              <w:rPr>
                <w:rFonts w:ascii="Arial" w:hAnsi="Arial"/>
                <w:b/>
                <w:sz w:val="18"/>
              </w:rPr>
              <w:t>F191  SMS marketing campaigns</w:t>
            </w:r>
            <w:r>
              <w:rPr>
                <w:rFonts w:ascii="Arial" w:hAnsi="Arial"/>
                <w:b w:val="0"/>
                <w:sz w:val="18"/>
              </w:rPr>
              <w:br/>
              <w:t>Create brand-identified text campaigns with previews, opt-in audiences, frequency limits, budget caps and measurable results.</w:t>
            </w:r>
          </w:p>
        </w:tc>
        <w:tc>
          <w:tcPr>
            <w:tcW w:type="dxa" w:w="3744"/>
            <w:vAlign w:val="top"/>
            <w:shd w:fill="F3F6F7"/>
          </w:tcPr>
          <w:p>
            <w:pPr>
              <w:keepNext w:val="0"/>
              <w:spacing w:after="50" w:before="20" w:line="250" w:lineRule="auto"/>
            </w:pPr>
            <w:r>
              <w:rPr>
                <w:rFonts w:ascii="Arial" w:hAnsi="Arial"/>
                <w:sz w:val="18"/>
              </w:rPr>
              <w:t>Carrier registration and consent. Estimates include message segments, replies and possible provider charges.</w:t>
            </w:r>
          </w:p>
        </w:tc>
        <w:tc>
          <w:tcPr>
            <w:tcW w:type="dxa" w:w="2088"/>
            <w:vAlign w:val="top"/>
            <w:shd w:fill="F3F6F7"/>
          </w:tcPr>
          <w:p>
            <w:pPr>
              <w:keepNext w:val="0"/>
              <w:spacing w:after="50" w:before="20" w:line="250" w:lineRule="auto"/>
            </w:pPr>
            <w:r>
              <w:rPr>
                <w:rFonts w:ascii="Arial" w:hAnsi="Arial"/>
                <w:sz w:val="18"/>
              </w:rPr>
              <w:t>Growth (G)</w:t>
              <w:br/>
              <w:t>People: MSG LEG</w:t>
              <w:br/>
              <w:t>Basis: B; WB F42</w:t>
            </w:r>
          </w:p>
        </w:tc>
      </w:tr>
      <w:tr>
        <w:trPr>
          <w:cantSplit/>
        </w:trPr>
        <w:tc>
          <w:tcPr>
            <w:tcW w:type="dxa" w:w="4392"/>
            <w:vAlign w:val="top"/>
          </w:tcPr>
          <w:p>
            <w:pPr>
              <w:keepNext w:val="0"/>
              <w:spacing w:after="50" w:before="20" w:line="250" w:lineRule="auto"/>
            </w:pPr>
            <w:r>
              <w:rPr>
                <w:rFonts w:ascii="Arial" w:hAnsi="Arial"/>
                <w:b/>
                <w:sz w:val="18"/>
              </w:rPr>
              <w:t>F193  Leave by appointment constraint</w:t>
            </w:r>
            <w:r>
              <w:rPr>
                <w:rFonts w:ascii="Arial" w:hAnsi="Arial"/>
                <w:b w:val="0"/>
                <w:sz w:val="18"/>
              </w:rPr>
              <w:br/>
              <w:t>Let a client state a firm departure deadline. Fit consultation, processing, finishing and checkout within that window; reserve cleanup against resources after client departure.</w:t>
            </w:r>
          </w:p>
        </w:tc>
        <w:tc>
          <w:tcPr>
            <w:tcW w:type="dxa" w:w="3744"/>
            <w:vAlign w:val="top"/>
          </w:tcPr>
          <w:p>
            <w:pPr>
              <w:keepNext w:val="0"/>
              <w:spacing w:after="50" w:before="20" w:line="250" w:lineRule="auto"/>
            </w:pPr>
            <w:r>
              <w:rPr>
                <w:rFonts w:ascii="Arial" w:hAnsi="Arial"/>
                <w:sz w:val="18"/>
              </w:rPr>
              <w:t>Validated stage durations and resource availability. Show achievable finish times and decline infeasible combinations; an estimate is not a guarantee against overruns.</w:t>
            </w:r>
          </w:p>
        </w:tc>
        <w:tc>
          <w:tcPr>
            <w:tcW w:type="dxa" w:w="2088"/>
            <w:vAlign w:val="top"/>
          </w:tcPr>
          <w:p>
            <w:pPr>
              <w:keepNext w:val="0"/>
              <w:spacing w:after="50" w:before="20" w:line="250" w:lineRule="auto"/>
            </w:pPr>
            <w:r>
              <w:rPr>
                <w:rFonts w:ascii="Arial" w:hAnsi="Arial"/>
                <w:sz w:val="18"/>
              </w:rPr>
              <w:t>Growth (G)</w:t>
              <w:br/>
              <w:t>People: CLIN UX</w:t>
              <w:br/>
              <w:t>Basis: H; X21 X01</w:t>
            </w:r>
          </w:p>
        </w:tc>
      </w:tr>
      <w:tr>
        <w:trPr>
          <w:cantSplit/>
        </w:trPr>
        <w:tc>
          <w:tcPr>
            <w:tcW w:type="dxa" w:w="4392"/>
            <w:vAlign w:val="top"/>
            <w:shd w:fill="F3F6F7"/>
          </w:tcPr>
          <w:p>
            <w:pPr>
              <w:keepNext w:val="0"/>
              <w:spacing w:after="50" w:before="20" w:line="250" w:lineRule="auto"/>
            </w:pPr>
            <w:r>
              <w:rPr>
                <w:rFonts w:ascii="Arial" w:hAnsi="Arial"/>
                <w:b/>
                <w:sz w:val="18"/>
              </w:rPr>
              <w:t>F194  Budget and time constrained visit options</w:t>
            </w:r>
            <w:r>
              <w:rPr>
                <w:rFonts w:ascii="Arial" w:hAnsi="Arial"/>
                <w:b w:val="0"/>
                <w:sz w:val="18"/>
              </w:rPr>
              <w:br/>
              <w:t>Offer owner-approved service bundles that fit the client’s total budget and available visit window. Show inclusive estimated totals, dependencies and tradeoffs; avoid arbitrary clinical or combinatorial service invention.</w:t>
            </w:r>
          </w:p>
        </w:tc>
        <w:tc>
          <w:tcPr>
            <w:tcW w:type="dxa" w:w="3744"/>
            <w:vAlign w:val="top"/>
            <w:shd w:fill="F3F6F7"/>
          </w:tcPr>
          <w:p>
            <w:pPr>
              <w:keepNext w:val="0"/>
              <w:spacing w:after="50" w:before="20" w:line="250" w:lineRule="auto"/>
            </w:pPr>
            <w:r>
              <w:rPr>
                <w:rFonts w:ascii="Arial" w:hAnsi="Arial"/>
                <w:sz w:val="18"/>
              </w:rPr>
              <w:t>Do not optimize for maximum spend; reject unsupported combinations. Final confirmation rechecks staff/room availability and exact prices, and the client approves every extra.</w:t>
            </w:r>
          </w:p>
        </w:tc>
        <w:tc>
          <w:tcPr>
            <w:tcW w:type="dxa" w:w="2088"/>
            <w:vAlign w:val="top"/>
            <w:shd w:fill="F3F6F7"/>
          </w:tcPr>
          <w:p>
            <w:pPr>
              <w:keepNext w:val="0"/>
              <w:spacing w:after="50" w:before="20" w:line="250" w:lineRule="auto"/>
            </w:pPr>
            <w:r>
              <w:rPr>
                <w:rFonts w:ascii="Arial" w:hAnsi="Arial"/>
                <w:sz w:val="18"/>
              </w:rPr>
              <w:t>Growth (G)</w:t>
              <w:br/>
              <w:t>People: CLIN UX</w:t>
              <w:br/>
              <w:t>Basis: H; X21 X01</w:t>
            </w:r>
          </w:p>
        </w:tc>
      </w:tr>
      <w:tr>
        <w:trPr>
          <w:cantSplit/>
        </w:trPr>
        <w:tc>
          <w:tcPr>
            <w:tcW w:type="dxa" w:w="4392"/>
            <w:vAlign w:val="top"/>
          </w:tcPr>
          <w:p>
            <w:pPr>
              <w:keepNext w:val="0"/>
              <w:spacing w:after="50" w:before="20" w:line="250" w:lineRule="auto"/>
            </w:pPr>
            <w:r>
              <w:rPr>
                <w:rFonts w:ascii="Arial" w:hAnsi="Arial"/>
                <w:b/>
                <w:sz w:val="18"/>
              </w:rPr>
              <w:t>F195  Assisted completion without a smartphone</w:t>
            </w:r>
            <w:r>
              <w:rPr>
                <w:rFonts w:ascii="Arial" w:hAnsi="Arial"/>
                <w:b w:val="0"/>
                <w:sz w:val="18"/>
              </w:rPr>
              <w:br/>
              <w:t>Allow a client to book and complete necessary steps by phone, on an accessible in-salon device or with paper where permitted, without requiring their own smartphone, app or email. Staff record the channel and authorized assistance; unresolved digital steps remain visible.</w:t>
            </w:r>
          </w:p>
        </w:tc>
        <w:tc>
          <w:tcPr>
            <w:tcW w:type="dxa" w:w="3744"/>
            <w:vAlign w:val="top"/>
          </w:tcPr>
          <w:p>
            <w:pPr>
              <w:keepNext w:val="0"/>
              <w:spacing w:after="50" w:before="20" w:line="250" w:lineRule="auto"/>
            </w:pPr>
            <w:r>
              <w:rPr>
                <w:rFonts w:ascii="Arial" w:hAnsi="Arial"/>
                <w:sz w:val="18"/>
              </w:rPr>
              <w:t>Never fabricate a client e-signature or mark a failed message as delivered. Support secure wet-signed scan attachment, identity checks, read-back of price/policy, duplicate prevention and restricted staff handling.</w:t>
            </w:r>
          </w:p>
        </w:tc>
        <w:tc>
          <w:tcPr>
            <w:tcW w:type="dxa" w:w="2088"/>
            <w:vAlign w:val="top"/>
          </w:tcPr>
          <w:p>
            <w:pPr>
              <w:keepNext w:val="0"/>
              <w:spacing w:after="50" w:before="20" w:line="250" w:lineRule="auto"/>
            </w:pPr>
            <w:r>
              <w:rPr>
                <w:rFonts w:ascii="Arial" w:hAnsi="Arial"/>
                <w:sz w:val="18"/>
              </w:rPr>
              <w:t>Launch candidate (L)</w:t>
              <w:br/>
              <w:t>People: UX LEG OPS SEC</w:t>
              <w:br/>
              <w:t>Basis: I; X29</w:t>
            </w:r>
          </w:p>
        </w:tc>
      </w:tr>
      <w:tr>
        <w:trPr>
          <w:cantSplit/>
        </w:trPr>
        <w:tc>
          <w:tcPr>
            <w:tcW w:type="dxa" w:w="4392"/>
            <w:vAlign w:val="top"/>
            <w:shd w:fill="F3F6F7"/>
          </w:tcPr>
          <w:p>
            <w:pPr>
              <w:keepNext w:val="0"/>
              <w:spacing w:after="50" w:before="20" w:line="250" w:lineRule="auto"/>
            </w:pPr>
            <w:r>
              <w:rPr>
                <w:rFonts w:ascii="Arial" w:hAnsi="Arial"/>
                <w:b/>
                <w:sz w:val="18"/>
              </w:rPr>
              <w:t>F198  Recurring booth and chair rent</w:t>
            </w:r>
            <w:r>
              <w:rPr>
                <w:rFonts w:ascii="Arial" w:hAnsi="Arial"/>
                <w:b w:val="0"/>
                <w:sz w:val="18"/>
              </w:rPr>
              <w:br/>
              <w:t>Manage ongoing renter agreements, rent schedules, deposits, invoices, partial payments, late balances and statements for named renters.</w:t>
            </w:r>
          </w:p>
        </w:tc>
        <w:tc>
          <w:tcPr>
            <w:tcW w:type="dxa" w:w="3744"/>
            <w:vAlign w:val="top"/>
            <w:shd w:fill="F3F6F7"/>
          </w:tcPr>
          <w:p>
            <w:pPr>
              <w:keepNext w:val="0"/>
              <w:spacing w:after="50" w:before="20" w:line="250" w:lineRule="auto"/>
            </w:pPr>
            <w:r>
              <w:rPr>
                <w:rFonts w:ascii="Arial" w:hAnsi="Arial"/>
                <w:sz w:val="18"/>
              </w:rPr>
              <w:t>Approved agreements and billing ledger. Security deposits stay distinct from rent; financial and client data remain separated where renters are independent merchants.</w:t>
            </w:r>
          </w:p>
        </w:tc>
        <w:tc>
          <w:tcPr>
            <w:tcW w:type="dxa" w:w="2088"/>
            <w:vAlign w:val="top"/>
            <w:shd w:fill="F3F6F7"/>
          </w:tcPr>
          <w:p>
            <w:pPr>
              <w:keepNext w:val="0"/>
              <w:spacing w:after="50" w:before="20" w:line="250" w:lineRule="auto"/>
            </w:pPr>
            <w:r>
              <w:rPr>
                <w:rFonts w:ascii="Arial" w:hAnsi="Arial"/>
                <w:sz w:val="18"/>
              </w:rPr>
              <w:t>Growth (G)</w:t>
              <w:br/>
              <w:t>People: FIN LEG PAY</w:t>
              <w:br/>
              <w:t>Basis: B; VG06; complements F140 and F171</w:t>
            </w:r>
          </w:p>
        </w:tc>
      </w:tr>
      <w:tr>
        <w:trPr>
          <w:cantSplit/>
        </w:trPr>
        <w:tc>
          <w:tcPr>
            <w:tcW w:type="dxa" w:w="4392"/>
            <w:vAlign w:val="top"/>
          </w:tcPr>
          <w:p>
            <w:pPr>
              <w:keepNext w:val="0"/>
              <w:spacing w:after="50" w:before="20" w:line="250" w:lineRule="auto"/>
            </w:pPr>
            <w:r>
              <w:rPr>
                <w:rFonts w:ascii="Arial" w:hAnsi="Arial"/>
                <w:b/>
                <w:sz w:val="18"/>
              </w:rPr>
              <w:t>F199  Invoices and receivables</w:t>
            </w:r>
            <w:r>
              <w:rPr>
                <w:rFonts w:ascii="Arial" w:hAnsi="Arial"/>
                <w:b w:val="0"/>
                <w:sz w:val="18"/>
              </w:rPr>
              <w:br/>
              <w:t>Issue numbered invoices with due dates, staged payments, paid and remaining balances, reminders, credit notes and receivables aging.</w:t>
            </w:r>
          </w:p>
        </w:tc>
        <w:tc>
          <w:tcPr>
            <w:tcW w:type="dxa" w:w="3744"/>
            <w:vAlign w:val="top"/>
          </w:tcPr>
          <w:p>
            <w:pPr>
              <w:keepNext w:val="0"/>
              <w:spacing w:after="50" w:before="20" w:line="250" w:lineRule="auto"/>
            </w:pPr>
            <w:r>
              <w:rPr>
                <w:rFonts w:ascii="Arial" w:hAnsi="Arial"/>
                <w:sz w:val="18"/>
              </w:rPr>
              <w:t>Ledger, document versions and hosted checkout. Partial payments and refunds reconcile without rewriting the issued invoice or billing the client twice.</w:t>
            </w:r>
          </w:p>
        </w:tc>
        <w:tc>
          <w:tcPr>
            <w:tcW w:type="dxa" w:w="2088"/>
            <w:vAlign w:val="top"/>
          </w:tcPr>
          <w:p>
            <w:pPr>
              <w:keepNext w:val="0"/>
              <w:spacing w:after="50" w:before="20" w:line="250" w:lineRule="auto"/>
            </w:pPr>
            <w:r>
              <w:rPr>
                <w:rFonts w:ascii="Arial" w:hAnsi="Arial"/>
                <w:sz w:val="18"/>
              </w:rPr>
              <w:t>Launch candidate (L)</w:t>
              <w:br/>
              <w:t>People: FIN PAY LEG</w:t>
              <w:br/>
              <w:t>Basis: B; GG16 VG01; complements F036 F085</w:t>
            </w:r>
          </w:p>
        </w:tc>
      </w:tr>
    </w:tbl>
    <w:p>
      <w:pPr>
        <w:spacing w:after="40" w:before="0" w:line="240" w:lineRule="auto"/>
      </w:pPr>
      <w:r>
        <w:rPr>
          <w:sz w:val="4"/>
        </w:rPr>
      </w:r>
    </w:p>
    <w:p>
      <w:pPr>
        <w:pStyle w:val="Heading2"/>
      </w:pPr>
      <w:r>
        <w:t>D4 Advanced automation and complex operations</w:t>
      </w:r>
    </w:p>
    <w:p>
      <w:r>
        <w:t>Cross-system coordination, enterprise scope, offline conflict handling, predictive or evaluated AI behavior. 39 features.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4392"/>
        <w:gridCol w:w="3744"/>
        <w:gridCol w:w="2088"/>
      </w:tblGrid>
      <w:tr>
        <w:trPr>
          <w:tblHeader/>
        </w:trPr>
        <w:tc>
          <w:tcPr>
            <w:tcW w:type="dxa" w:w="4392"/>
            <w:vAlign w:val="top"/>
            <w:shd w:fill="173F50"/>
          </w:tcPr>
          <w:p>
            <w:pPr>
              <w:keepNext/>
              <w:spacing w:after="50" w:before="20" w:line="250" w:lineRule="auto"/>
            </w:pPr>
            <w:r>
              <w:rPr>
                <w:rFonts w:ascii="Arial" w:hAnsi="Arial"/>
                <w:b/>
                <w:color w:val="FFFFFF"/>
                <w:sz w:val="18"/>
              </w:rPr>
              <w:t>Feature and proposed scope</w:t>
            </w:r>
          </w:p>
        </w:tc>
        <w:tc>
          <w:tcPr>
            <w:tcW w:type="dxa" w:w="3744"/>
            <w:vAlign w:val="top"/>
            <w:shd w:fill="173F50"/>
          </w:tcPr>
          <w:p>
            <w:pPr>
              <w:keepNext/>
              <w:spacing w:after="50" w:before="20" w:line="250" w:lineRule="auto"/>
            </w:pPr>
            <w:r>
              <w:rPr>
                <w:rFonts w:ascii="Arial" w:hAnsi="Arial"/>
                <w:b/>
                <w:color w:val="FFFFFF"/>
                <w:sz w:val="18"/>
              </w:rPr>
              <w:t>Dependencies and acceptance</w:t>
            </w:r>
          </w:p>
        </w:tc>
        <w:tc>
          <w:tcPr>
            <w:tcW w:type="dxa" w:w="2088"/>
            <w:vAlign w:val="top"/>
            <w:shd w:fill="173F50"/>
          </w:tcPr>
          <w:p>
            <w:pPr>
              <w:keepNext/>
              <w:spacing w:after="50" w:before="20" w:line="250" w:lineRule="auto"/>
            </w:pPr>
            <w:r>
              <w:rPr>
                <w:rFonts w:ascii="Arial" w:hAnsi="Arial"/>
                <w:b/>
                <w:color w:val="FFFFFF"/>
                <w:sz w:val="18"/>
              </w:rPr>
              <w:t>Release and people</w:t>
            </w:r>
          </w:p>
        </w:tc>
      </w:tr>
      <w:tr>
        <w:trPr>
          <w:cantSplit/>
        </w:trPr>
        <w:tc>
          <w:tcPr>
            <w:tcW w:type="dxa" w:w="4392"/>
            <w:vAlign w:val="top"/>
          </w:tcPr>
          <w:p>
            <w:pPr>
              <w:keepNext w:val="0"/>
              <w:spacing w:after="50" w:before="20" w:line="250" w:lineRule="auto"/>
            </w:pPr>
            <w:r>
              <w:rPr>
                <w:rFonts w:ascii="Arial" w:hAnsi="Arial"/>
                <w:b/>
                <w:sz w:val="18"/>
              </w:rPr>
              <w:t>F138  Business branded mobile app</w:t>
            </w:r>
            <w:r>
              <w:rPr>
                <w:rFonts w:ascii="Arial" w:hAnsi="Arial"/>
                <w:b w:val="0"/>
                <w:sz w:val="18"/>
              </w:rPr>
              <w:br/>
              <w:t>Provide an app using the business identity, with push notifications and client account access where useful.</w:t>
            </w:r>
          </w:p>
        </w:tc>
        <w:tc>
          <w:tcPr>
            <w:tcW w:type="dxa" w:w="3744"/>
            <w:vAlign w:val="top"/>
          </w:tcPr>
          <w:p>
            <w:pPr>
              <w:keepNext w:val="0"/>
              <w:spacing w:after="50" w:before="20" w:line="250" w:lineRule="auto"/>
            </w:pPr>
            <w:r>
              <w:rPr>
                <w:rFonts w:ascii="Arial" w:hAnsi="Arial"/>
                <w:sz w:val="18"/>
              </w:rPr>
              <w:t>Store policies and release operations. Each supported app receives security updates and has an exit plan.</w:t>
            </w:r>
          </w:p>
        </w:tc>
        <w:tc>
          <w:tcPr>
            <w:tcW w:type="dxa" w:w="2088"/>
            <w:vAlign w:val="top"/>
          </w:tcPr>
          <w:p>
            <w:pPr>
              <w:keepNext w:val="0"/>
              <w:spacing w:after="50" w:before="20" w:line="250" w:lineRule="auto"/>
            </w:pPr>
            <w:r>
              <w:rPr>
                <w:rFonts w:ascii="Arial" w:hAnsi="Arial"/>
                <w:sz w:val="18"/>
              </w:rPr>
              <w:t>Expansion (X)</w:t>
              <w:br/>
              <w:t>People: PART OPS DES</w:t>
              <w:br/>
              <w:t>Basis: B; WB F62</w:t>
            </w:r>
          </w:p>
        </w:tc>
      </w:tr>
      <w:tr>
        <w:trPr>
          <w:cantSplit/>
        </w:trPr>
        <w:tc>
          <w:tcPr>
            <w:tcW w:type="dxa" w:w="4392"/>
            <w:vAlign w:val="top"/>
            <w:shd w:fill="F3F6F7"/>
          </w:tcPr>
          <w:p>
            <w:pPr>
              <w:keepNext w:val="0"/>
              <w:spacing w:after="50" w:before="20" w:line="250" w:lineRule="auto"/>
            </w:pPr>
            <w:r>
              <w:rPr>
                <w:rFonts w:ascii="Arial" w:hAnsi="Arial"/>
                <w:b/>
                <w:sz w:val="18"/>
              </w:rPr>
              <w:t>F139  Multi location operations</w:t>
            </w:r>
            <w:r>
              <w:rPr>
                <w:rFonts w:ascii="Arial" w:hAnsi="Arial"/>
                <w:b w:val="0"/>
                <w:sz w:val="18"/>
              </w:rPr>
              <w:br/>
              <w:t>Coordinate shared services, local prices, roles, clients, reporting and cross-location packages where authorized.</w:t>
            </w:r>
          </w:p>
        </w:tc>
        <w:tc>
          <w:tcPr>
            <w:tcW w:type="dxa" w:w="3744"/>
            <w:vAlign w:val="top"/>
            <w:shd w:fill="F3F6F7"/>
          </w:tcPr>
          <w:p>
            <w:pPr>
              <w:keepNext w:val="0"/>
              <w:spacing w:after="50" w:before="20" w:line="250" w:lineRule="auto"/>
            </w:pPr>
            <w:r>
              <w:rPr>
                <w:rFonts w:ascii="Arial" w:hAnsi="Arial"/>
                <w:sz w:val="18"/>
              </w:rPr>
              <w:t>Tenant, financial and entitlement foundations. Location consolidation avoids double-counting shared clients.</w:t>
            </w:r>
          </w:p>
        </w:tc>
        <w:tc>
          <w:tcPr>
            <w:tcW w:type="dxa" w:w="2088"/>
            <w:vAlign w:val="top"/>
            <w:shd w:fill="F3F6F7"/>
          </w:tcPr>
          <w:p>
            <w:pPr>
              <w:keepNext w:val="0"/>
              <w:spacing w:after="50" w:before="20" w:line="250" w:lineRule="auto"/>
            </w:pPr>
            <w:r>
              <w:rPr>
                <w:rFonts w:ascii="Arial" w:hAnsi="Arial"/>
                <w:sz w:val="18"/>
              </w:rPr>
              <w:t>Expansion (X)</w:t>
              <w:br/>
              <w:t>People: DATA FIN SEC</w:t>
              <w:br/>
              <w:t>Basis: B; WB F59</w:t>
            </w:r>
          </w:p>
        </w:tc>
      </w:tr>
      <w:tr>
        <w:trPr>
          <w:cantSplit/>
        </w:trPr>
        <w:tc>
          <w:tcPr>
            <w:tcW w:type="dxa" w:w="4392"/>
            <w:vAlign w:val="top"/>
          </w:tcPr>
          <w:p>
            <w:pPr>
              <w:keepNext w:val="0"/>
              <w:spacing w:after="50" w:before="20" w:line="250" w:lineRule="auto"/>
            </w:pPr>
            <w:r>
              <w:rPr>
                <w:rFonts w:ascii="Arial" w:hAnsi="Arial"/>
                <w:b/>
                <w:sz w:val="18"/>
              </w:rPr>
              <w:t>F140  Booth renter merchant separation</w:t>
            </w:r>
            <w:r>
              <w:rPr>
                <w:rFonts w:ascii="Arial" w:hAnsi="Arial"/>
                <w:b w:val="0"/>
                <w:sz w:val="18"/>
              </w:rPr>
              <w:br/>
              <w:t>Support independent merchants with separate customer permissions, fees, payouts and combined client experience.</w:t>
            </w:r>
          </w:p>
        </w:tc>
        <w:tc>
          <w:tcPr>
            <w:tcW w:type="dxa" w:w="3744"/>
            <w:vAlign w:val="top"/>
          </w:tcPr>
          <w:p>
            <w:pPr>
              <w:keepNext w:val="0"/>
              <w:spacing w:after="50" w:before="20" w:line="250" w:lineRule="auto"/>
            </w:pPr>
            <w:r>
              <w:rPr>
                <w:rFonts w:ascii="Arial" w:hAnsi="Arial"/>
                <w:sz w:val="18"/>
              </w:rPr>
              <w:t>Payment partner and legal entity model. Shared checkout does not mix legal ownership or bank balances.</w:t>
            </w:r>
          </w:p>
        </w:tc>
        <w:tc>
          <w:tcPr>
            <w:tcW w:type="dxa" w:w="2088"/>
            <w:vAlign w:val="top"/>
          </w:tcPr>
          <w:p>
            <w:pPr>
              <w:keepNext w:val="0"/>
              <w:spacing w:after="50" w:before="20" w:line="250" w:lineRule="auto"/>
            </w:pPr>
            <w:r>
              <w:rPr>
                <w:rFonts w:ascii="Arial" w:hAnsi="Arial"/>
                <w:sz w:val="18"/>
              </w:rPr>
              <w:t>Expansion (X)</w:t>
              <w:br/>
              <w:t>People: PAY FIN LEG</w:t>
              <w:br/>
              <w:t>Basis: B; WB F37</w:t>
            </w:r>
          </w:p>
        </w:tc>
      </w:tr>
      <w:tr>
        <w:trPr>
          <w:cantSplit/>
        </w:trPr>
        <w:tc>
          <w:tcPr>
            <w:tcW w:type="dxa" w:w="4392"/>
            <w:vAlign w:val="top"/>
            <w:shd w:fill="F3F6F7"/>
          </w:tcPr>
          <w:p>
            <w:pPr>
              <w:keepNext w:val="0"/>
              <w:spacing w:after="50" w:before="20" w:line="250" w:lineRule="auto"/>
            </w:pPr>
            <w:r>
              <w:rPr>
                <w:rFonts w:ascii="Arial" w:hAnsi="Arial"/>
                <w:b/>
                <w:sz w:val="18"/>
              </w:rPr>
              <w:t>F141  Embedded payroll</w:t>
            </w:r>
            <w:r>
              <w:rPr>
                <w:rFonts w:ascii="Arial" w:hAnsi="Arial"/>
                <w:b w:val="0"/>
                <w:sz w:val="18"/>
              </w:rPr>
              <w:br/>
              <w:t>Run payroll through an approved payroll provider, including filings, employee onboarding, deductions and correction support.</w:t>
            </w:r>
          </w:p>
        </w:tc>
        <w:tc>
          <w:tcPr>
            <w:tcW w:type="dxa" w:w="3744"/>
            <w:vAlign w:val="top"/>
            <w:shd w:fill="F3F6F7"/>
          </w:tcPr>
          <w:p>
            <w:pPr>
              <w:keepNext w:val="0"/>
              <w:spacing w:after="50" w:before="20" w:line="250" w:lineRule="auto"/>
            </w:pPr>
            <w:r>
              <w:rPr>
                <w:rFonts w:ascii="Arial" w:hAnsi="Arial"/>
                <w:sz w:val="18"/>
              </w:rPr>
              <w:t>Approved payroll provider with required commercial, security and operational arrangements. Filing failures, corrections and employee inquiries have accountable owners.</w:t>
            </w:r>
          </w:p>
        </w:tc>
        <w:tc>
          <w:tcPr>
            <w:tcW w:type="dxa" w:w="2088"/>
            <w:vAlign w:val="top"/>
            <w:shd w:fill="F3F6F7"/>
          </w:tcPr>
          <w:p>
            <w:pPr>
              <w:keepNext w:val="0"/>
              <w:spacing w:after="50" w:before="20" w:line="250" w:lineRule="auto"/>
            </w:pPr>
            <w:r>
              <w:rPr>
                <w:rFonts w:ascii="Arial" w:hAnsi="Arial"/>
                <w:sz w:val="18"/>
              </w:rPr>
              <w:t>Expansion (X)</w:t>
              <w:br/>
              <w:t>People: PART FIN LEG OPS</w:t>
              <w:br/>
              <w:t>Basis: B; WB F55 R05</w:t>
            </w:r>
          </w:p>
        </w:tc>
      </w:tr>
      <w:tr>
        <w:trPr>
          <w:cantSplit/>
        </w:trPr>
        <w:tc>
          <w:tcPr>
            <w:tcW w:type="dxa" w:w="4392"/>
            <w:vAlign w:val="top"/>
          </w:tcPr>
          <w:p>
            <w:pPr>
              <w:keepNext w:val="0"/>
              <w:spacing w:after="50" w:before="20" w:line="250" w:lineRule="auto"/>
            </w:pPr>
            <w:r>
              <w:rPr>
                <w:rFonts w:ascii="Arial" w:hAnsi="Arial"/>
                <w:b/>
                <w:sz w:val="18"/>
              </w:rPr>
              <w:t>F142  Offline operational changes</w:t>
            </w:r>
            <w:r>
              <w:rPr>
                <w:rFonts w:ascii="Arial" w:hAnsi="Arial"/>
                <w:b w:val="0"/>
                <w:sz w:val="18"/>
              </w:rPr>
              <w:br/>
              <w:t>Queue limited offline actions with clear pending status, reconciliation and explicit conflict handling.</w:t>
            </w:r>
          </w:p>
        </w:tc>
        <w:tc>
          <w:tcPr>
            <w:tcW w:type="dxa" w:w="3744"/>
            <w:vAlign w:val="top"/>
          </w:tcPr>
          <w:p>
            <w:pPr>
              <w:keepNext w:val="0"/>
              <w:spacing w:after="50" w:before="20" w:line="250" w:lineRule="auto"/>
            </w:pPr>
            <w:r>
              <w:rPr>
                <w:rFonts w:ascii="Arial" w:hAnsi="Arial"/>
                <w:sz w:val="18"/>
              </w:rPr>
              <w:t>Local encryption and server state machine. Reconnection cannot double-charge or silently lose a booking.</w:t>
            </w:r>
          </w:p>
        </w:tc>
        <w:tc>
          <w:tcPr>
            <w:tcW w:type="dxa" w:w="2088"/>
            <w:vAlign w:val="top"/>
          </w:tcPr>
          <w:p>
            <w:pPr>
              <w:keepNext w:val="0"/>
              <w:spacing w:after="50" w:before="20" w:line="250" w:lineRule="auto"/>
            </w:pPr>
            <w:r>
              <w:rPr>
                <w:rFonts w:ascii="Arial" w:hAnsi="Arial"/>
                <w:sz w:val="18"/>
              </w:rPr>
              <w:t>Expansion (X)</w:t>
              <w:br/>
              <w:t>People: SEC PAY OPS</w:t>
              <w:br/>
              <w:t>Basis: H; outage continuity</w:t>
            </w:r>
          </w:p>
        </w:tc>
      </w:tr>
      <w:tr>
        <w:trPr>
          <w:cantSplit/>
        </w:trPr>
        <w:tc>
          <w:tcPr>
            <w:tcW w:type="dxa" w:w="4392"/>
            <w:vAlign w:val="top"/>
            <w:shd w:fill="F3F6F7"/>
          </w:tcPr>
          <w:p>
            <w:pPr>
              <w:keepNext w:val="0"/>
              <w:spacing w:after="50" w:before="20" w:line="250" w:lineRule="auto"/>
            </w:pPr>
            <w:r>
              <w:rPr>
                <w:rFonts w:ascii="Arial" w:hAnsi="Arial"/>
                <w:b/>
                <w:sz w:val="18"/>
              </w:rPr>
              <w:t>F143  Schedule optimization</w:t>
            </w:r>
            <w:r>
              <w:rPr>
                <w:rFonts w:ascii="Arial" w:hAnsi="Arial"/>
                <w:b w:val="0"/>
                <w:sz w:val="18"/>
              </w:rPr>
              <w:br/>
              <w:t>Suggest changes that improve usable capacity while honoring promised times, breaks, skills and preferences. Support an owner goal of fewer hours or a day off subject to an explicit contribution floor.</w:t>
            </w:r>
          </w:p>
        </w:tc>
        <w:tc>
          <w:tcPr>
            <w:tcW w:type="dxa" w:w="3744"/>
            <w:vAlign w:val="top"/>
            <w:shd w:fill="F3F6F7"/>
          </w:tcPr>
          <w:p>
            <w:pPr>
              <w:keepNext w:val="0"/>
              <w:spacing w:after="50" w:before="20" w:line="250" w:lineRule="auto"/>
            </w:pPr>
            <w:r>
              <w:rPr>
                <w:rFonts w:ascii="Arial" w:hAnsi="Arial"/>
                <w:sz w:val="18"/>
              </w:rPr>
              <w:t>High quality scheduler and outcome data. Suggestions expose tradeoffs and require approval.</w:t>
            </w:r>
          </w:p>
        </w:tc>
        <w:tc>
          <w:tcPr>
            <w:tcW w:type="dxa" w:w="2088"/>
            <w:vAlign w:val="top"/>
            <w:shd w:fill="F3F6F7"/>
          </w:tcPr>
          <w:p>
            <w:pPr>
              <w:keepNext w:val="0"/>
              <w:spacing w:after="50" w:before="20" w:line="250" w:lineRule="auto"/>
            </w:pPr>
            <w:r>
              <w:rPr>
                <w:rFonts w:ascii="Arial" w:hAnsi="Arial"/>
                <w:sz w:val="18"/>
              </w:rPr>
              <w:t>Expansion (X)</w:t>
              <w:br/>
              <w:t>People: DATA UX</w:t>
              <w:br/>
              <w:t>Basis: H; better usable time</w:t>
            </w:r>
          </w:p>
        </w:tc>
      </w:tr>
      <w:tr>
        <w:trPr>
          <w:cantSplit/>
        </w:trPr>
        <w:tc>
          <w:tcPr>
            <w:tcW w:type="dxa" w:w="4392"/>
            <w:vAlign w:val="top"/>
          </w:tcPr>
          <w:p>
            <w:pPr>
              <w:keepNext w:val="0"/>
              <w:spacing w:after="50" w:before="20" w:line="250" w:lineRule="auto"/>
            </w:pPr>
            <w:r>
              <w:rPr>
                <w:rFonts w:ascii="Arial" w:hAnsi="Arial"/>
                <w:b/>
                <w:sz w:val="18"/>
              </w:rPr>
              <w:t>F144  Mobile service routes</w:t>
            </w:r>
            <w:r>
              <w:rPr>
                <w:rFonts w:ascii="Arial" w:hAnsi="Arial"/>
                <w:b w:val="0"/>
                <w:sz w:val="18"/>
              </w:rPr>
              <w:br/>
              <w:t>Coordinate travel time, geographic zones, setup and late-arrival updates for mobile beauty professionals.</w:t>
            </w:r>
          </w:p>
        </w:tc>
        <w:tc>
          <w:tcPr>
            <w:tcW w:type="dxa" w:w="3744"/>
            <w:vAlign w:val="top"/>
          </w:tcPr>
          <w:p>
            <w:pPr>
              <w:keepNext w:val="0"/>
              <w:spacing w:after="50" w:before="20" w:line="250" w:lineRule="auto"/>
            </w:pPr>
            <w:r>
              <w:rPr>
                <w:rFonts w:ascii="Arial" w:hAnsi="Arial"/>
                <w:sz w:val="18"/>
              </w:rPr>
              <w:t>Routing provider and location consent. Route estimates cannot override client commitments without approval.</w:t>
            </w:r>
          </w:p>
        </w:tc>
        <w:tc>
          <w:tcPr>
            <w:tcW w:type="dxa" w:w="2088"/>
            <w:vAlign w:val="top"/>
          </w:tcPr>
          <w:p>
            <w:pPr>
              <w:keepNext w:val="0"/>
              <w:spacing w:after="50" w:before="20" w:line="250" w:lineRule="auto"/>
            </w:pPr>
            <w:r>
              <w:rPr>
                <w:rFonts w:ascii="Arial" w:hAnsi="Arial"/>
                <w:sz w:val="18"/>
              </w:rPr>
              <w:t>Expansion (X)</w:t>
              <w:br/>
              <w:t>People: PART</w:t>
              <w:br/>
              <w:t>Basis: T; home services pattern</w:t>
            </w:r>
          </w:p>
        </w:tc>
      </w:tr>
      <w:tr>
        <w:trPr>
          <w:cantSplit/>
        </w:trPr>
        <w:tc>
          <w:tcPr>
            <w:tcW w:type="dxa" w:w="4392"/>
            <w:vAlign w:val="top"/>
            <w:shd w:fill="F3F6F7"/>
          </w:tcPr>
          <w:p>
            <w:pPr>
              <w:keepNext w:val="0"/>
              <w:spacing w:after="50" w:before="20" w:line="250" w:lineRule="auto"/>
            </w:pPr>
            <w:r>
              <w:rPr>
                <w:rFonts w:ascii="Arial" w:hAnsi="Arial"/>
                <w:b/>
                <w:sz w:val="18"/>
              </w:rPr>
              <w:t>F145  Constrained AI receptionist</w:t>
            </w:r>
            <w:r>
              <w:rPr>
                <w:rFonts w:ascii="Arial" w:hAnsi="Arial"/>
                <w:b w:val="0"/>
                <w:sz w:val="18"/>
              </w:rPr>
              <w:br/>
              <w:t>Answer approved business questions and handle permitted booking tasks, with identity checks and human handoff.</w:t>
            </w:r>
          </w:p>
        </w:tc>
        <w:tc>
          <w:tcPr>
            <w:tcW w:type="dxa" w:w="3744"/>
            <w:vAlign w:val="top"/>
            <w:shd w:fill="F3F6F7"/>
          </w:tcPr>
          <w:p>
            <w:pPr>
              <w:keepNext w:val="0"/>
              <w:spacing w:after="50" w:before="20" w:line="250" w:lineRule="auto"/>
            </w:pPr>
            <w:r>
              <w:rPr>
                <w:rFonts w:ascii="Arial" w:hAnsi="Arial"/>
                <w:sz w:val="18"/>
              </w:rPr>
              <w:t>Live scheduling tools and evaluations. Unknown prices or policies trigger clarification rather than invention.</w:t>
            </w:r>
          </w:p>
        </w:tc>
        <w:tc>
          <w:tcPr>
            <w:tcW w:type="dxa" w:w="2088"/>
            <w:vAlign w:val="top"/>
            <w:shd w:fill="F3F6F7"/>
          </w:tcPr>
          <w:p>
            <w:pPr>
              <w:keepNext w:val="0"/>
              <w:spacing w:after="50" w:before="20" w:line="250" w:lineRule="auto"/>
            </w:pPr>
            <w:r>
              <w:rPr>
                <w:rFonts w:ascii="Arial" w:hAnsi="Arial"/>
                <w:sz w:val="18"/>
              </w:rPr>
              <w:t>Growth (G)</w:t>
              <w:br/>
              <w:t>People: AI MSG OPS</w:t>
              <w:br/>
              <w:t>Basis: B; WB F64</w:t>
            </w:r>
          </w:p>
        </w:tc>
      </w:tr>
      <w:tr>
        <w:trPr>
          <w:cantSplit/>
        </w:trPr>
        <w:tc>
          <w:tcPr>
            <w:tcW w:type="dxa" w:w="4392"/>
            <w:vAlign w:val="top"/>
          </w:tcPr>
          <w:p>
            <w:pPr>
              <w:keepNext w:val="0"/>
              <w:spacing w:after="50" w:before="20" w:line="250" w:lineRule="auto"/>
            </w:pPr>
            <w:r>
              <w:rPr>
                <w:rFonts w:ascii="Arial" w:hAnsi="Arial"/>
                <w:b/>
                <w:sz w:val="18"/>
              </w:rPr>
              <w:t>F146  Reliable booking across channels</w:t>
            </w:r>
            <w:r>
              <w:rPr>
                <w:rFonts w:ascii="Arial" w:hAnsi="Arial"/>
                <w:b w:val="0"/>
                <w:sz w:val="18"/>
              </w:rPr>
              <w:br/>
              <w:t>Support consistent authorized actions across voice, SMS and web, with a visible receipt of exactly what changed.</w:t>
            </w:r>
          </w:p>
        </w:tc>
        <w:tc>
          <w:tcPr>
            <w:tcW w:type="dxa" w:w="3744"/>
            <w:vAlign w:val="top"/>
          </w:tcPr>
          <w:p>
            <w:pPr>
              <w:keepNext w:val="0"/>
              <w:spacing w:after="50" w:before="20" w:line="250" w:lineRule="auto"/>
            </w:pPr>
            <w:r>
              <w:rPr>
                <w:rFonts w:ascii="Arial" w:hAnsi="Arial"/>
                <w:sz w:val="18"/>
              </w:rPr>
              <w:t>Shared action tools, channel identity and confirmation rules. Channel switching does not create another booking.</w:t>
            </w:r>
          </w:p>
        </w:tc>
        <w:tc>
          <w:tcPr>
            <w:tcW w:type="dxa" w:w="2088"/>
            <w:vAlign w:val="top"/>
          </w:tcPr>
          <w:p>
            <w:pPr>
              <w:keepNext w:val="0"/>
              <w:spacing w:after="50" w:before="20" w:line="250" w:lineRule="auto"/>
            </w:pPr>
            <w:r>
              <w:rPr>
                <w:rFonts w:ascii="Arial" w:hAnsi="Arial"/>
                <w:sz w:val="18"/>
              </w:rPr>
              <w:t>Expansion (X)</w:t>
              <w:br/>
              <w:t>People: AI MSG SEC</w:t>
              <w:br/>
              <w:t>Basis: H; channel completeness</w:t>
            </w:r>
          </w:p>
        </w:tc>
      </w:tr>
      <w:tr>
        <w:trPr>
          <w:cantSplit/>
        </w:trPr>
        <w:tc>
          <w:tcPr>
            <w:tcW w:type="dxa" w:w="4392"/>
            <w:vAlign w:val="top"/>
            <w:shd w:fill="F3F6F7"/>
          </w:tcPr>
          <w:p>
            <w:pPr>
              <w:keepNext w:val="0"/>
              <w:spacing w:after="50" w:before="20" w:line="250" w:lineRule="auto"/>
            </w:pPr>
            <w:r>
              <w:rPr>
                <w:rFonts w:ascii="Arial" w:hAnsi="Arial"/>
                <w:b/>
                <w:sz w:val="18"/>
              </w:rPr>
              <w:t>F147  Assistant that acts in the current screen</w:t>
            </w:r>
            <w:r>
              <w:rPr>
                <w:rFonts w:ascii="Arial" w:hAnsi="Arial"/>
                <w:b w:val="0"/>
                <w:sz w:val="18"/>
              </w:rPr>
              <w:br/>
              <w:t>Understand the active visit or record, preview a proposed change and execute only authorized tools.</w:t>
            </w:r>
          </w:p>
        </w:tc>
        <w:tc>
          <w:tcPr>
            <w:tcW w:type="dxa" w:w="3744"/>
            <w:vAlign w:val="top"/>
            <w:shd w:fill="F3F6F7"/>
          </w:tcPr>
          <w:p>
            <w:pPr>
              <w:keepNext w:val="0"/>
              <w:spacing w:after="50" w:before="20" w:line="250" w:lineRule="auto"/>
            </w:pPr>
            <w:r>
              <w:rPr>
                <w:rFonts w:ascii="Arial" w:hAnsi="Arial"/>
                <w:sz w:val="18"/>
              </w:rPr>
              <w:t>Role-aware context and action logs. Unsupported actions are declined and consequential edits require confirmation.</w:t>
            </w:r>
          </w:p>
        </w:tc>
        <w:tc>
          <w:tcPr>
            <w:tcW w:type="dxa" w:w="2088"/>
            <w:vAlign w:val="top"/>
            <w:shd w:fill="F3F6F7"/>
          </w:tcPr>
          <w:p>
            <w:pPr>
              <w:keepNext w:val="0"/>
              <w:spacing w:after="50" w:before="20" w:line="250" w:lineRule="auto"/>
            </w:pPr>
            <w:r>
              <w:rPr>
                <w:rFonts w:ascii="Arial" w:hAnsi="Arial"/>
                <w:sz w:val="18"/>
              </w:rPr>
              <w:t>Growth (G)</w:t>
              <w:br/>
              <w:t>People: AI SEC</w:t>
              <w:br/>
              <w:t>Basis: I; WB F65</w:t>
            </w:r>
          </w:p>
        </w:tc>
      </w:tr>
      <w:tr>
        <w:trPr>
          <w:cantSplit/>
        </w:trPr>
        <w:tc>
          <w:tcPr>
            <w:tcW w:type="dxa" w:w="4392"/>
            <w:vAlign w:val="top"/>
          </w:tcPr>
          <w:p>
            <w:pPr>
              <w:keepNext w:val="0"/>
              <w:spacing w:after="50" w:before="20" w:line="250" w:lineRule="auto"/>
            </w:pPr>
            <w:r>
              <w:rPr>
                <w:rFonts w:ascii="Arial" w:hAnsi="Arial"/>
                <w:b/>
                <w:sz w:val="18"/>
              </w:rPr>
              <w:t>F148  Draft notes from dictation</w:t>
            </w:r>
            <w:r>
              <w:rPr>
                <w:rFonts w:ascii="Arial" w:hAnsi="Arial"/>
                <w:b w:val="0"/>
                <w:sz w:val="18"/>
              </w:rPr>
              <w:br/>
              <w:t>Turn consented practitioner dictation into a structured draft with source trace and editable sections.</w:t>
            </w:r>
          </w:p>
        </w:tc>
        <w:tc>
          <w:tcPr>
            <w:tcW w:type="dxa" w:w="3744"/>
            <w:vAlign w:val="top"/>
          </w:tcPr>
          <w:p>
            <w:pPr>
              <w:keepNext w:val="0"/>
              <w:spacing w:after="50" w:before="20" w:line="250" w:lineRule="auto"/>
            </w:pPr>
            <w:r>
              <w:rPr>
                <w:rFonts w:ascii="Arial" w:hAnsi="Arial"/>
                <w:sz w:val="18"/>
              </w:rPr>
              <w:t>Secure transcription and clinical review. The professional signs the note; uncertain terms remain flagged.</w:t>
            </w:r>
          </w:p>
        </w:tc>
        <w:tc>
          <w:tcPr>
            <w:tcW w:type="dxa" w:w="2088"/>
            <w:vAlign w:val="top"/>
          </w:tcPr>
          <w:p>
            <w:pPr>
              <w:keepNext w:val="0"/>
              <w:spacing w:after="50" w:before="20" w:line="250" w:lineRule="auto"/>
            </w:pPr>
            <w:r>
              <w:rPr>
                <w:rFonts w:ascii="Arial" w:hAnsi="Arial"/>
                <w:sz w:val="18"/>
              </w:rPr>
              <w:t>Expansion (X)</w:t>
              <w:br/>
              <w:t>People: AI CLIN SEC</w:t>
              <w:br/>
              <w:t>Basis: B; WB F66</w:t>
            </w:r>
          </w:p>
        </w:tc>
      </w:tr>
      <w:tr>
        <w:trPr>
          <w:cantSplit/>
        </w:trPr>
        <w:tc>
          <w:tcPr>
            <w:tcW w:type="dxa" w:w="4392"/>
            <w:vAlign w:val="top"/>
            <w:shd w:fill="F3F6F7"/>
          </w:tcPr>
          <w:p>
            <w:pPr>
              <w:keepNext w:val="0"/>
              <w:spacing w:after="50" w:before="20" w:line="250" w:lineRule="auto"/>
            </w:pPr>
            <w:r>
              <w:rPr>
                <w:rFonts w:ascii="Arial" w:hAnsi="Arial"/>
                <w:b/>
                <w:sz w:val="18"/>
              </w:rPr>
              <w:t>F149  Ask questions of business data</w:t>
            </w:r>
            <w:r>
              <w:rPr>
                <w:rFonts w:ascii="Arial" w:hAnsi="Arial"/>
                <w:b w:val="0"/>
                <w:sz w:val="18"/>
              </w:rPr>
              <w:br/>
              <w:t>Answer questions using governed metrics, declared filters and linked records, with no unrestricted database access.</w:t>
            </w:r>
          </w:p>
        </w:tc>
        <w:tc>
          <w:tcPr>
            <w:tcW w:type="dxa" w:w="3744"/>
            <w:vAlign w:val="top"/>
            <w:shd w:fill="F3F6F7"/>
          </w:tcPr>
          <w:p>
            <w:pPr>
              <w:keepNext w:val="0"/>
              <w:spacing w:after="50" w:before="20" w:line="250" w:lineRule="auto"/>
            </w:pPr>
            <w:r>
              <w:rPr>
                <w:rFonts w:ascii="Arial" w:hAnsi="Arial"/>
                <w:sz w:val="18"/>
              </w:rPr>
              <w:t>Metric layer and evaluation set. The answer reproduces a saved report or clearly says data are insufficient.</w:t>
            </w:r>
          </w:p>
        </w:tc>
        <w:tc>
          <w:tcPr>
            <w:tcW w:type="dxa" w:w="2088"/>
            <w:vAlign w:val="top"/>
            <w:shd w:fill="F3F6F7"/>
          </w:tcPr>
          <w:p>
            <w:pPr>
              <w:keepNext w:val="0"/>
              <w:spacing w:after="50" w:before="20" w:line="250" w:lineRule="auto"/>
            </w:pPr>
            <w:r>
              <w:rPr>
                <w:rFonts w:ascii="Arial" w:hAnsi="Arial"/>
                <w:sz w:val="18"/>
              </w:rPr>
              <w:t>Growth (G)</w:t>
              <w:br/>
              <w:t>People: AI DATA</w:t>
              <w:br/>
              <w:t>Basis: B; WB F65</w:t>
            </w:r>
          </w:p>
        </w:tc>
      </w:tr>
      <w:tr>
        <w:trPr>
          <w:cantSplit/>
        </w:trPr>
        <w:tc>
          <w:tcPr>
            <w:tcW w:type="dxa" w:w="4392"/>
            <w:vAlign w:val="top"/>
          </w:tcPr>
          <w:p>
            <w:pPr>
              <w:keepNext w:val="0"/>
              <w:spacing w:after="50" w:before="20" w:line="250" w:lineRule="auto"/>
            </w:pPr>
            <w:r>
              <w:rPr>
                <w:rFonts w:ascii="Arial" w:hAnsi="Arial"/>
                <w:b/>
                <w:sz w:val="18"/>
              </w:rPr>
              <w:t>F150  Forecast demand and staffing</w:t>
            </w:r>
            <w:r>
              <w:rPr>
                <w:rFonts w:ascii="Arial" w:hAnsi="Arial"/>
                <w:b w:val="0"/>
                <w:sz w:val="18"/>
              </w:rPr>
              <w:br/>
              <w:t>Estimate demand, cancellation exposure and resource use with uncertainty and comparison to simple baselines.</w:t>
            </w:r>
          </w:p>
        </w:tc>
        <w:tc>
          <w:tcPr>
            <w:tcW w:type="dxa" w:w="3744"/>
            <w:vAlign w:val="top"/>
          </w:tcPr>
          <w:p>
            <w:pPr>
              <w:keepNext w:val="0"/>
              <w:spacing w:after="50" w:before="20" w:line="250" w:lineRule="auto"/>
            </w:pPr>
            <w:r>
              <w:rPr>
                <w:rFonts w:ascii="Arial" w:hAnsi="Arial"/>
                <w:sz w:val="18"/>
              </w:rPr>
              <w:t>Sufficient history and monitoring. Forecasts are evaluated on future periods and degrade gracefully for new businesses.</w:t>
            </w:r>
          </w:p>
        </w:tc>
        <w:tc>
          <w:tcPr>
            <w:tcW w:type="dxa" w:w="2088"/>
            <w:vAlign w:val="top"/>
          </w:tcPr>
          <w:p>
            <w:pPr>
              <w:keepNext w:val="0"/>
              <w:spacing w:after="50" w:before="20" w:line="250" w:lineRule="auto"/>
            </w:pPr>
            <w:r>
              <w:rPr>
                <w:rFonts w:ascii="Arial" w:hAnsi="Arial"/>
                <w:sz w:val="18"/>
              </w:rPr>
              <w:t>Expansion (X)</w:t>
              <w:br/>
              <w:t>People: DATA</w:t>
              <w:br/>
              <w:t>Basis: H; predictive operations</w:t>
            </w:r>
          </w:p>
        </w:tc>
      </w:tr>
      <w:tr>
        <w:trPr>
          <w:cantSplit/>
        </w:trPr>
        <w:tc>
          <w:tcPr>
            <w:tcW w:type="dxa" w:w="4392"/>
            <w:vAlign w:val="top"/>
            <w:shd w:fill="F3F6F7"/>
          </w:tcPr>
          <w:p>
            <w:pPr>
              <w:keepNext w:val="0"/>
              <w:spacing w:after="50" w:before="20" w:line="250" w:lineRule="auto"/>
            </w:pPr>
            <w:r>
              <w:rPr>
                <w:rFonts w:ascii="Arial" w:hAnsi="Arial"/>
                <w:b/>
                <w:sz w:val="18"/>
              </w:rPr>
              <w:t>F151  What if business planning</w:t>
            </w:r>
            <w:r>
              <w:rPr>
                <w:rFonts w:ascii="Arial" w:hAnsi="Arial"/>
                <w:b w:val="0"/>
                <w:sz w:val="18"/>
              </w:rPr>
              <w:br/>
              <w:t>Preview hours, service mix, prices or staffing with explicit assumptions and ranges. Let the owner protect time off while choosing a minimum contribution goal.</w:t>
            </w:r>
          </w:p>
        </w:tc>
        <w:tc>
          <w:tcPr>
            <w:tcW w:type="dxa" w:w="3744"/>
            <w:vAlign w:val="top"/>
            <w:shd w:fill="F3F6F7"/>
          </w:tcPr>
          <w:p>
            <w:pPr>
              <w:keepNext w:val="0"/>
              <w:spacing w:after="50" w:before="20" w:line="250" w:lineRule="auto"/>
            </w:pPr>
            <w:r>
              <w:rPr>
                <w:rFonts w:ascii="Arial" w:hAnsi="Arial"/>
                <w:sz w:val="18"/>
              </w:rPr>
              <w:t>Trusted historical costs and explicit owner-entered assumptions; predictive forecasts are optional later. Scenarios never become actual forecasts without validation.</w:t>
            </w:r>
          </w:p>
        </w:tc>
        <w:tc>
          <w:tcPr>
            <w:tcW w:type="dxa" w:w="2088"/>
            <w:vAlign w:val="top"/>
            <w:shd w:fill="F3F6F7"/>
          </w:tcPr>
          <w:p>
            <w:pPr>
              <w:keepNext w:val="0"/>
              <w:spacing w:after="50" w:before="20" w:line="250" w:lineRule="auto"/>
            </w:pPr>
            <w:r>
              <w:rPr>
                <w:rFonts w:ascii="Arial" w:hAnsi="Arial"/>
                <w:sz w:val="18"/>
              </w:rPr>
              <w:t>Growth (G)</w:t>
              <w:br/>
              <w:t>People: DATA FIN</w:t>
              <w:br/>
              <w:t>Basis: T; decision tools</w:t>
            </w:r>
          </w:p>
        </w:tc>
      </w:tr>
      <w:tr>
        <w:trPr>
          <w:cantSplit/>
        </w:trPr>
        <w:tc>
          <w:tcPr>
            <w:tcW w:type="dxa" w:w="4392"/>
            <w:vAlign w:val="top"/>
          </w:tcPr>
          <w:p>
            <w:pPr>
              <w:keepNext w:val="0"/>
              <w:spacing w:after="50" w:before="20" w:line="250" w:lineRule="auto"/>
            </w:pPr>
            <w:r>
              <w:rPr>
                <w:rFonts w:ascii="Arial" w:hAnsi="Arial"/>
                <w:b/>
                <w:sz w:val="18"/>
              </w:rPr>
              <w:t>F152  Measured growth experiments</w:t>
            </w:r>
            <w:r>
              <w:rPr>
                <w:rFonts w:ascii="Arial" w:hAnsi="Arial"/>
                <w:b w:val="0"/>
                <w:sz w:val="18"/>
              </w:rPr>
              <w:br/>
              <w:t>Compare eligible marketing or rebooking approaches with holdouts and owner approval, tracking contribution and opt-outs.</w:t>
            </w:r>
          </w:p>
        </w:tc>
        <w:tc>
          <w:tcPr>
            <w:tcW w:type="dxa" w:w="3744"/>
            <w:vAlign w:val="top"/>
          </w:tcPr>
          <w:p>
            <w:pPr>
              <w:keepNext w:val="0"/>
              <w:spacing w:after="50" w:before="20" w:line="250" w:lineRule="auto"/>
            </w:pPr>
            <w:r>
              <w:rPr>
                <w:rFonts w:ascii="Arial" w:hAnsi="Arial"/>
                <w:sz w:val="18"/>
              </w:rPr>
              <w:t>Consent, allocation and outcome events. Results distinguish causal tests from simple before-and-after trends.</w:t>
            </w:r>
          </w:p>
        </w:tc>
        <w:tc>
          <w:tcPr>
            <w:tcW w:type="dxa" w:w="2088"/>
            <w:vAlign w:val="top"/>
          </w:tcPr>
          <w:p>
            <w:pPr>
              <w:keepNext w:val="0"/>
              <w:spacing w:after="50" w:before="20" w:line="250" w:lineRule="auto"/>
            </w:pPr>
            <w:r>
              <w:rPr>
                <w:rFonts w:ascii="Arial" w:hAnsi="Arial"/>
                <w:sz w:val="18"/>
              </w:rPr>
              <w:t>Growth (G)</w:t>
              <w:br/>
              <w:t>People: DATA MSG</w:t>
              <w:br/>
              <w:t>Basis: T; experiment discipline</w:t>
            </w:r>
          </w:p>
        </w:tc>
      </w:tr>
      <w:tr>
        <w:trPr>
          <w:cantSplit/>
        </w:trPr>
        <w:tc>
          <w:tcPr>
            <w:tcW w:type="dxa" w:w="4392"/>
            <w:vAlign w:val="top"/>
            <w:shd w:fill="F3F6F7"/>
          </w:tcPr>
          <w:p>
            <w:pPr>
              <w:keepNext w:val="0"/>
              <w:spacing w:after="50" w:before="20" w:line="250" w:lineRule="auto"/>
            </w:pPr>
            <w:r>
              <w:rPr>
                <w:rFonts w:ascii="Arial" w:hAnsi="Arial"/>
                <w:b/>
                <w:sz w:val="18"/>
              </w:rPr>
              <w:t>F153  Cancellation policy simulator</w:t>
            </w:r>
            <w:r>
              <w:rPr>
                <w:rFonts w:ascii="Arial" w:hAnsi="Arial"/>
                <w:b w:val="0"/>
                <w:sz w:val="18"/>
              </w:rPr>
              <w:br/>
              <w:t>Estimate the tradeoff between deposits, conversion, cancellations and recovered contribution for a proposed policy.</w:t>
            </w:r>
          </w:p>
        </w:tc>
        <w:tc>
          <w:tcPr>
            <w:tcW w:type="dxa" w:w="3744"/>
            <w:vAlign w:val="top"/>
            <w:shd w:fill="F3F6F7"/>
          </w:tcPr>
          <w:p>
            <w:pPr>
              <w:keepNext w:val="0"/>
              <w:spacing w:after="50" w:before="20" w:line="250" w:lineRule="auto"/>
            </w:pPr>
            <w:r>
              <w:rPr>
                <w:rFonts w:ascii="Arial" w:hAnsi="Arial"/>
                <w:sz w:val="18"/>
              </w:rPr>
              <w:t>Historical funnel and financial data. Policy changes are approved and effects are measured after rollout.</w:t>
            </w:r>
          </w:p>
        </w:tc>
        <w:tc>
          <w:tcPr>
            <w:tcW w:type="dxa" w:w="2088"/>
            <w:vAlign w:val="top"/>
            <w:shd w:fill="F3F6F7"/>
          </w:tcPr>
          <w:p>
            <w:pPr>
              <w:keepNext w:val="0"/>
              <w:spacing w:after="50" w:before="20" w:line="250" w:lineRule="auto"/>
            </w:pPr>
            <w:r>
              <w:rPr>
                <w:rFonts w:ascii="Arial" w:hAnsi="Arial"/>
                <w:sz w:val="18"/>
              </w:rPr>
              <w:t>Expansion (X)</w:t>
              <w:br/>
              <w:t>People: DATA LEG</w:t>
              <w:br/>
              <w:t>Basis: H; transparent policy design</w:t>
            </w:r>
          </w:p>
        </w:tc>
      </w:tr>
      <w:tr>
        <w:trPr>
          <w:cantSplit/>
        </w:trPr>
        <w:tc>
          <w:tcPr>
            <w:tcW w:type="dxa" w:w="4392"/>
            <w:vAlign w:val="top"/>
          </w:tcPr>
          <w:p>
            <w:pPr>
              <w:keepNext w:val="0"/>
              <w:spacing w:after="50" w:before="20" w:line="250" w:lineRule="auto"/>
            </w:pPr>
            <w:r>
              <w:rPr>
                <w:rFonts w:ascii="Arial" w:hAnsi="Arial"/>
                <w:b/>
                <w:sz w:val="18"/>
              </w:rPr>
              <w:t>F154  Service match assistant</w:t>
            </w:r>
            <w:r>
              <w:rPr>
                <w:rFonts w:ascii="Arial" w:hAnsi="Arial"/>
                <w:b w:val="0"/>
                <w:sz w:val="18"/>
              </w:rPr>
              <w:br/>
              <w:t>Help clients describe preferences and understand suitable service options from an approved catalog.</w:t>
            </w:r>
          </w:p>
        </w:tc>
        <w:tc>
          <w:tcPr>
            <w:tcW w:type="dxa" w:w="3744"/>
            <w:vAlign w:val="top"/>
          </w:tcPr>
          <w:p>
            <w:pPr>
              <w:keepNext w:val="0"/>
              <w:spacing w:after="50" w:before="20" w:line="250" w:lineRule="auto"/>
            </w:pPr>
            <w:r>
              <w:rPr>
                <w:rFonts w:ascii="Arial" w:hAnsi="Arial"/>
                <w:sz w:val="18"/>
              </w:rPr>
              <w:t>Approved content and escalation. Medical questions or ambiguous eligibility are referred to a qualified professional.</w:t>
            </w:r>
          </w:p>
        </w:tc>
        <w:tc>
          <w:tcPr>
            <w:tcW w:type="dxa" w:w="2088"/>
            <w:vAlign w:val="top"/>
          </w:tcPr>
          <w:p>
            <w:pPr>
              <w:keepNext w:val="0"/>
              <w:spacing w:after="50" w:before="20" w:line="250" w:lineRule="auto"/>
            </w:pPr>
            <w:r>
              <w:rPr>
                <w:rFonts w:ascii="Arial" w:hAnsi="Arial"/>
                <w:sz w:val="18"/>
              </w:rPr>
              <w:t>Expansion (X)</w:t>
              <w:br/>
              <w:t>People: AI CLIN</w:t>
              <w:br/>
              <w:t>Basis: H; service navigation</w:t>
            </w:r>
          </w:p>
        </w:tc>
      </w:tr>
      <w:tr>
        <w:trPr>
          <w:cantSplit/>
        </w:trPr>
        <w:tc>
          <w:tcPr>
            <w:tcW w:type="dxa" w:w="4392"/>
            <w:vAlign w:val="top"/>
            <w:shd w:fill="F3F6F7"/>
          </w:tcPr>
          <w:p>
            <w:pPr>
              <w:keepNext w:val="0"/>
              <w:spacing w:after="50" w:before="20" w:line="250" w:lineRule="auto"/>
            </w:pPr>
            <w:r>
              <w:rPr>
                <w:rFonts w:ascii="Arial" w:hAnsi="Arial"/>
                <w:b/>
                <w:sz w:val="18"/>
              </w:rPr>
              <w:t>F155  Purchasing recommendations</w:t>
            </w:r>
            <w:r>
              <w:rPr>
                <w:rFonts w:ascii="Arial" w:hAnsi="Arial"/>
                <w:b w:val="0"/>
                <w:sz w:val="18"/>
              </w:rPr>
              <w:br/>
              <w:t>Suggest replenishment quantities using stock, booked demand, supplier lead time and owner budget.</w:t>
            </w:r>
          </w:p>
        </w:tc>
        <w:tc>
          <w:tcPr>
            <w:tcW w:type="dxa" w:w="3744"/>
            <w:vAlign w:val="top"/>
            <w:shd w:fill="F3F6F7"/>
          </w:tcPr>
          <w:p>
            <w:pPr>
              <w:keepNext w:val="0"/>
              <w:spacing w:after="50" w:before="20" w:line="250" w:lineRule="auto"/>
            </w:pPr>
            <w:r>
              <w:rPr>
                <w:rFonts w:ascii="Arial" w:hAnsi="Arial"/>
                <w:sz w:val="18"/>
              </w:rPr>
              <w:t>Inventory forecasts and purchase orders. The owner approves costs and substitutions before ordering.</w:t>
            </w:r>
          </w:p>
        </w:tc>
        <w:tc>
          <w:tcPr>
            <w:tcW w:type="dxa" w:w="2088"/>
            <w:vAlign w:val="top"/>
            <w:shd w:fill="F3F6F7"/>
          </w:tcPr>
          <w:p>
            <w:pPr>
              <w:keepNext w:val="0"/>
              <w:spacing w:after="50" w:before="20" w:line="250" w:lineRule="auto"/>
            </w:pPr>
            <w:r>
              <w:rPr>
                <w:rFonts w:ascii="Arial" w:hAnsi="Arial"/>
                <w:sz w:val="18"/>
              </w:rPr>
              <w:t>Expansion (X)</w:t>
              <w:br/>
              <w:t>People: DATA OPS PART</w:t>
              <w:br/>
              <w:t>Basis: I; fewer stock surprises</w:t>
            </w:r>
          </w:p>
        </w:tc>
      </w:tr>
      <w:tr>
        <w:trPr>
          <w:cantSplit/>
        </w:trPr>
        <w:tc>
          <w:tcPr>
            <w:tcW w:type="dxa" w:w="4392"/>
            <w:vAlign w:val="top"/>
          </w:tcPr>
          <w:p>
            <w:pPr>
              <w:keepNext w:val="0"/>
              <w:spacing w:after="50" w:before="20" w:line="250" w:lineRule="auto"/>
            </w:pPr>
            <w:r>
              <w:rPr>
                <w:rFonts w:ascii="Arial" w:hAnsi="Arial"/>
                <w:b/>
                <w:sz w:val="18"/>
              </w:rPr>
              <w:t>F156  Expert template marketplace</w:t>
            </w:r>
            <w:r>
              <w:rPr>
                <w:rFonts w:ascii="Arial" w:hAnsi="Arial"/>
                <w:b w:val="0"/>
                <w:sz w:val="18"/>
              </w:rPr>
              <w:br/>
              <w:t>Allow vetted designers and qualified professionals to sell or share branded templates with version support.</w:t>
            </w:r>
          </w:p>
        </w:tc>
        <w:tc>
          <w:tcPr>
            <w:tcW w:type="dxa" w:w="3744"/>
            <w:vAlign w:val="top"/>
          </w:tcPr>
          <w:p>
            <w:pPr>
              <w:keepNext w:val="0"/>
              <w:spacing w:after="50" w:before="20" w:line="250" w:lineRule="auto"/>
            </w:pPr>
            <w:r>
              <w:rPr>
                <w:rFonts w:ascii="Arial" w:hAnsi="Arial"/>
                <w:sz w:val="18"/>
              </w:rPr>
              <w:t>Creator recruitment, licensing and review. Legal and clinical templates show jurisdiction and qualified reviewer.</w:t>
            </w:r>
          </w:p>
        </w:tc>
        <w:tc>
          <w:tcPr>
            <w:tcW w:type="dxa" w:w="2088"/>
            <w:vAlign w:val="top"/>
          </w:tcPr>
          <w:p>
            <w:pPr>
              <w:keepNext w:val="0"/>
              <w:spacing w:after="50" w:before="20" w:line="250" w:lineRule="auto"/>
            </w:pPr>
            <w:r>
              <w:rPr>
                <w:rFonts w:ascii="Arial" w:hAnsi="Arial"/>
                <w:sz w:val="18"/>
              </w:rPr>
              <w:t>Expansion (X)</w:t>
              <w:br/>
              <w:t>People: NET DES LEG CLIN</w:t>
              <w:br/>
              <w:t>Basis: T; template ecosystem</w:t>
            </w:r>
          </w:p>
        </w:tc>
      </w:tr>
      <w:tr>
        <w:trPr>
          <w:cantSplit/>
        </w:trPr>
        <w:tc>
          <w:tcPr>
            <w:tcW w:type="dxa" w:w="4392"/>
            <w:vAlign w:val="top"/>
            <w:shd w:fill="F3F6F7"/>
          </w:tcPr>
          <w:p>
            <w:pPr>
              <w:keepNext w:val="0"/>
              <w:spacing w:after="50" w:before="20" w:line="250" w:lineRule="auto"/>
            </w:pPr>
            <w:r>
              <w:rPr>
                <w:rFonts w:ascii="Arial" w:hAnsi="Arial"/>
                <w:b/>
                <w:sz w:val="18"/>
              </w:rPr>
              <w:t>F157  Client controlled care passport</w:t>
            </w:r>
            <w:r>
              <w:rPr>
                <w:rFonts w:ascii="Arial" w:hAnsi="Arial"/>
                <w:b w:val="0"/>
                <w:sz w:val="18"/>
              </w:rPr>
              <w:br/>
              <w:t>Let clients export selected service history and share time-limited access with another business.</w:t>
            </w:r>
          </w:p>
        </w:tc>
        <w:tc>
          <w:tcPr>
            <w:tcW w:type="dxa" w:w="3744"/>
            <w:vAlign w:val="top"/>
            <w:shd w:fill="F3F6F7"/>
          </w:tcPr>
          <w:p>
            <w:pPr>
              <w:keepNext w:val="0"/>
              <w:spacing w:after="50" w:before="20" w:line="250" w:lineRule="auto"/>
            </w:pPr>
            <w:r>
              <w:rPr>
                <w:rFonts w:ascii="Arial" w:hAnsi="Arial"/>
                <w:sz w:val="18"/>
              </w:rPr>
              <w:t>Explicit consent, identity and interoperability. No business can browse another's records without a grant.</w:t>
            </w:r>
          </w:p>
        </w:tc>
        <w:tc>
          <w:tcPr>
            <w:tcW w:type="dxa" w:w="2088"/>
            <w:vAlign w:val="top"/>
            <w:shd w:fill="F3F6F7"/>
          </w:tcPr>
          <w:p>
            <w:pPr>
              <w:keepNext w:val="0"/>
              <w:spacing w:after="50" w:before="20" w:line="250" w:lineRule="auto"/>
            </w:pPr>
            <w:r>
              <w:rPr>
                <w:rFonts w:ascii="Arial" w:hAnsi="Arial"/>
                <w:sz w:val="18"/>
              </w:rPr>
              <w:t>Expansion (X)</w:t>
              <w:br/>
              <w:t>People: SEC LEG; NET if exchange network</w:t>
              <w:br/>
              <w:t>Basis: H; portable client care</w:t>
            </w:r>
          </w:p>
        </w:tc>
      </w:tr>
      <w:tr>
        <w:trPr>
          <w:cantSplit/>
        </w:trPr>
        <w:tc>
          <w:tcPr>
            <w:tcW w:type="dxa" w:w="4392"/>
            <w:vAlign w:val="top"/>
          </w:tcPr>
          <w:p>
            <w:pPr>
              <w:keepNext w:val="0"/>
              <w:spacing w:after="50" w:before="20" w:line="250" w:lineRule="auto"/>
            </w:pPr>
            <w:r>
              <w:rPr>
                <w:rFonts w:ascii="Arial" w:hAnsi="Arial"/>
                <w:b/>
                <w:sz w:val="18"/>
              </w:rPr>
              <w:t>F158  Practitioner relocation workflow</w:t>
            </w:r>
            <w:r>
              <w:rPr>
                <w:rFonts w:ascii="Arial" w:hAnsi="Arial"/>
                <w:b w:val="0"/>
                <w:sz w:val="18"/>
              </w:rPr>
              <w:br/>
              <w:t>Help a practitioner leave or move location using the business's lawful client-ownership and communication rules.</w:t>
            </w:r>
          </w:p>
        </w:tc>
        <w:tc>
          <w:tcPr>
            <w:tcW w:type="dxa" w:w="3744"/>
            <w:vAlign w:val="top"/>
          </w:tcPr>
          <w:p>
            <w:pPr>
              <w:keepNext w:val="0"/>
              <w:spacing w:after="50" w:before="20" w:line="250" w:lineRule="auto"/>
            </w:pPr>
            <w:r>
              <w:rPr>
                <w:rFonts w:ascii="Arial" w:hAnsi="Arial"/>
                <w:sz w:val="18"/>
              </w:rPr>
              <w:t>Contract review and record permissions. Exports and client invitations require the appropriate owner's authorization.</w:t>
            </w:r>
          </w:p>
        </w:tc>
        <w:tc>
          <w:tcPr>
            <w:tcW w:type="dxa" w:w="2088"/>
            <w:vAlign w:val="top"/>
          </w:tcPr>
          <w:p>
            <w:pPr>
              <w:keepNext w:val="0"/>
              <w:spacing w:after="50" w:before="20" w:line="250" w:lineRule="auto"/>
            </w:pPr>
            <w:r>
              <w:rPr>
                <w:rFonts w:ascii="Arial" w:hAnsi="Arial"/>
                <w:sz w:val="18"/>
              </w:rPr>
              <w:t>Expansion (X)</w:t>
              <w:br/>
              <w:t>People: LEG MIG</w:t>
              <w:br/>
              <w:t>Basis: H; respectful transitions</w:t>
            </w:r>
          </w:p>
        </w:tc>
      </w:tr>
      <w:tr>
        <w:trPr>
          <w:cantSplit/>
        </w:trPr>
        <w:tc>
          <w:tcPr>
            <w:tcW w:type="dxa" w:w="4392"/>
            <w:vAlign w:val="top"/>
            <w:shd w:fill="F3F6F7"/>
          </w:tcPr>
          <w:p>
            <w:pPr>
              <w:keepNext w:val="0"/>
              <w:spacing w:after="50" w:before="20" w:line="250" w:lineRule="auto"/>
            </w:pPr>
            <w:r>
              <w:rPr>
                <w:rFonts w:ascii="Arial" w:hAnsi="Arial"/>
                <w:b/>
                <w:sz w:val="18"/>
              </w:rPr>
              <w:t>F159  Recovery operations and security assurance</w:t>
            </w:r>
            <w:r>
              <w:rPr>
                <w:rFonts w:ascii="Arial" w:hAnsi="Arial"/>
                <w:b w:val="0"/>
                <w:sz w:val="18"/>
              </w:rPr>
              <w:br/>
              <w:t>Implement backup restore drills, incident response, access reviews, deletion workflows and an on-call rotation.</w:t>
            </w:r>
          </w:p>
        </w:tc>
        <w:tc>
          <w:tcPr>
            <w:tcW w:type="dxa" w:w="3744"/>
            <w:vAlign w:val="top"/>
            <w:shd w:fill="F3F6F7"/>
          </w:tcPr>
          <w:p>
            <w:pPr>
              <w:keepNext w:val="0"/>
              <w:spacing w:after="50" w:before="20" w:line="250" w:lineRule="auto"/>
            </w:pPr>
            <w:r>
              <w:rPr>
                <w:rFonts w:ascii="Arial" w:hAnsi="Arial"/>
                <w:sz w:val="18"/>
              </w:rPr>
              <w:t>Operational ownership. Restore exercises prove critical bookings and balances can be recovered within agreed targets.</w:t>
            </w:r>
          </w:p>
        </w:tc>
        <w:tc>
          <w:tcPr>
            <w:tcW w:type="dxa" w:w="2088"/>
            <w:vAlign w:val="top"/>
            <w:shd w:fill="F3F6F7"/>
          </w:tcPr>
          <w:p>
            <w:pPr>
              <w:keepNext w:val="0"/>
              <w:spacing w:after="50" w:before="20" w:line="250" w:lineRule="auto"/>
            </w:pPr>
            <w:r>
              <w:rPr>
                <w:rFonts w:ascii="Arial" w:hAnsi="Arial"/>
                <w:sz w:val="18"/>
              </w:rPr>
              <w:t>Foundation (F)</w:t>
              <w:br/>
              <w:t>People: SEC OPS</w:t>
              <w:br/>
              <w:t>Basis: Foundation</w:t>
            </w:r>
          </w:p>
        </w:tc>
      </w:tr>
      <w:tr>
        <w:trPr>
          <w:cantSplit/>
        </w:trPr>
        <w:tc>
          <w:tcPr>
            <w:tcW w:type="dxa" w:w="4392"/>
            <w:vAlign w:val="top"/>
          </w:tcPr>
          <w:p>
            <w:pPr>
              <w:keepNext w:val="0"/>
              <w:spacing w:after="50" w:before="20" w:line="250" w:lineRule="auto"/>
            </w:pPr>
            <w:r>
              <w:rPr>
                <w:rFonts w:ascii="Arial" w:hAnsi="Arial"/>
                <w:b/>
                <w:sz w:val="18"/>
              </w:rPr>
              <w:t>F160  Enterprise administration</w:t>
            </w:r>
            <w:r>
              <w:rPr>
                <w:rFonts w:ascii="Arial" w:hAnsi="Arial"/>
                <w:b w:val="0"/>
                <w:sz w:val="18"/>
              </w:rPr>
              <w:br/>
              <w:t>Provide SSO, provisioning, location-level roles, audit exports and contractual data controls for larger groups.</w:t>
            </w:r>
          </w:p>
        </w:tc>
        <w:tc>
          <w:tcPr>
            <w:tcW w:type="dxa" w:w="3744"/>
            <w:vAlign w:val="top"/>
          </w:tcPr>
          <w:p>
            <w:pPr>
              <w:keepNext w:val="0"/>
              <w:spacing w:after="50" w:before="20" w:line="250" w:lineRule="auto"/>
            </w:pPr>
            <w:r>
              <w:rPr>
                <w:rFonts w:ascii="Arial" w:hAnsi="Arial"/>
                <w:sz w:val="18"/>
              </w:rPr>
              <w:t>Enterprise identity partners and security work. Deprovisioning and delegated access are tested end to end.</w:t>
            </w:r>
          </w:p>
        </w:tc>
        <w:tc>
          <w:tcPr>
            <w:tcW w:type="dxa" w:w="2088"/>
            <w:vAlign w:val="top"/>
          </w:tcPr>
          <w:p>
            <w:pPr>
              <w:keepNext w:val="0"/>
              <w:spacing w:after="50" w:before="20" w:line="250" w:lineRule="auto"/>
            </w:pPr>
            <w:r>
              <w:rPr>
                <w:rFonts w:ascii="Arial" w:hAnsi="Arial"/>
                <w:sz w:val="18"/>
              </w:rPr>
              <w:t>Expansion (X)</w:t>
              <w:br/>
              <w:t>People: SEC PART</w:t>
              <w:br/>
              <w:t>Basis: B; enterprise operations</w:t>
            </w:r>
          </w:p>
        </w:tc>
      </w:tr>
      <w:tr>
        <w:trPr>
          <w:cantSplit/>
        </w:trPr>
        <w:tc>
          <w:tcPr>
            <w:tcW w:type="dxa" w:w="4392"/>
            <w:vAlign w:val="top"/>
            <w:shd w:fill="F3F6F7"/>
          </w:tcPr>
          <w:p>
            <w:pPr>
              <w:keepNext w:val="0"/>
              <w:spacing w:after="50" w:before="20" w:line="250" w:lineRule="auto"/>
            </w:pPr>
            <w:r>
              <w:rPr>
                <w:rFonts w:ascii="Arial" w:hAnsi="Arial"/>
                <w:b/>
                <w:sz w:val="18"/>
              </w:rPr>
              <w:t>F161  Medical practice records and signoff</w:t>
            </w:r>
            <w:r>
              <w:rPr>
                <w:rFonts w:ascii="Arial" w:hAnsi="Arial"/>
                <w:b w:val="0"/>
                <w:sz w:val="18"/>
              </w:rPr>
              <w:br/>
              <w:t>Support structured charts, clinician review, medical director workflow and governed clinical record access.</w:t>
            </w:r>
          </w:p>
        </w:tc>
        <w:tc>
          <w:tcPr>
            <w:tcW w:type="dxa" w:w="3744"/>
            <w:vAlign w:val="top"/>
            <w:shd w:fill="F3F6F7"/>
          </w:tcPr>
          <w:p>
            <w:pPr>
              <w:keepNext w:val="0"/>
              <w:spacing w:after="50" w:before="20" w:line="250" w:lineRule="auto"/>
            </w:pPr>
            <w:r>
              <w:rPr>
                <w:rFonts w:ascii="Arial" w:hAnsi="Arial"/>
                <w:sz w:val="18"/>
              </w:rPr>
              <w:t>Healthcare counsel, licensed clinical advisers and appropriate vendor contracts. Scope is assessed per practice.</w:t>
            </w:r>
          </w:p>
        </w:tc>
        <w:tc>
          <w:tcPr>
            <w:tcW w:type="dxa" w:w="2088"/>
            <w:vAlign w:val="top"/>
            <w:shd w:fill="F3F6F7"/>
          </w:tcPr>
          <w:p>
            <w:pPr>
              <w:keepNext w:val="0"/>
              <w:spacing w:after="50" w:before="20" w:line="250" w:lineRule="auto"/>
            </w:pPr>
            <w:r>
              <w:rPr>
                <w:rFonts w:ascii="Arial" w:hAnsi="Arial"/>
                <w:sz w:val="18"/>
              </w:rPr>
              <w:t>Expansion (X)</w:t>
              <w:br/>
              <w:t>People: CLIN LEG SEC</w:t>
              <w:br/>
              <w:t>Basis: B; WB F26 F27 R01</w:t>
            </w:r>
          </w:p>
        </w:tc>
      </w:tr>
      <w:tr>
        <w:trPr>
          <w:cantSplit/>
        </w:trPr>
        <w:tc>
          <w:tcPr>
            <w:tcW w:type="dxa" w:w="4392"/>
            <w:vAlign w:val="top"/>
          </w:tcPr>
          <w:p>
            <w:pPr>
              <w:keepNext w:val="0"/>
              <w:spacing w:after="50" w:before="20" w:line="250" w:lineRule="auto"/>
            </w:pPr>
            <w:r>
              <w:rPr>
                <w:rFonts w:ascii="Arial" w:hAnsi="Arial"/>
                <w:b/>
                <w:sz w:val="18"/>
              </w:rPr>
              <w:t>F162  Training and qualification records</w:t>
            </w:r>
            <w:r>
              <w:rPr>
                <w:rFonts w:ascii="Arial" w:hAnsi="Arial"/>
                <w:b w:val="0"/>
                <w:sz w:val="18"/>
              </w:rPr>
              <w:br/>
              <w:t>Track certificates, expiration dates, equipment training and authorized services for staff.</w:t>
            </w:r>
          </w:p>
        </w:tc>
        <w:tc>
          <w:tcPr>
            <w:tcW w:type="dxa" w:w="3744"/>
            <w:vAlign w:val="top"/>
          </w:tcPr>
          <w:p>
            <w:pPr>
              <w:keepNext w:val="0"/>
              <w:spacing w:after="50" w:before="20" w:line="250" w:lineRule="auto"/>
            </w:pPr>
            <w:r>
              <w:rPr>
                <w:rFonts w:ascii="Arial" w:hAnsi="Arial"/>
                <w:sz w:val="18"/>
              </w:rPr>
              <w:t>Professional rule ownership. Expired credentials trigger review, without claiming to certify competence.</w:t>
            </w:r>
          </w:p>
        </w:tc>
        <w:tc>
          <w:tcPr>
            <w:tcW w:type="dxa" w:w="2088"/>
            <w:vAlign w:val="top"/>
          </w:tcPr>
          <w:p>
            <w:pPr>
              <w:keepNext w:val="0"/>
              <w:spacing w:after="50" w:before="20" w:line="250" w:lineRule="auto"/>
            </w:pPr>
            <w:r>
              <w:rPr>
                <w:rFonts w:ascii="Arial" w:hAnsi="Arial"/>
                <w:sz w:val="18"/>
              </w:rPr>
              <w:t>Expansion (X)</w:t>
              <w:br/>
              <w:t>People: CLIN OPS</w:t>
              <w:br/>
              <w:t>Basis: T; readiness management</w:t>
            </w:r>
          </w:p>
        </w:tc>
      </w:tr>
      <w:tr>
        <w:trPr>
          <w:cantSplit/>
        </w:trPr>
        <w:tc>
          <w:tcPr>
            <w:tcW w:type="dxa" w:w="4392"/>
            <w:vAlign w:val="top"/>
            <w:shd w:fill="F3F6F7"/>
          </w:tcPr>
          <w:p>
            <w:pPr>
              <w:keepNext w:val="0"/>
              <w:spacing w:after="50" w:before="20" w:line="250" w:lineRule="auto"/>
            </w:pPr>
            <w:r>
              <w:rPr>
                <w:rFonts w:ascii="Arial" w:hAnsi="Arial"/>
                <w:b/>
                <w:sz w:val="18"/>
              </w:rPr>
              <w:t>F163  Distributor and scale integrations</w:t>
            </w:r>
            <w:r>
              <w:rPr>
                <w:rFonts w:ascii="Arial" w:hAnsi="Arial"/>
                <w:b w:val="0"/>
                <w:sz w:val="18"/>
              </w:rPr>
              <w:br/>
              <w:t>Connect approved suppliers, inventory feeds and supported weighing devices to receiving and service costing.</w:t>
            </w:r>
          </w:p>
        </w:tc>
        <w:tc>
          <w:tcPr>
            <w:tcW w:type="dxa" w:w="3744"/>
            <w:vAlign w:val="top"/>
            <w:shd w:fill="F3F6F7"/>
          </w:tcPr>
          <w:p>
            <w:pPr>
              <w:keepNext w:val="0"/>
              <w:spacing w:after="50" w:before="20" w:line="250" w:lineRule="auto"/>
            </w:pPr>
            <w:r>
              <w:rPr>
                <w:rFonts w:ascii="Arial" w:hAnsi="Arial"/>
                <w:sz w:val="18"/>
              </w:rPr>
              <w:t>Commercial partners and hardware support. Disconnects preserve manual operation and never fabricate stock counts.</w:t>
            </w:r>
          </w:p>
        </w:tc>
        <w:tc>
          <w:tcPr>
            <w:tcW w:type="dxa" w:w="2088"/>
            <w:vAlign w:val="top"/>
            <w:shd w:fill="F3F6F7"/>
          </w:tcPr>
          <w:p>
            <w:pPr>
              <w:keepNext w:val="0"/>
              <w:spacing w:after="50" w:before="20" w:line="250" w:lineRule="auto"/>
            </w:pPr>
            <w:r>
              <w:rPr>
                <w:rFonts w:ascii="Arial" w:hAnsi="Arial"/>
                <w:sz w:val="18"/>
              </w:rPr>
              <w:t>Expansion (X)</w:t>
              <w:br/>
              <w:t>People: PART OPS</w:t>
              <w:br/>
              <w:t>Basis: B; R06 R07</w:t>
            </w:r>
          </w:p>
        </w:tc>
      </w:tr>
      <w:tr>
        <w:trPr>
          <w:cantSplit/>
        </w:trPr>
        <w:tc>
          <w:tcPr>
            <w:tcW w:type="dxa" w:w="4392"/>
            <w:vAlign w:val="top"/>
          </w:tcPr>
          <w:p>
            <w:pPr>
              <w:keepNext w:val="0"/>
              <w:spacing w:after="50" w:before="20" w:line="250" w:lineRule="auto"/>
            </w:pPr>
            <w:r>
              <w:rPr>
                <w:rFonts w:ascii="Arial" w:hAnsi="Arial"/>
                <w:b/>
                <w:sz w:val="18"/>
              </w:rPr>
              <w:t>F164  Staff coverage exchanges</w:t>
            </w:r>
            <w:r>
              <w:rPr>
                <w:rFonts w:ascii="Arial" w:hAnsi="Arial"/>
                <w:b w:val="0"/>
                <w:sz w:val="18"/>
              </w:rPr>
              <w:br/>
              <w:t>Invite qualified internal or approved substitute staff to cover a shift with access limited to that assignment.</w:t>
            </w:r>
          </w:p>
        </w:tc>
        <w:tc>
          <w:tcPr>
            <w:tcW w:type="dxa" w:w="3744"/>
            <w:vAlign w:val="top"/>
          </w:tcPr>
          <w:p>
            <w:pPr>
              <w:keepNext w:val="0"/>
              <w:spacing w:after="50" w:before="20" w:line="250" w:lineRule="auto"/>
            </w:pPr>
            <w:r>
              <w:rPr>
                <w:rFonts w:ascii="Arial" w:hAnsi="Arial"/>
                <w:sz w:val="18"/>
              </w:rPr>
              <w:t>Eligibility, contracts and payout rules. Coverage does not expose the full client database to a substitute.</w:t>
            </w:r>
          </w:p>
        </w:tc>
        <w:tc>
          <w:tcPr>
            <w:tcW w:type="dxa" w:w="2088"/>
            <w:vAlign w:val="top"/>
          </w:tcPr>
          <w:p>
            <w:pPr>
              <w:keepNext w:val="0"/>
              <w:spacing w:after="50" w:before="20" w:line="250" w:lineRule="auto"/>
            </w:pPr>
            <w:r>
              <w:rPr>
                <w:rFonts w:ascii="Arial" w:hAnsi="Arial"/>
                <w:sz w:val="18"/>
              </w:rPr>
              <w:t>Expansion (X)</w:t>
              <w:br/>
              <w:t>People: LEG OPS; NET for external substitutes</w:t>
              <w:br/>
              <w:t>Basis: H; workforce resilience</w:t>
            </w:r>
          </w:p>
        </w:tc>
      </w:tr>
      <w:tr>
        <w:trPr>
          <w:cantSplit/>
        </w:trPr>
        <w:tc>
          <w:tcPr>
            <w:tcW w:type="dxa" w:w="4392"/>
            <w:vAlign w:val="top"/>
            <w:shd w:fill="F3F6F7"/>
          </w:tcPr>
          <w:p>
            <w:pPr>
              <w:keepNext w:val="0"/>
              <w:spacing w:after="50" w:before="20" w:line="250" w:lineRule="auto"/>
            </w:pPr>
            <w:r>
              <w:rPr>
                <w:rFonts w:ascii="Arial" w:hAnsi="Arial"/>
                <w:b/>
                <w:sz w:val="18"/>
              </w:rPr>
              <w:t>F165  Explainable return likelihood</w:t>
            </w:r>
            <w:r>
              <w:rPr>
                <w:rFonts w:ascii="Arial" w:hAnsi="Arial"/>
                <w:b w:val="0"/>
                <w:sz w:val="18"/>
              </w:rPr>
              <w:br/>
              <w:t>Rank optional outreach candidates using prior visit cadence and explicit preferences, with reasons and opt-outs.</w:t>
            </w:r>
          </w:p>
        </w:tc>
        <w:tc>
          <w:tcPr>
            <w:tcW w:type="dxa" w:w="3744"/>
            <w:vAlign w:val="top"/>
            <w:shd w:fill="F3F6F7"/>
          </w:tcPr>
          <w:p>
            <w:pPr>
              <w:keepNext w:val="0"/>
              <w:spacing w:after="50" w:before="20" w:line="250" w:lineRule="auto"/>
            </w:pPr>
            <w:r>
              <w:rPr>
                <w:rFonts w:ascii="Arial" w:hAnsi="Arial"/>
                <w:sz w:val="18"/>
              </w:rPr>
              <w:t>Sufficient data and fairness review. No sensitive characteristics or opaque client value labels are exposed.</w:t>
            </w:r>
          </w:p>
        </w:tc>
        <w:tc>
          <w:tcPr>
            <w:tcW w:type="dxa" w:w="2088"/>
            <w:vAlign w:val="top"/>
            <w:shd w:fill="F3F6F7"/>
          </w:tcPr>
          <w:p>
            <w:pPr>
              <w:keepNext w:val="0"/>
              <w:spacing w:after="50" w:before="20" w:line="250" w:lineRule="auto"/>
            </w:pPr>
            <w:r>
              <w:rPr>
                <w:rFonts w:ascii="Arial" w:hAnsi="Arial"/>
                <w:sz w:val="18"/>
              </w:rPr>
              <w:t>Expansion (X)</w:t>
              <w:br/>
              <w:t>People: DATA LEG</w:t>
              <w:br/>
              <w:t>Basis: H; retention support</w:t>
            </w:r>
          </w:p>
        </w:tc>
      </w:tr>
      <w:tr>
        <w:trPr>
          <w:cantSplit/>
        </w:trPr>
        <w:tc>
          <w:tcPr>
            <w:tcW w:type="dxa" w:w="4392"/>
            <w:vAlign w:val="top"/>
          </w:tcPr>
          <w:p>
            <w:pPr>
              <w:keepNext w:val="0"/>
              <w:spacing w:after="50" w:before="20" w:line="250" w:lineRule="auto"/>
            </w:pPr>
            <w:r>
              <w:rPr>
                <w:rFonts w:ascii="Arial" w:hAnsi="Arial"/>
                <w:b/>
                <w:sz w:val="18"/>
              </w:rPr>
              <w:t>F166  Brand design assistant</w:t>
            </w:r>
            <w:r>
              <w:rPr>
                <w:rFonts w:ascii="Arial" w:hAnsi="Arial"/>
                <w:b w:val="0"/>
                <w:sz w:val="18"/>
              </w:rPr>
              <w:br/>
              <w:t>Suggest typography, layout and tone from owner-provided assets, then preview across approved templates.</w:t>
            </w:r>
          </w:p>
        </w:tc>
        <w:tc>
          <w:tcPr>
            <w:tcW w:type="dxa" w:w="3744"/>
            <w:vAlign w:val="top"/>
          </w:tcPr>
          <w:p>
            <w:pPr>
              <w:keepNext w:val="0"/>
              <w:spacing w:after="50" w:before="20" w:line="250" w:lineRule="auto"/>
            </w:pPr>
            <w:r>
              <w:rPr>
                <w:rFonts w:ascii="Arial" w:hAnsi="Arial"/>
                <w:sz w:val="18"/>
              </w:rPr>
              <w:t>Design review and licensed assets. Outputs meet accessibility checks and require owner publication.</w:t>
            </w:r>
          </w:p>
        </w:tc>
        <w:tc>
          <w:tcPr>
            <w:tcW w:type="dxa" w:w="2088"/>
            <w:vAlign w:val="top"/>
          </w:tcPr>
          <w:p>
            <w:pPr>
              <w:keepNext w:val="0"/>
              <w:spacing w:after="50" w:before="20" w:line="250" w:lineRule="auto"/>
            </w:pPr>
            <w:r>
              <w:rPr>
                <w:rFonts w:ascii="Arial" w:hAnsi="Arial"/>
                <w:sz w:val="18"/>
              </w:rPr>
              <w:t>Growth (G)</w:t>
              <w:br/>
              <w:t>People: AI DES UX</w:t>
              <w:br/>
              <w:t>Basis: T; Canva pattern</w:t>
            </w:r>
          </w:p>
        </w:tc>
      </w:tr>
      <w:tr>
        <w:trPr>
          <w:cantSplit/>
        </w:trPr>
        <w:tc>
          <w:tcPr>
            <w:tcW w:type="dxa" w:w="4392"/>
            <w:vAlign w:val="top"/>
            <w:shd w:fill="F3F6F7"/>
          </w:tcPr>
          <w:p>
            <w:pPr>
              <w:keepNext w:val="0"/>
              <w:spacing w:after="50" w:before="20" w:line="250" w:lineRule="auto"/>
            </w:pPr>
            <w:r>
              <w:rPr>
                <w:rFonts w:ascii="Arial" w:hAnsi="Arial"/>
                <w:b/>
                <w:sz w:val="18"/>
              </w:rPr>
              <w:t>F167  Country specific operations</w:t>
            </w:r>
            <w:r>
              <w:rPr>
                <w:rFonts w:ascii="Arial" w:hAnsi="Arial"/>
                <w:b w:val="0"/>
                <w:sz w:val="18"/>
              </w:rPr>
              <w:br/>
              <w:t>Add local currencies, tax, messaging, payment and record requirements market by market.</w:t>
            </w:r>
          </w:p>
        </w:tc>
        <w:tc>
          <w:tcPr>
            <w:tcW w:type="dxa" w:w="3744"/>
            <w:vAlign w:val="top"/>
            <w:shd w:fill="F3F6F7"/>
          </w:tcPr>
          <w:p>
            <w:pPr>
              <w:keepNext w:val="0"/>
              <w:spacing w:after="50" w:before="20" w:line="250" w:lineRule="auto"/>
            </w:pPr>
            <w:r>
              <w:rPr>
                <w:rFonts w:ascii="Arial" w:hAnsi="Arial"/>
                <w:sz w:val="18"/>
              </w:rPr>
              <w:t>Local partners and counsel. Every supported country's operating and support processes are owned.</w:t>
            </w:r>
          </w:p>
        </w:tc>
        <w:tc>
          <w:tcPr>
            <w:tcW w:type="dxa" w:w="2088"/>
            <w:vAlign w:val="top"/>
            <w:shd w:fill="F3F6F7"/>
          </w:tcPr>
          <w:p>
            <w:pPr>
              <w:keepNext w:val="0"/>
              <w:spacing w:after="50" w:before="20" w:line="250" w:lineRule="auto"/>
            </w:pPr>
            <w:r>
              <w:rPr>
                <w:rFonts w:ascii="Arial" w:hAnsi="Arial"/>
                <w:sz w:val="18"/>
              </w:rPr>
              <w:t>Expansion (X)</w:t>
              <w:br/>
              <w:t>People: LEG FIN LANG PART</w:t>
              <w:br/>
              <w:t>Basis: B; international expansion</w:t>
            </w:r>
          </w:p>
        </w:tc>
      </w:tr>
      <w:tr>
        <w:trPr>
          <w:cantSplit/>
        </w:trPr>
        <w:tc>
          <w:tcPr>
            <w:tcW w:type="dxa" w:w="4392"/>
            <w:vAlign w:val="top"/>
          </w:tcPr>
          <w:p>
            <w:pPr>
              <w:keepNext w:val="0"/>
              <w:spacing w:after="50" w:before="20" w:line="250" w:lineRule="auto"/>
            </w:pPr>
            <w:r>
              <w:rPr>
                <w:rFonts w:ascii="Arial" w:hAnsi="Arial"/>
                <w:b/>
                <w:sz w:val="18"/>
              </w:rPr>
              <w:t>F168  Bridal and event workspace</w:t>
            </w:r>
            <w:r>
              <w:rPr>
                <w:rFonts w:ascii="Arial" w:hAnsi="Arial"/>
                <w:b w:val="0"/>
                <w:sz w:val="18"/>
              </w:rPr>
              <w:br/>
              <w:t>Coordinate multiple clients, trials, shared timelines, contracts, travel, assistants and staged payments.</w:t>
            </w:r>
          </w:p>
        </w:tc>
        <w:tc>
          <w:tcPr>
            <w:tcW w:type="dxa" w:w="3744"/>
            <w:vAlign w:val="top"/>
          </w:tcPr>
          <w:p>
            <w:pPr>
              <w:keepNext w:val="0"/>
              <w:spacing w:after="50" w:before="20" w:line="250" w:lineRule="auto"/>
            </w:pPr>
            <w:r>
              <w:rPr>
                <w:rFonts w:ascii="Arial" w:hAnsi="Arial"/>
                <w:sz w:val="18"/>
              </w:rPr>
              <w:t>Group scheduling, proposals and role controls. Individual privacy survives shared event administration.</w:t>
            </w:r>
          </w:p>
        </w:tc>
        <w:tc>
          <w:tcPr>
            <w:tcW w:type="dxa" w:w="2088"/>
            <w:vAlign w:val="top"/>
          </w:tcPr>
          <w:p>
            <w:pPr>
              <w:keepNext w:val="0"/>
              <w:spacing w:after="50" w:before="20" w:line="250" w:lineRule="auto"/>
            </w:pPr>
            <w:r>
              <w:rPr>
                <w:rFonts w:ascii="Arial" w:hAnsi="Arial"/>
                <w:sz w:val="18"/>
              </w:rPr>
              <w:t>Expansion (X)</w:t>
              <w:br/>
              <w:t>People: LEG PART</w:t>
              <w:br/>
              <w:t>Basis: T; event business patterns</w:t>
            </w:r>
          </w:p>
        </w:tc>
      </w:tr>
      <w:tr>
        <w:trPr>
          <w:cantSplit/>
        </w:trPr>
        <w:tc>
          <w:tcPr>
            <w:tcW w:type="dxa" w:w="4392"/>
            <w:vAlign w:val="top"/>
            <w:shd w:fill="F3F6F7"/>
          </w:tcPr>
          <w:p>
            <w:pPr>
              <w:keepNext w:val="0"/>
              <w:spacing w:after="50" w:before="20" w:line="250" w:lineRule="auto"/>
            </w:pPr>
            <w:r>
              <w:rPr>
                <w:rFonts w:ascii="Arial" w:hAnsi="Arial"/>
                <w:b/>
                <w:sz w:val="18"/>
              </w:rPr>
              <w:t>F169  Safe bulk change planning</w:t>
            </w:r>
            <w:r>
              <w:rPr>
                <w:rFonts w:ascii="Arial" w:hAnsi="Arial"/>
                <w:b w:val="0"/>
                <w:sz w:val="18"/>
              </w:rPr>
              <w:br/>
              <w:t>Preview every appointment, price, consent and message affected by a proposed rule or catalog change.</w:t>
            </w:r>
          </w:p>
        </w:tc>
        <w:tc>
          <w:tcPr>
            <w:tcW w:type="dxa" w:w="3744"/>
            <w:vAlign w:val="top"/>
            <w:shd w:fill="F3F6F7"/>
          </w:tcPr>
          <w:p>
            <w:pPr>
              <w:keepNext w:val="0"/>
              <w:spacing w:after="50" w:before="20" w:line="250" w:lineRule="auto"/>
            </w:pPr>
            <w:r>
              <w:rPr>
                <w:rFonts w:ascii="Arial" w:hAnsi="Arial"/>
                <w:sz w:val="18"/>
              </w:rPr>
              <w:t>Dependency model and snapshots. Owner approval commits one version with a recoverable change log.</w:t>
            </w:r>
          </w:p>
        </w:tc>
        <w:tc>
          <w:tcPr>
            <w:tcW w:type="dxa" w:w="2088"/>
            <w:vAlign w:val="top"/>
            <w:shd w:fill="F3F6F7"/>
          </w:tcPr>
          <w:p>
            <w:pPr>
              <w:keepNext w:val="0"/>
              <w:spacing w:after="50" w:before="20" w:line="250" w:lineRule="auto"/>
            </w:pPr>
            <w:r>
              <w:rPr>
                <w:rFonts w:ascii="Arial" w:hAnsi="Arial"/>
                <w:sz w:val="18"/>
              </w:rPr>
              <w:t>Expansion (X)</w:t>
              <w:br/>
              <w:t>People: CORE SEC</w:t>
              <w:br/>
              <w:t>Basis: H; consequence preview</w:t>
            </w:r>
          </w:p>
        </w:tc>
      </w:tr>
      <w:tr>
        <w:trPr>
          <w:cantSplit/>
        </w:trPr>
        <w:tc>
          <w:tcPr>
            <w:tcW w:type="dxa" w:w="4392"/>
            <w:vAlign w:val="top"/>
          </w:tcPr>
          <w:p>
            <w:pPr>
              <w:keepNext w:val="0"/>
              <w:spacing w:after="50" w:before="20" w:line="250" w:lineRule="auto"/>
            </w:pPr>
            <w:r>
              <w:rPr>
                <w:rFonts w:ascii="Arial" w:hAnsi="Arial"/>
                <w:b/>
                <w:sz w:val="18"/>
              </w:rPr>
              <w:t>F170  Late running recovery</w:t>
            </w:r>
            <w:r>
              <w:rPr>
                <w:rFonts w:ascii="Arial" w:hAnsi="Arial"/>
                <w:b w:val="0"/>
                <w:sz w:val="18"/>
              </w:rPr>
              <w:br/>
              <w:t>When a visit overruns, suggest limited schedule changes and send approved, realistic arrival updates.</w:t>
            </w:r>
          </w:p>
        </w:tc>
        <w:tc>
          <w:tcPr>
            <w:tcW w:type="dxa" w:w="3744"/>
            <w:vAlign w:val="top"/>
          </w:tcPr>
          <w:p>
            <w:pPr>
              <w:keepNext w:val="0"/>
              <w:spacing w:after="50" w:before="20" w:line="250" w:lineRule="auto"/>
            </w:pPr>
            <w:r>
              <w:rPr>
                <w:rFonts w:ascii="Arial" w:hAnsi="Arial"/>
                <w:sz w:val="18"/>
              </w:rPr>
              <w:t>Live visit state and forecasting. Staff approve changes and clients can request alternatives.</w:t>
            </w:r>
          </w:p>
        </w:tc>
        <w:tc>
          <w:tcPr>
            <w:tcW w:type="dxa" w:w="2088"/>
            <w:vAlign w:val="top"/>
          </w:tcPr>
          <w:p>
            <w:pPr>
              <w:keepNext w:val="0"/>
              <w:spacing w:after="50" w:before="20" w:line="250" w:lineRule="auto"/>
            </w:pPr>
            <w:r>
              <w:rPr>
                <w:rFonts w:ascii="Arial" w:hAnsi="Arial"/>
                <w:sz w:val="18"/>
              </w:rPr>
              <w:t>Expansion (X)</w:t>
              <w:br/>
              <w:t>People: DATA MSG</w:t>
              <w:br/>
              <w:t>Basis: H; service recovery</w:t>
            </w:r>
          </w:p>
        </w:tc>
      </w:tr>
      <w:tr>
        <w:trPr>
          <w:cantSplit/>
        </w:trPr>
        <w:tc>
          <w:tcPr>
            <w:tcW w:type="dxa" w:w="4392"/>
            <w:vAlign w:val="top"/>
            <w:shd w:fill="F3F6F7"/>
          </w:tcPr>
          <w:p>
            <w:pPr>
              <w:keepNext w:val="0"/>
              <w:spacing w:after="50" w:before="20" w:line="250" w:lineRule="auto"/>
            </w:pPr>
            <w:r>
              <w:rPr>
                <w:rFonts w:ascii="Arial" w:hAnsi="Arial"/>
                <w:b/>
                <w:sz w:val="18"/>
              </w:rPr>
              <w:t>F171  Shared room and equipment rentals</w:t>
            </w:r>
            <w:r>
              <w:rPr>
                <w:rFonts w:ascii="Arial" w:hAnsi="Arial"/>
                <w:b w:val="0"/>
                <w:sz w:val="18"/>
              </w:rPr>
              <w:br/>
              <w:t>Allow approved businesses to reserve available facilities with eligibility, deposits and damage reporting.</w:t>
            </w:r>
          </w:p>
        </w:tc>
        <w:tc>
          <w:tcPr>
            <w:tcW w:type="dxa" w:w="3744"/>
            <w:vAlign w:val="top"/>
            <w:shd w:fill="F3F6F7"/>
          </w:tcPr>
          <w:p>
            <w:pPr>
              <w:keepNext w:val="0"/>
              <w:spacing w:after="50" w:before="20" w:line="250" w:lineRule="auto"/>
            </w:pPr>
            <w:r>
              <w:rPr>
                <w:rFonts w:ascii="Arial" w:hAnsi="Arial"/>
                <w:sz w:val="18"/>
              </w:rPr>
              <w:t>Resource calendar, contracts and independent merchant model. Every booking has a responsible operator.</w:t>
            </w:r>
          </w:p>
        </w:tc>
        <w:tc>
          <w:tcPr>
            <w:tcW w:type="dxa" w:w="2088"/>
            <w:vAlign w:val="top"/>
            <w:shd w:fill="F3F6F7"/>
          </w:tcPr>
          <w:p>
            <w:pPr>
              <w:keepNext w:val="0"/>
              <w:spacing w:after="50" w:before="20" w:line="250" w:lineRule="auto"/>
            </w:pPr>
            <w:r>
              <w:rPr>
                <w:rFonts w:ascii="Arial" w:hAnsi="Arial"/>
                <w:sz w:val="18"/>
              </w:rPr>
              <w:t>Expansion (X)</w:t>
              <w:br/>
              <w:t>People: NET LEG PAY</w:t>
              <w:br/>
              <w:t>Basis: H; capacity sharing</w:t>
            </w:r>
          </w:p>
        </w:tc>
      </w:tr>
      <w:tr>
        <w:trPr>
          <w:cantSplit/>
        </w:trPr>
        <w:tc>
          <w:tcPr>
            <w:tcW w:type="dxa" w:w="4392"/>
            <w:vAlign w:val="top"/>
          </w:tcPr>
          <w:p>
            <w:pPr>
              <w:keepNext w:val="0"/>
              <w:spacing w:after="50" w:before="20" w:line="250" w:lineRule="auto"/>
            </w:pPr>
            <w:r>
              <w:rPr>
                <w:rFonts w:ascii="Arial" w:hAnsi="Arial"/>
                <w:b/>
                <w:sz w:val="18"/>
              </w:rPr>
              <w:t>F172  Business continuity handover</w:t>
            </w:r>
            <w:r>
              <w:rPr>
                <w:rFonts w:ascii="Arial" w:hAnsi="Arial"/>
                <w:b w:val="0"/>
                <w:sz w:val="18"/>
              </w:rPr>
              <w:br/>
              <w:t>Prepare an authorized temporary cover pack for illness or emergency, including clients to contact and unresolved work.</w:t>
            </w:r>
          </w:p>
        </w:tc>
        <w:tc>
          <w:tcPr>
            <w:tcW w:type="dxa" w:w="3744"/>
            <w:vAlign w:val="top"/>
          </w:tcPr>
          <w:p>
            <w:pPr>
              <w:keepNext w:val="0"/>
              <w:spacing w:after="50" w:before="20" w:line="250" w:lineRule="auto"/>
            </w:pPr>
            <w:r>
              <w:rPr>
                <w:rFonts w:ascii="Arial" w:hAnsi="Arial"/>
                <w:sz w:val="18"/>
              </w:rPr>
              <w:t>Role-limited access and contingency contacts. The owner controls activation and records every access.</w:t>
            </w:r>
          </w:p>
        </w:tc>
        <w:tc>
          <w:tcPr>
            <w:tcW w:type="dxa" w:w="2088"/>
            <w:vAlign w:val="top"/>
          </w:tcPr>
          <w:p>
            <w:pPr>
              <w:keepNext w:val="0"/>
              <w:spacing w:after="50" w:before="20" w:line="250" w:lineRule="auto"/>
            </w:pPr>
            <w:r>
              <w:rPr>
                <w:rFonts w:ascii="Arial" w:hAnsi="Arial"/>
                <w:sz w:val="18"/>
              </w:rPr>
              <w:t>Expansion (X)</w:t>
              <w:br/>
              <w:t>People: OPS LEG SEC</w:t>
              <w:br/>
              <w:t>Basis: H; owner resilience</w:t>
            </w:r>
          </w:p>
        </w:tc>
      </w:tr>
      <w:tr>
        <w:trPr>
          <w:cantSplit/>
        </w:trPr>
        <w:tc>
          <w:tcPr>
            <w:tcW w:type="dxa" w:w="4392"/>
            <w:vAlign w:val="top"/>
            <w:shd w:fill="F3F6F7"/>
          </w:tcPr>
          <w:p>
            <w:pPr>
              <w:keepNext w:val="0"/>
              <w:spacing w:after="50" w:before="20" w:line="250" w:lineRule="auto"/>
            </w:pPr>
            <w:r>
              <w:rPr>
                <w:rFonts w:ascii="Arial" w:hAnsi="Arial"/>
                <w:b/>
                <w:sz w:val="18"/>
              </w:rPr>
              <w:t>F173  Action based analytics workspace</w:t>
            </w:r>
            <w:r>
              <w:rPr>
                <w:rFonts w:ascii="Arial" w:hAnsi="Arial"/>
                <w:b w:val="0"/>
                <w:sz w:val="18"/>
              </w:rPr>
              <w:br/>
              <w:t>Turn a validated finding into a previewable task, campaign or schedule proposal. Report observed outcomes separately from estimated time saved; claim incremental benefit only with a valid comparison.</w:t>
            </w:r>
          </w:p>
        </w:tc>
        <w:tc>
          <w:tcPr>
            <w:tcW w:type="dxa" w:w="3744"/>
            <w:vAlign w:val="top"/>
            <w:shd w:fill="F3F6F7"/>
          </w:tcPr>
          <w:p>
            <w:pPr>
              <w:keepNext w:val="0"/>
              <w:spacing w:after="50" w:before="20" w:line="250" w:lineRule="auto"/>
            </w:pPr>
            <w:r>
              <w:rPr>
                <w:rFonts w:ascii="Arial" w:hAnsi="Arial"/>
                <w:sz w:val="18"/>
              </w:rPr>
              <w:t>Metric layer, actions and experiments. Each recommendation shows evidence, cost and a dismissal option.</w:t>
            </w:r>
          </w:p>
        </w:tc>
        <w:tc>
          <w:tcPr>
            <w:tcW w:type="dxa" w:w="2088"/>
            <w:vAlign w:val="top"/>
            <w:shd w:fill="F3F6F7"/>
          </w:tcPr>
          <w:p>
            <w:pPr>
              <w:keepNext w:val="0"/>
              <w:spacing w:after="50" w:before="20" w:line="250" w:lineRule="auto"/>
            </w:pPr>
            <w:r>
              <w:rPr>
                <w:rFonts w:ascii="Arial" w:hAnsi="Arial"/>
                <w:sz w:val="18"/>
              </w:rPr>
              <w:t>Growth (G)</w:t>
              <w:br/>
              <w:t>People: DATA AI</w:t>
              <w:br/>
              <w:t>Basis: I; analytics to action</w:t>
            </w:r>
          </w:p>
        </w:tc>
      </w:tr>
      <w:tr>
        <w:trPr>
          <w:cantSplit/>
        </w:trPr>
        <w:tc>
          <w:tcPr>
            <w:tcW w:type="dxa" w:w="4392"/>
            <w:vAlign w:val="top"/>
          </w:tcPr>
          <w:p>
            <w:pPr>
              <w:keepNext w:val="0"/>
              <w:spacing w:after="50" w:before="20" w:line="250" w:lineRule="auto"/>
            </w:pPr>
            <w:r>
              <w:rPr>
                <w:rFonts w:ascii="Arial" w:hAnsi="Arial"/>
                <w:b/>
                <w:sz w:val="18"/>
              </w:rPr>
              <w:t>F186  Client pay over time</w:t>
            </w:r>
            <w:r>
              <w:rPr>
                <w:rFonts w:ascii="Arial" w:hAnsi="Arial"/>
                <w:b w:val="0"/>
                <w:sz w:val="18"/>
              </w:rPr>
              <w:br/>
              <w:t>Offer eligible buy-now-pay-later options for clients through an approved provider, with full costs, refunds and eligibility explained.</w:t>
            </w:r>
          </w:p>
        </w:tc>
        <w:tc>
          <w:tcPr>
            <w:tcW w:type="dxa" w:w="3744"/>
            <w:vAlign w:val="top"/>
          </w:tcPr>
          <w:p>
            <w:pPr>
              <w:keepNext w:val="0"/>
              <w:spacing w:after="50" w:before="20" w:line="250" w:lineRule="auto"/>
            </w:pPr>
            <w:r>
              <w:rPr>
                <w:rFonts w:ascii="Arial" w:hAnsi="Arial"/>
                <w:sz w:val="18"/>
              </w:rPr>
              <w:t>Financing partner and checkout. Merchant working capital is a separate product; no approval or repayment promise is implied.</w:t>
            </w:r>
          </w:p>
        </w:tc>
        <w:tc>
          <w:tcPr>
            <w:tcW w:type="dxa" w:w="2088"/>
            <w:vAlign w:val="top"/>
          </w:tcPr>
          <w:p>
            <w:pPr>
              <w:keepNext w:val="0"/>
              <w:spacing w:after="50" w:before="20" w:line="250" w:lineRule="auto"/>
            </w:pPr>
            <w:r>
              <w:rPr>
                <w:rFonts w:ascii="Arial" w:hAnsi="Arial"/>
                <w:sz w:val="18"/>
              </w:rPr>
              <w:t>Expansion (X)</w:t>
              <w:br/>
              <w:t>People: PAY LEG PART</w:t>
              <w:br/>
              <w:t>Basis: B; WB F32 U14 A8</w:t>
            </w:r>
          </w:p>
        </w:tc>
      </w:tr>
      <w:tr>
        <w:trPr>
          <w:cantSplit/>
        </w:trPr>
        <w:tc>
          <w:tcPr>
            <w:tcW w:type="dxa" w:w="4392"/>
            <w:vAlign w:val="top"/>
            <w:shd w:fill="F3F6F7"/>
          </w:tcPr>
          <w:p>
            <w:pPr>
              <w:keepNext w:val="0"/>
              <w:spacing w:after="50" w:before="20" w:line="250" w:lineRule="auto"/>
            </w:pPr>
            <w:r>
              <w:rPr>
                <w:rFonts w:ascii="Arial" w:hAnsi="Arial"/>
                <w:b/>
                <w:sz w:val="18"/>
              </w:rPr>
              <w:t>F187  Optional card fee offset</w:t>
            </w:r>
            <w:r>
              <w:rPr>
                <w:rFonts w:ascii="Arial" w:hAnsi="Arial"/>
                <w:b w:val="0"/>
                <w:sz w:val="18"/>
              </w:rPr>
              <w:br/>
              <w:t>Where permitted and supported, show lawful card surcharges or other approved fee treatment before the client accepts.</w:t>
            </w:r>
          </w:p>
        </w:tc>
        <w:tc>
          <w:tcPr>
            <w:tcW w:type="dxa" w:w="3744"/>
            <w:vAlign w:val="top"/>
            <w:shd w:fill="F3F6F7"/>
          </w:tcPr>
          <w:p>
            <w:pPr>
              <w:keepNext w:val="0"/>
              <w:spacing w:after="50" w:before="20" w:line="250" w:lineRule="auto"/>
            </w:pPr>
            <w:r>
              <w:rPr>
                <w:rFonts w:ascii="Arial" w:hAnsi="Arial"/>
                <w:sz w:val="18"/>
              </w:rPr>
              <w:t>Processor and local legal review. Debit restrictions, disclosures, refunds and fee caps follow the chosen program.</w:t>
            </w:r>
          </w:p>
        </w:tc>
        <w:tc>
          <w:tcPr>
            <w:tcW w:type="dxa" w:w="2088"/>
            <w:vAlign w:val="top"/>
            <w:shd w:fill="F3F6F7"/>
          </w:tcPr>
          <w:p>
            <w:pPr>
              <w:keepNext w:val="0"/>
              <w:spacing w:after="50" w:before="20" w:line="250" w:lineRule="auto"/>
            </w:pPr>
            <w:r>
              <w:rPr>
                <w:rFonts w:ascii="Arial" w:hAnsi="Arial"/>
                <w:sz w:val="18"/>
              </w:rPr>
              <w:t>Expansion (X)</w:t>
              <w:br/>
              <w:t>People: PAY FIN LEG</w:t>
              <w:br/>
              <w:t>Basis: B; WB F33 U15</w:t>
            </w:r>
          </w:p>
        </w:tc>
      </w:tr>
      <w:tr>
        <w:trPr>
          <w:cantSplit/>
        </w:trPr>
        <w:tc>
          <w:tcPr>
            <w:tcW w:type="dxa" w:w="4392"/>
            <w:vAlign w:val="top"/>
          </w:tcPr>
          <w:p>
            <w:pPr>
              <w:keepNext w:val="0"/>
              <w:spacing w:after="50" w:before="20" w:line="250" w:lineRule="auto"/>
            </w:pPr>
            <w:r>
              <w:rPr>
                <w:rFonts w:ascii="Arial" w:hAnsi="Arial"/>
                <w:b/>
                <w:sz w:val="18"/>
              </w:rPr>
              <w:t>F197  Calibrate service durations from actual stages</w:t>
            </w:r>
            <w:r>
              <w:rPr>
                <w:rFonts w:ascii="Arial" w:hAnsi="Arial"/>
                <w:b w:val="0"/>
                <w:sz w:val="18"/>
              </w:rPr>
              <w:br/>
              <w:t>Capture optional actual hands-on, processing and finish times; propose conservative duration/buffer updates for a service/provider after sufficient comparable observations, with uncertainty and an explanation.</w:t>
            </w:r>
          </w:p>
        </w:tc>
        <w:tc>
          <w:tcPr>
            <w:tcW w:type="dxa" w:w="3744"/>
            <w:vAlign w:val="top"/>
          </w:tcPr>
          <w:p>
            <w:pPr>
              <w:keepNext w:val="0"/>
              <w:spacing w:after="50" w:before="20" w:line="250" w:lineRule="auto"/>
            </w:pPr>
            <w:r>
              <w:rPr>
                <w:rFonts w:ascii="Arial" w:hAnsi="Arial"/>
                <w:sz w:val="18"/>
              </w:rPr>
              <w:t>Provider approves changes. Do not infer protected attributes or turn delays into public staff rankings. Sparse or biased samples revert to merchant-set durations; validate predictions on future visits.</w:t>
            </w:r>
          </w:p>
        </w:tc>
        <w:tc>
          <w:tcPr>
            <w:tcW w:type="dxa" w:w="2088"/>
            <w:vAlign w:val="top"/>
          </w:tcPr>
          <w:p>
            <w:pPr>
              <w:keepNext w:val="0"/>
              <w:spacing w:after="50" w:before="20" w:line="250" w:lineRule="auto"/>
            </w:pPr>
            <w:r>
              <w:rPr>
                <w:rFonts w:ascii="Arial" w:hAnsi="Arial"/>
                <w:sz w:val="18"/>
              </w:rPr>
              <w:t>Expansion (X)</w:t>
              <w:br/>
              <w:t>People: DATA CLIN</w:t>
              <w:br/>
              <w:t>Basis: H; X12</w:t>
            </w:r>
          </w:p>
        </w:tc>
      </w:tr>
    </w:tbl>
    <w:p>
      <w:pPr>
        <w:spacing w:after="40" w:before="0" w:line="240" w:lineRule="auto"/>
      </w:pPr>
      <w:r>
        <w:rPr>
          <w:sz w:val="4"/>
        </w:rPr>
      </w:r>
    </w:p>
    <w:p>
      <w:pPr>
        <w:pStyle w:val="Heading2"/>
      </w:pPr>
      <w:r>
        <w:t>D5 New operating businesses and regulated or research scope</w:t>
      </w:r>
    </w:p>
    <w:p>
      <w:r>
        <w:t>Networks, capital, clinical or insurance operations, novel imaging or hardware with significant external dependencies. 12 features.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4392"/>
        <w:gridCol w:w="3744"/>
        <w:gridCol w:w="2088"/>
      </w:tblGrid>
      <w:tr>
        <w:trPr>
          <w:tblHeader/>
        </w:trPr>
        <w:tc>
          <w:tcPr>
            <w:tcW w:type="dxa" w:w="4392"/>
            <w:vAlign w:val="top"/>
            <w:shd w:fill="173F50"/>
          </w:tcPr>
          <w:p>
            <w:pPr>
              <w:keepNext/>
              <w:spacing w:after="50" w:before="20" w:line="250" w:lineRule="auto"/>
            </w:pPr>
            <w:r>
              <w:rPr>
                <w:rFonts w:ascii="Arial" w:hAnsi="Arial"/>
                <w:b/>
                <w:color w:val="FFFFFF"/>
                <w:sz w:val="18"/>
              </w:rPr>
              <w:t>Feature and proposed scope</w:t>
            </w:r>
          </w:p>
        </w:tc>
        <w:tc>
          <w:tcPr>
            <w:tcW w:type="dxa" w:w="3744"/>
            <w:vAlign w:val="top"/>
            <w:shd w:fill="173F50"/>
          </w:tcPr>
          <w:p>
            <w:pPr>
              <w:keepNext/>
              <w:spacing w:after="50" w:before="20" w:line="250" w:lineRule="auto"/>
            </w:pPr>
            <w:r>
              <w:rPr>
                <w:rFonts w:ascii="Arial" w:hAnsi="Arial"/>
                <w:b/>
                <w:color w:val="FFFFFF"/>
                <w:sz w:val="18"/>
              </w:rPr>
              <w:t>Dependencies and acceptance</w:t>
            </w:r>
          </w:p>
        </w:tc>
        <w:tc>
          <w:tcPr>
            <w:tcW w:type="dxa" w:w="2088"/>
            <w:vAlign w:val="top"/>
            <w:shd w:fill="173F50"/>
          </w:tcPr>
          <w:p>
            <w:pPr>
              <w:keepNext/>
              <w:spacing w:after="50" w:before="20" w:line="250" w:lineRule="auto"/>
            </w:pPr>
            <w:r>
              <w:rPr>
                <w:rFonts w:ascii="Arial" w:hAnsi="Arial"/>
                <w:b/>
                <w:color w:val="FFFFFF"/>
                <w:sz w:val="18"/>
              </w:rPr>
              <w:t>Release and people</w:t>
            </w:r>
          </w:p>
        </w:tc>
      </w:tr>
      <w:tr>
        <w:trPr>
          <w:cantSplit/>
        </w:trPr>
        <w:tc>
          <w:tcPr>
            <w:tcW w:type="dxa" w:w="4392"/>
            <w:vAlign w:val="top"/>
          </w:tcPr>
          <w:p>
            <w:pPr>
              <w:keepNext w:val="0"/>
              <w:spacing w:after="50" w:before="20" w:line="250" w:lineRule="auto"/>
            </w:pPr>
            <w:r>
              <w:rPr>
                <w:rFonts w:ascii="Arial" w:hAnsi="Arial"/>
                <w:b/>
                <w:sz w:val="18"/>
              </w:rPr>
              <w:t>F174  Electronic prescribing</w:t>
            </w:r>
            <w:r>
              <w:rPr>
                <w:rFonts w:ascii="Arial" w:hAnsi="Arial"/>
                <w:b w:val="0"/>
                <w:sz w:val="18"/>
              </w:rPr>
              <w:br/>
              <w:t>Integrate a certified prescribing provider with prescriber verification and the required medical workflow.</w:t>
            </w:r>
          </w:p>
        </w:tc>
        <w:tc>
          <w:tcPr>
            <w:tcW w:type="dxa" w:w="3744"/>
            <w:vAlign w:val="top"/>
          </w:tcPr>
          <w:p>
            <w:pPr>
              <w:keepNext w:val="0"/>
              <w:spacing w:after="50" w:before="20" w:line="250" w:lineRule="auto"/>
            </w:pPr>
            <w:r>
              <w:rPr>
                <w:rFonts w:ascii="Arial" w:hAnsi="Arial"/>
                <w:sz w:val="18"/>
              </w:rPr>
              <w:t>Licensed practitioners, healthcare counsel and vendor approval. Operate only within validated clinical scope.</w:t>
            </w:r>
          </w:p>
        </w:tc>
        <w:tc>
          <w:tcPr>
            <w:tcW w:type="dxa" w:w="2088"/>
            <w:vAlign w:val="top"/>
          </w:tcPr>
          <w:p>
            <w:pPr>
              <w:keepNext w:val="0"/>
              <w:spacing w:after="50" w:before="20" w:line="250" w:lineRule="auto"/>
            </w:pPr>
            <w:r>
              <w:rPr>
                <w:rFonts w:ascii="Arial" w:hAnsi="Arial"/>
                <w:sz w:val="18"/>
              </w:rPr>
              <w:t>Expansion (X)</w:t>
              <w:br/>
              <w:t>People: CLIN LEG PART SEC</w:t>
              <w:br/>
              <w:t>Basis: B; WB F26</w:t>
            </w:r>
          </w:p>
        </w:tc>
      </w:tr>
      <w:tr>
        <w:trPr>
          <w:cantSplit/>
        </w:trPr>
        <w:tc>
          <w:tcPr>
            <w:tcW w:type="dxa" w:w="4392"/>
            <w:vAlign w:val="top"/>
            <w:shd w:fill="F3F6F7"/>
          </w:tcPr>
          <w:p>
            <w:pPr>
              <w:keepNext w:val="0"/>
              <w:spacing w:after="50" w:before="20" w:line="250" w:lineRule="auto"/>
            </w:pPr>
            <w:r>
              <w:rPr>
                <w:rFonts w:ascii="Arial" w:hAnsi="Arial"/>
                <w:b/>
                <w:sz w:val="18"/>
              </w:rPr>
              <w:t>F175  Clinical telehealth network</w:t>
            </w:r>
            <w:r>
              <w:rPr>
                <w:rFonts w:ascii="Arial" w:hAnsi="Arial"/>
                <w:b w:val="0"/>
                <w:sz w:val="18"/>
              </w:rPr>
              <w:br/>
              <w:t>Recruit and credential clinicians for permitted consultations with clear responsibility and escalation.</w:t>
            </w:r>
          </w:p>
        </w:tc>
        <w:tc>
          <w:tcPr>
            <w:tcW w:type="dxa" w:w="3744"/>
            <w:vAlign w:val="top"/>
            <w:shd w:fill="F3F6F7"/>
          </w:tcPr>
          <w:p>
            <w:pPr>
              <w:keepNext w:val="0"/>
              <w:spacing w:after="50" w:before="20" w:line="250" w:lineRule="auto"/>
            </w:pPr>
            <w:r>
              <w:rPr>
                <w:rFonts w:ascii="Arial" w:hAnsi="Arial"/>
                <w:sz w:val="18"/>
              </w:rPr>
              <w:t>Clinician network, licensure checks and clinical operations. Availability and coverage are verified before sale.</w:t>
            </w:r>
          </w:p>
        </w:tc>
        <w:tc>
          <w:tcPr>
            <w:tcW w:type="dxa" w:w="2088"/>
            <w:vAlign w:val="top"/>
            <w:shd w:fill="F3F6F7"/>
          </w:tcPr>
          <w:p>
            <w:pPr>
              <w:keepNext w:val="0"/>
              <w:spacing w:after="50" w:before="20" w:line="250" w:lineRule="auto"/>
            </w:pPr>
            <w:r>
              <w:rPr>
                <w:rFonts w:ascii="Arial" w:hAnsi="Arial"/>
                <w:sz w:val="18"/>
              </w:rPr>
              <w:t>Expansion (X)</w:t>
              <w:br/>
              <w:t>People: NET CLIN LEG OPS</w:t>
              <w:br/>
              <w:t>Basis: H; optional clinical business</w:t>
            </w:r>
          </w:p>
        </w:tc>
      </w:tr>
      <w:tr>
        <w:trPr>
          <w:cantSplit/>
        </w:trPr>
        <w:tc>
          <w:tcPr>
            <w:tcW w:type="dxa" w:w="4392"/>
            <w:vAlign w:val="top"/>
          </w:tcPr>
          <w:p>
            <w:pPr>
              <w:keepNext w:val="0"/>
              <w:spacing w:after="50" w:before="20" w:line="250" w:lineRule="auto"/>
            </w:pPr>
            <w:r>
              <w:rPr>
                <w:rFonts w:ascii="Arial" w:hAnsi="Arial"/>
                <w:b/>
                <w:sz w:val="18"/>
              </w:rPr>
              <w:t>F176  Insurance billing</w:t>
            </w:r>
            <w:r>
              <w:rPr>
                <w:rFonts w:ascii="Arial" w:hAnsi="Arial"/>
                <w:b w:val="0"/>
                <w:sz w:val="18"/>
              </w:rPr>
              <w:br/>
              <w:t>Support eligibility, claims and remittance only for legitimate covered services and qualified providers.</w:t>
            </w:r>
          </w:p>
        </w:tc>
        <w:tc>
          <w:tcPr>
            <w:tcW w:type="dxa" w:w="3744"/>
            <w:vAlign w:val="top"/>
          </w:tcPr>
          <w:p>
            <w:pPr>
              <w:keepNext w:val="0"/>
              <w:spacing w:after="50" w:before="20" w:line="250" w:lineRule="auto"/>
            </w:pPr>
            <w:r>
              <w:rPr>
                <w:rFonts w:ascii="Arial" w:hAnsi="Arial"/>
                <w:sz w:val="18"/>
              </w:rPr>
              <w:t>Specialist billing partner and healthcare operations. Claims reconcile to remittances and denials have owners.</w:t>
            </w:r>
          </w:p>
        </w:tc>
        <w:tc>
          <w:tcPr>
            <w:tcW w:type="dxa" w:w="2088"/>
            <w:vAlign w:val="top"/>
          </w:tcPr>
          <w:p>
            <w:pPr>
              <w:keepNext w:val="0"/>
              <w:spacing w:after="50" w:before="20" w:line="250" w:lineRule="auto"/>
            </w:pPr>
            <w:r>
              <w:rPr>
                <w:rFonts w:ascii="Arial" w:hAnsi="Arial"/>
                <w:sz w:val="18"/>
              </w:rPr>
              <w:t>Expansion (X)</w:t>
              <w:br/>
              <w:t>People: CLIN FIN PART</w:t>
              <w:br/>
              <w:t>Basis: B; adjacent healthcare</w:t>
            </w:r>
          </w:p>
        </w:tc>
      </w:tr>
      <w:tr>
        <w:trPr>
          <w:cantSplit/>
        </w:trPr>
        <w:tc>
          <w:tcPr>
            <w:tcW w:type="dxa" w:w="4392"/>
            <w:vAlign w:val="top"/>
            <w:shd w:fill="F3F6F7"/>
          </w:tcPr>
          <w:p>
            <w:pPr>
              <w:keepNext w:val="0"/>
              <w:spacing w:after="50" w:before="20" w:line="250" w:lineRule="auto"/>
            </w:pPr>
            <w:r>
              <w:rPr>
                <w:rFonts w:ascii="Arial" w:hAnsi="Arial"/>
                <w:b/>
                <w:sz w:val="18"/>
              </w:rPr>
              <w:t>F177  Consumer discovery marketplace</w:t>
            </w:r>
            <w:r>
              <w:rPr>
                <w:rFonts w:ascii="Arial" w:hAnsi="Arial"/>
                <w:b w:val="0"/>
                <w:sz w:val="18"/>
              </w:rPr>
              <w:br/>
              <w:t>Attract clients and providers in a local market, with opt-in listings, transparent attribution and dispute handling.</w:t>
            </w:r>
          </w:p>
        </w:tc>
        <w:tc>
          <w:tcPr>
            <w:tcW w:type="dxa" w:w="3744"/>
            <w:vAlign w:val="top"/>
            <w:shd w:fill="F3F6F7"/>
          </w:tcPr>
          <w:p>
            <w:pPr>
              <w:keepNext w:val="0"/>
              <w:spacing w:after="50" w:before="20" w:line="250" w:lineRule="auto"/>
            </w:pPr>
            <w:r>
              <w:rPr>
                <w:rFonts w:ascii="Arial" w:hAnsi="Arial"/>
                <w:sz w:val="18"/>
              </w:rPr>
              <w:t>Two-sided acquisition and moderation. A provider can use direct booking without buying marketplace distribution.</w:t>
            </w:r>
          </w:p>
        </w:tc>
        <w:tc>
          <w:tcPr>
            <w:tcW w:type="dxa" w:w="2088"/>
            <w:vAlign w:val="top"/>
            <w:shd w:fill="F3F6F7"/>
          </w:tcPr>
          <w:p>
            <w:pPr>
              <w:keepNext w:val="0"/>
              <w:spacing w:after="50" w:before="20" w:line="250" w:lineRule="auto"/>
            </w:pPr>
            <w:r>
              <w:rPr>
                <w:rFonts w:ascii="Arial" w:hAnsi="Arial"/>
                <w:sz w:val="18"/>
              </w:rPr>
              <w:t>Validate separately (V)</w:t>
              <w:br/>
              <w:t>People: NET OPS DATA</w:t>
              <w:br/>
              <w:t>Basis: B; WB F61 F63</w:t>
            </w:r>
          </w:p>
        </w:tc>
      </w:tr>
      <w:tr>
        <w:trPr>
          <w:cantSplit/>
        </w:trPr>
        <w:tc>
          <w:tcPr>
            <w:tcW w:type="dxa" w:w="4392"/>
            <w:vAlign w:val="top"/>
          </w:tcPr>
          <w:p>
            <w:pPr>
              <w:keepNext w:val="0"/>
              <w:spacing w:after="50" w:before="20" w:line="250" w:lineRule="auto"/>
            </w:pPr>
            <w:r>
              <w:rPr>
                <w:rFonts w:ascii="Arial" w:hAnsi="Arial"/>
                <w:b/>
                <w:sz w:val="18"/>
              </w:rPr>
              <w:t>F178  Embedded working capital</w:t>
            </w:r>
            <w:r>
              <w:rPr>
                <w:rFonts w:ascii="Arial" w:hAnsi="Arial"/>
                <w:b w:val="0"/>
                <w:sz w:val="18"/>
              </w:rPr>
              <w:br/>
              <w:t>Offer eligible financing through regulated partners with transparent costs and appropriate underwriting.</w:t>
            </w:r>
          </w:p>
        </w:tc>
        <w:tc>
          <w:tcPr>
            <w:tcW w:type="dxa" w:w="3744"/>
            <w:vAlign w:val="top"/>
          </w:tcPr>
          <w:p>
            <w:pPr>
              <w:keepNext w:val="0"/>
              <w:spacing w:after="50" w:before="20" w:line="250" w:lineRule="auto"/>
            </w:pPr>
            <w:r>
              <w:rPr>
                <w:rFonts w:ascii="Arial" w:hAnsi="Arial"/>
                <w:sz w:val="18"/>
              </w:rPr>
              <w:t>Lending partner and risk operations. Software does not imply guaranteed eligibility or approval.</w:t>
            </w:r>
          </w:p>
        </w:tc>
        <w:tc>
          <w:tcPr>
            <w:tcW w:type="dxa" w:w="2088"/>
            <w:vAlign w:val="top"/>
          </w:tcPr>
          <w:p>
            <w:pPr>
              <w:keepNext w:val="0"/>
              <w:spacing w:after="50" w:before="20" w:line="250" w:lineRule="auto"/>
            </w:pPr>
            <w:r>
              <w:rPr>
                <w:rFonts w:ascii="Arial" w:hAnsi="Arial"/>
                <w:sz w:val="18"/>
              </w:rPr>
              <w:t>Validate separately (V)</w:t>
              <w:br/>
              <w:t>People: PAY FIN LEG PART</w:t>
              <w:br/>
              <w:t>Basis: B; WB U13</w:t>
            </w:r>
          </w:p>
        </w:tc>
      </w:tr>
      <w:tr>
        <w:trPr>
          <w:cantSplit/>
        </w:trPr>
        <w:tc>
          <w:tcPr>
            <w:tcW w:type="dxa" w:w="4392"/>
            <w:vAlign w:val="top"/>
            <w:shd w:fill="F3F6F7"/>
          </w:tcPr>
          <w:p>
            <w:pPr>
              <w:keepNext w:val="0"/>
              <w:spacing w:after="50" w:before="20" w:line="250" w:lineRule="auto"/>
            </w:pPr>
            <w:r>
              <w:rPr>
                <w:rFonts w:ascii="Arial" w:hAnsi="Arial"/>
                <w:b/>
                <w:sz w:val="18"/>
              </w:rPr>
              <w:t>F179  Financial protection products</w:t>
            </w:r>
            <w:r>
              <w:rPr>
                <w:rFonts w:ascii="Arial" w:hAnsi="Arial"/>
                <w:b w:val="0"/>
                <w:sz w:val="18"/>
              </w:rPr>
              <w:br/>
              <w:t>Explore no-show or payout protection only with explicit eligibility, exclusions and financially backed coverage.</w:t>
            </w:r>
          </w:p>
        </w:tc>
        <w:tc>
          <w:tcPr>
            <w:tcW w:type="dxa" w:w="3744"/>
            <w:vAlign w:val="top"/>
            <w:shd w:fill="F3F6F7"/>
          </w:tcPr>
          <w:p>
            <w:pPr>
              <w:keepNext w:val="0"/>
              <w:spacing w:after="50" w:before="20" w:line="250" w:lineRule="auto"/>
            </w:pPr>
            <w:r>
              <w:rPr>
                <w:rFonts w:ascii="Arial" w:hAnsi="Arial"/>
                <w:sz w:val="18"/>
              </w:rPr>
              <w:t>Insurer or underwriter, capital and claims operations. Promises match a funded contractual product.</w:t>
            </w:r>
          </w:p>
        </w:tc>
        <w:tc>
          <w:tcPr>
            <w:tcW w:type="dxa" w:w="2088"/>
            <w:vAlign w:val="top"/>
            <w:shd w:fill="F3F6F7"/>
          </w:tcPr>
          <w:p>
            <w:pPr>
              <w:keepNext w:val="0"/>
              <w:spacing w:after="50" w:before="20" w:line="250" w:lineRule="auto"/>
            </w:pPr>
            <w:r>
              <w:rPr>
                <w:rFonts w:ascii="Arial" w:hAnsi="Arial"/>
                <w:sz w:val="18"/>
              </w:rPr>
              <w:t>Validate separately (V)</w:t>
              <w:br/>
              <w:t>People: PAY FIN LEG OPS</w:t>
              <w:br/>
              <w:t>Basis: H; risk product</w:t>
            </w:r>
          </w:p>
        </w:tc>
      </w:tr>
      <w:tr>
        <w:trPr>
          <w:cantSplit/>
        </w:trPr>
        <w:tc>
          <w:tcPr>
            <w:tcW w:type="dxa" w:w="4392"/>
            <w:vAlign w:val="top"/>
          </w:tcPr>
          <w:p>
            <w:pPr>
              <w:keepNext w:val="0"/>
              <w:spacing w:after="50" w:before="20" w:line="250" w:lineRule="auto"/>
            </w:pPr>
            <w:r>
              <w:rPr>
                <w:rFonts w:ascii="Arial" w:hAnsi="Arial"/>
                <w:b/>
                <w:sz w:val="18"/>
              </w:rPr>
              <w:t>F180  External staffing marketplace</w:t>
            </w:r>
            <w:r>
              <w:rPr>
                <w:rFonts w:ascii="Arial" w:hAnsi="Arial"/>
                <w:b w:val="0"/>
                <w:sz w:val="18"/>
              </w:rPr>
              <w:br/>
              <w:t>Recruit and verify substitute professionals and match paid coverage requests with dispute and incident handling.</w:t>
            </w:r>
          </w:p>
        </w:tc>
        <w:tc>
          <w:tcPr>
            <w:tcW w:type="dxa" w:w="3744"/>
            <w:vAlign w:val="top"/>
          </w:tcPr>
          <w:p>
            <w:pPr>
              <w:keepNext w:val="0"/>
              <w:spacing w:after="50" w:before="20" w:line="250" w:lineRule="auto"/>
            </w:pPr>
            <w:r>
              <w:rPr>
                <w:rFonts w:ascii="Arial" w:hAnsi="Arial"/>
                <w:sz w:val="18"/>
              </w:rPr>
              <w:t>Supply acquisition, local licensing, labor rules and payments. Coverage quality is monitored operationally.</w:t>
            </w:r>
          </w:p>
        </w:tc>
        <w:tc>
          <w:tcPr>
            <w:tcW w:type="dxa" w:w="2088"/>
            <w:vAlign w:val="top"/>
          </w:tcPr>
          <w:p>
            <w:pPr>
              <w:keepNext w:val="0"/>
              <w:spacing w:after="50" w:before="20" w:line="250" w:lineRule="auto"/>
            </w:pPr>
            <w:r>
              <w:rPr>
                <w:rFonts w:ascii="Arial" w:hAnsi="Arial"/>
                <w:sz w:val="18"/>
              </w:rPr>
              <w:t>Validate separately (V)</w:t>
              <w:br/>
              <w:t>People: NET CLIN LEG OPS</w:t>
              <w:br/>
              <w:t>Basis: H; marketplace expansion</w:t>
            </w:r>
          </w:p>
        </w:tc>
      </w:tr>
      <w:tr>
        <w:trPr>
          <w:cantSplit/>
        </w:trPr>
        <w:tc>
          <w:tcPr>
            <w:tcW w:type="dxa" w:w="4392"/>
            <w:vAlign w:val="top"/>
            <w:shd w:fill="F3F6F7"/>
          </w:tcPr>
          <w:p>
            <w:pPr>
              <w:keepNext w:val="0"/>
              <w:spacing w:after="50" w:before="20" w:line="250" w:lineRule="auto"/>
            </w:pPr>
            <w:r>
              <w:rPr>
                <w:rFonts w:ascii="Arial" w:hAnsi="Arial"/>
                <w:b/>
                <w:sz w:val="18"/>
              </w:rPr>
              <w:t>F181  Collective purchasing network</w:t>
            </w:r>
            <w:r>
              <w:rPr>
                <w:rFonts w:ascii="Arial" w:hAnsi="Arial"/>
                <w:b w:val="0"/>
                <w:sz w:val="18"/>
              </w:rPr>
              <w:br/>
              <w:t>Aggregate voluntary purchasing demand across businesses to negotiate supplier terms and trace fulfillment.</w:t>
            </w:r>
          </w:p>
        </w:tc>
        <w:tc>
          <w:tcPr>
            <w:tcW w:type="dxa" w:w="3744"/>
            <w:vAlign w:val="top"/>
            <w:shd w:fill="F3F6F7"/>
          </w:tcPr>
          <w:p>
            <w:pPr>
              <w:keepNext w:val="0"/>
              <w:spacing w:after="50" w:before="20" w:line="250" w:lineRule="auto"/>
            </w:pPr>
            <w:r>
              <w:rPr>
                <w:rFonts w:ascii="Arial" w:hAnsi="Arial"/>
                <w:sz w:val="18"/>
              </w:rPr>
              <w:t>Supplier network, purchasing operations and commercial agreements. Savings include shipping, waste and return costs.</w:t>
            </w:r>
          </w:p>
        </w:tc>
        <w:tc>
          <w:tcPr>
            <w:tcW w:type="dxa" w:w="2088"/>
            <w:vAlign w:val="top"/>
            <w:shd w:fill="F3F6F7"/>
          </w:tcPr>
          <w:p>
            <w:pPr>
              <w:keepNext w:val="0"/>
              <w:spacing w:after="50" w:before="20" w:line="250" w:lineRule="auto"/>
            </w:pPr>
            <w:r>
              <w:rPr>
                <w:rFonts w:ascii="Arial" w:hAnsi="Arial"/>
                <w:sz w:val="18"/>
              </w:rPr>
              <w:t>Validate separately (V)</w:t>
              <w:br/>
              <w:t>People: NET PART FIN OPS</w:t>
              <w:br/>
              <w:t>Basis: H; shared buying power</w:t>
            </w:r>
          </w:p>
        </w:tc>
      </w:tr>
      <w:tr>
        <w:trPr>
          <w:cantSplit/>
        </w:trPr>
        <w:tc>
          <w:tcPr>
            <w:tcW w:type="dxa" w:w="4392"/>
            <w:vAlign w:val="top"/>
          </w:tcPr>
          <w:p>
            <w:pPr>
              <w:keepNext w:val="0"/>
              <w:spacing w:after="50" w:before="20" w:line="250" w:lineRule="auto"/>
            </w:pPr>
            <w:r>
              <w:rPr>
                <w:rFonts w:ascii="Arial" w:hAnsi="Arial"/>
                <w:b/>
                <w:sz w:val="18"/>
              </w:rPr>
              <w:t>F182  Privacy preserving peer benchmarks</w:t>
            </w:r>
            <w:r>
              <w:rPr>
                <w:rFonts w:ascii="Arial" w:hAnsi="Arial"/>
                <w:b w:val="0"/>
                <w:sz w:val="18"/>
              </w:rPr>
              <w:br/>
              <w:t>Offer opt-in aggregated comparisons by business type and maturity, with minimum cell sizes and suppression.</w:t>
            </w:r>
          </w:p>
        </w:tc>
        <w:tc>
          <w:tcPr>
            <w:tcW w:type="dxa" w:w="3744"/>
            <w:vAlign w:val="top"/>
          </w:tcPr>
          <w:p>
            <w:pPr>
              <w:keepNext w:val="0"/>
              <w:spacing w:after="50" w:before="20" w:line="250" w:lineRule="auto"/>
            </w:pPr>
            <w:r>
              <w:rPr>
                <w:rFonts w:ascii="Arial" w:hAnsi="Arial"/>
                <w:sz w:val="18"/>
              </w:rPr>
              <w:t>Sufficient independent businesses and privacy review. Evaluate inference risk; enforce cohort, query and release limits, suppressing outputs that fail review.</w:t>
            </w:r>
          </w:p>
        </w:tc>
        <w:tc>
          <w:tcPr>
            <w:tcW w:type="dxa" w:w="2088"/>
            <w:vAlign w:val="top"/>
          </w:tcPr>
          <w:p>
            <w:pPr>
              <w:keepNext w:val="0"/>
              <w:spacing w:after="50" w:before="20" w:line="250" w:lineRule="auto"/>
            </w:pPr>
            <w:r>
              <w:rPr>
                <w:rFonts w:ascii="Arial" w:hAnsi="Arial"/>
                <w:sz w:val="18"/>
              </w:rPr>
              <w:t>Validate separately (V)</w:t>
              <w:br/>
              <w:t>People: DATA SEC LEG NET</w:t>
              <w:br/>
              <w:t>Basis: H; network analytics</w:t>
            </w:r>
          </w:p>
        </w:tc>
      </w:tr>
      <w:tr>
        <w:trPr>
          <w:cantSplit/>
        </w:trPr>
        <w:tc>
          <w:tcPr>
            <w:tcW w:type="dxa" w:w="4392"/>
            <w:vAlign w:val="top"/>
            <w:shd w:fill="F3F6F7"/>
          </w:tcPr>
          <w:p>
            <w:pPr>
              <w:keepNext w:val="0"/>
              <w:spacing w:after="50" w:before="20" w:line="250" w:lineRule="auto"/>
            </w:pPr>
            <w:r>
              <w:rPr>
                <w:rFonts w:ascii="Arial" w:hAnsi="Arial"/>
                <w:b/>
                <w:sz w:val="18"/>
              </w:rPr>
              <w:t>F183  Visual service previews</w:t>
            </w:r>
            <w:r>
              <w:rPr>
                <w:rFonts w:ascii="Arial" w:hAnsi="Arial"/>
                <w:b w:val="0"/>
                <w:sz w:val="18"/>
              </w:rPr>
              <w:br/>
              <w:t>Explore clearly labeled cosmetic simulations for hair, lash or brow consultation with client control.</w:t>
            </w:r>
          </w:p>
        </w:tc>
        <w:tc>
          <w:tcPr>
            <w:tcW w:type="dxa" w:w="3744"/>
            <w:vAlign w:val="top"/>
            <w:shd w:fill="F3F6F7"/>
          </w:tcPr>
          <w:p>
            <w:pPr>
              <w:keepNext w:val="0"/>
              <w:spacing w:after="50" w:before="20" w:line="250" w:lineRule="auto"/>
            </w:pPr>
            <w:r>
              <w:rPr>
                <w:rFonts w:ascii="Arial" w:hAnsi="Arial"/>
                <w:sz w:val="18"/>
              </w:rPr>
              <w:t>Specialist imaging, diverse evaluation and consent. Preview images are never used as evidence of actual outcomes.</w:t>
            </w:r>
          </w:p>
        </w:tc>
        <w:tc>
          <w:tcPr>
            <w:tcW w:type="dxa" w:w="2088"/>
            <w:vAlign w:val="top"/>
            <w:shd w:fill="F3F6F7"/>
          </w:tcPr>
          <w:p>
            <w:pPr>
              <w:keepNext w:val="0"/>
              <w:spacing w:after="50" w:before="20" w:line="250" w:lineRule="auto"/>
            </w:pPr>
            <w:r>
              <w:rPr>
                <w:rFonts w:ascii="Arial" w:hAnsi="Arial"/>
                <w:sz w:val="18"/>
              </w:rPr>
              <w:t>Validate separately (V)</w:t>
              <w:br/>
              <w:t>People: AI CLIN LEG</w:t>
              <w:br/>
              <w:t>Basis: H; visual consultation</w:t>
            </w:r>
          </w:p>
        </w:tc>
      </w:tr>
      <w:tr>
        <w:trPr>
          <w:cantSplit/>
        </w:trPr>
        <w:tc>
          <w:tcPr>
            <w:tcW w:type="dxa" w:w="4392"/>
            <w:vAlign w:val="top"/>
          </w:tcPr>
          <w:p>
            <w:pPr>
              <w:keepNext w:val="0"/>
              <w:spacing w:after="50" w:before="20" w:line="250" w:lineRule="auto"/>
            </w:pPr>
            <w:r>
              <w:rPr>
                <w:rFonts w:ascii="Arial" w:hAnsi="Arial"/>
                <w:b/>
                <w:sz w:val="18"/>
              </w:rPr>
              <w:t>F184  Clinical image interpretation</w:t>
            </w:r>
            <w:r>
              <w:rPr>
                <w:rFonts w:ascii="Arial" w:hAnsi="Arial"/>
                <w:b w:val="0"/>
                <w:sz w:val="18"/>
              </w:rPr>
              <w:br/>
              <w:t>Treat medical image assessment as a separate research and regulated-product decision, not a booking feature.</w:t>
            </w:r>
          </w:p>
        </w:tc>
        <w:tc>
          <w:tcPr>
            <w:tcW w:type="dxa" w:w="3744"/>
            <w:vAlign w:val="top"/>
          </w:tcPr>
          <w:p>
            <w:pPr>
              <w:keepNext w:val="0"/>
              <w:spacing w:after="50" w:before="20" w:line="250" w:lineRule="auto"/>
            </w:pPr>
            <w:r>
              <w:rPr>
                <w:rFonts w:ascii="Arial" w:hAnsi="Arial"/>
                <w:sz w:val="18"/>
              </w:rPr>
              <w:t>Clinical validation, regulatory expertise and ongoing monitoring. No diagnostic launch without required evidence.</w:t>
            </w:r>
          </w:p>
        </w:tc>
        <w:tc>
          <w:tcPr>
            <w:tcW w:type="dxa" w:w="2088"/>
            <w:vAlign w:val="top"/>
          </w:tcPr>
          <w:p>
            <w:pPr>
              <w:keepNext w:val="0"/>
              <w:spacing w:after="50" w:before="20" w:line="250" w:lineRule="auto"/>
            </w:pPr>
            <w:r>
              <w:rPr>
                <w:rFonts w:ascii="Arial" w:hAnsi="Arial"/>
                <w:sz w:val="18"/>
              </w:rPr>
              <w:t>Validate separately (V)</w:t>
              <w:br/>
              <w:t>People: CLIN LEG AI</w:t>
              <w:br/>
              <w:t>Basis: H; separate clinical product</w:t>
            </w:r>
          </w:p>
        </w:tc>
      </w:tr>
      <w:tr>
        <w:trPr>
          <w:cantSplit/>
        </w:trPr>
        <w:tc>
          <w:tcPr>
            <w:tcW w:type="dxa" w:w="4392"/>
            <w:vAlign w:val="top"/>
            <w:shd w:fill="F3F6F7"/>
          </w:tcPr>
          <w:p>
            <w:pPr>
              <w:keepNext w:val="0"/>
              <w:spacing w:after="50" w:before="20" w:line="250" w:lineRule="auto"/>
            </w:pPr>
            <w:r>
              <w:rPr>
                <w:rFonts w:ascii="Arial" w:hAnsi="Arial"/>
                <w:b/>
                <w:sz w:val="18"/>
              </w:rPr>
              <w:t>F185  Proprietary payment hardware</w:t>
            </w:r>
            <w:r>
              <w:rPr>
                <w:rFonts w:ascii="Arial" w:hAnsi="Arial"/>
                <w:b w:val="0"/>
                <w:sz w:val="18"/>
              </w:rPr>
              <w:br/>
              <w:t>Consider custom terminals only if certified partner devices demonstrably cannot meet a validated need.</w:t>
            </w:r>
          </w:p>
        </w:tc>
        <w:tc>
          <w:tcPr>
            <w:tcW w:type="dxa" w:w="3744"/>
            <w:vAlign w:val="top"/>
            <w:shd w:fill="F3F6F7"/>
          </w:tcPr>
          <w:p>
            <w:pPr>
              <w:keepNext w:val="0"/>
              <w:spacing w:after="50" w:before="20" w:line="250" w:lineRule="auto"/>
            </w:pPr>
            <w:r>
              <w:rPr>
                <w:rFonts w:ascii="Arial" w:hAnsi="Arial"/>
                <w:sz w:val="18"/>
              </w:rPr>
              <w:t>Hardware engineers, manufacturing, certification and support. Full lifecycle economics beat approved integrations.</w:t>
            </w:r>
          </w:p>
        </w:tc>
        <w:tc>
          <w:tcPr>
            <w:tcW w:type="dxa" w:w="2088"/>
            <w:vAlign w:val="top"/>
            <w:shd w:fill="F3F6F7"/>
          </w:tcPr>
          <w:p>
            <w:pPr>
              <w:keepNext w:val="0"/>
              <w:spacing w:after="50" w:before="20" w:line="250" w:lineRule="auto"/>
            </w:pPr>
            <w:r>
              <w:rPr>
                <w:rFonts w:ascii="Arial" w:hAnsi="Arial"/>
                <w:sz w:val="18"/>
              </w:rPr>
              <w:t>Validate separately (V)</w:t>
              <w:br/>
              <w:t>People: PAY PART OPS</w:t>
              <w:br/>
              <w:t>Basis: H; hardware business</w:t>
            </w:r>
          </w:p>
        </w:tc>
      </w:tr>
    </w:tbl>
    <w:p>
      <w:bookmarkStart w:id="8" w:name="analytics"/>
      <w:pPr>
        <w:pStyle w:val="Heading1"/>
        <w:pageBreakBefore/>
      </w:pPr>
      <w:r>
        <w:t>7 Detailed analytics specification</w:t>
      </w:r>
      <w:bookmarkEnd w:id="8"/>
    </w:p>
    <w:p>
      <w:r>
        <w:t>Analytics is part of the foundation, not a dashboard added after launch. The application needs two measurement layers: customer business performance and the quality, economics and reliability of the software itself. The following definitions are proposed requirements. They are not industry benchmarks, achieved results or audited financial statements.</w:t>
      </w:r>
    </w:p>
    <w:p>
      <w:r>
        <w:t>Every metric should disclose its formula, numerator and denominator where relevant, time zone, reporting window, segmentation, exclusions, data freshness and whether its inputs are actual, estimated or missing. A visible number must lead to its underlying records and an appropriate action. Accountant approval is required for financial recognition and statutory outputs.</w:t>
      </w:r>
    </w:p>
    <w:p>
      <w:r>
        <w:t>Start with booking correctness, reconciliation, document readiness and support. Add retention and contribution, then forecasting after reliable observations exist. Measure successful useful tasks and demonstrated benefit; notification volume, AI conversations and time in app are not the goal.</w:t>
      </w:r>
    </w:p>
    <w:p>
      <w:pPr>
        <w:pStyle w:val="Heading2"/>
      </w:pPr>
      <w:r>
        <w:t>7 1 Shared definitions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520"/>
        <w:gridCol w:w="7704"/>
      </w:tblGrid>
      <w:tr>
        <w:trPr>
          <w:tblHeader/>
        </w:trPr>
        <w:tc>
          <w:tcPr>
            <w:tcW w:type="dxa" w:w="2520"/>
            <w:vAlign w:val="top"/>
            <w:shd w:fill="173F50"/>
          </w:tcPr>
          <w:p>
            <w:pPr>
              <w:keepNext/>
              <w:spacing w:after="50" w:before="20" w:line="250" w:lineRule="auto"/>
            </w:pPr>
            <w:r>
              <w:rPr>
                <w:rFonts w:ascii="Arial" w:hAnsi="Arial"/>
                <w:b/>
                <w:color w:val="FFFFFF"/>
                <w:sz w:val="18"/>
              </w:rPr>
              <w:t>Term</w:t>
            </w:r>
          </w:p>
        </w:tc>
        <w:tc>
          <w:tcPr>
            <w:tcW w:type="dxa" w:w="7704"/>
            <w:vAlign w:val="top"/>
            <w:shd w:fill="173F50"/>
          </w:tcPr>
          <w:p>
            <w:pPr>
              <w:keepNext/>
              <w:spacing w:after="50" w:before="20" w:line="250" w:lineRule="auto"/>
            </w:pPr>
            <w:r>
              <w:rPr>
                <w:rFonts w:ascii="Arial" w:hAnsi="Arial"/>
                <w:b/>
                <w:color w:val="FFFFFF"/>
                <w:sz w:val="18"/>
              </w:rPr>
              <w:t>Required definition</w:t>
            </w:r>
          </w:p>
        </w:tc>
      </w:tr>
      <w:tr>
        <w:trPr>
          <w:cantSplit/>
        </w:trPr>
        <w:tc>
          <w:tcPr>
            <w:tcW w:type="dxa" w:w="2520"/>
            <w:vAlign w:val="top"/>
          </w:tcPr>
          <w:p>
            <w:pPr>
              <w:keepNext w:val="0"/>
              <w:spacing w:after="50" w:before="20" w:line="250" w:lineRule="auto"/>
            </w:pPr>
            <w:r>
              <w:rPr>
                <w:rFonts w:ascii="Arial" w:hAnsi="Arial"/>
                <w:sz w:val="18"/>
              </w:rPr>
              <w:t>One consistent reporting grain</w:t>
            </w:r>
          </w:p>
        </w:tc>
        <w:tc>
          <w:tcPr>
            <w:tcW w:type="dxa" w:w="7704"/>
            <w:vAlign w:val="top"/>
          </w:tcPr>
          <w:p>
            <w:pPr>
              <w:keepNext w:val="0"/>
              <w:spacing w:after="50" w:before="20" w:line="250" w:lineRule="auto"/>
            </w:pPr>
            <w:r>
              <w:rPr>
                <w:rFonts w:ascii="Arial" w:hAnsi="Arial"/>
                <w:sz w:val="18"/>
              </w:rPr>
              <w:t>Use tenant, location, client, visit, appointment, service phase, order line and ledger entry as distinct entities. A visit can contain several services, providers and tenders. Never count each payment attempt or service line as a new visit.</w:t>
            </w:r>
          </w:p>
        </w:tc>
      </w:tr>
      <w:tr>
        <w:trPr>
          <w:cantSplit/>
        </w:trPr>
        <w:tc>
          <w:tcPr>
            <w:tcW w:type="dxa" w:w="2520"/>
            <w:vAlign w:val="top"/>
            <w:shd w:fill="F3F6F7"/>
          </w:tcPr>
          <w:p>
            <w:pPr>
              <w:keepNext w:val="0"/>
              <w:spacing w:after="50" w:before="20" w:line="250" w:lineRule="auto"/>
            </w:pPr>
            <w:r>
              <w:rPr>
                <w:rFonts w:ascii="Arial" w:hAnsi="Arial"/>
                <w:sz w:val="18"/>
              </w:rPr>
              <w:t>Earned operating revenue</w:t>
            </w:r>
          </w:p>
        </w:tc>
        <w:tc>
          <w:tcPr>
            <w:tcW w:type="dxa" w:w="7704"/>
            <w:vAlign w:val="top"/>
            <w:shd w:fill="F3F6F7"/>
          </w:tcPr>
          <w:p>
            <w:pPr>
              <w:keepNext w:val="0"/>
              <w:spacing w:after="50" w:before="20" w:line="250" w:lineRule="auto"/>
            </w:pPr>
            <w:r>
              <w:rPr>
                <w:rFonts w:ascii="Arial" w:hAnsi="Arial"/>
                <w:sz w:val="18"/>
              </w:rPr>
              <w:t>For this product, report consideration allocated to performed services and fulfilled retail, net of discounts and reversals, excluding taxes and tips. This operational policy needs accountant review before financial reporting; contract terms, refunds and local rules can change recognition.</w:t>
            </w:r>
          </w:p>
        </w:tc>
      </w:tr>
      <w:tr>
        <w:trPr>
          <w:cantSplit/>
        </w:trPr>
        <w:tc>
          <w:tcPr>
            <w:tcW w:type="dxa" w:w="2520"/>
            <w:vAlign w:val="top"/>
          </w:tcPr>
          <w:p>
            <w:pPr>
              <w:keepNext w:val="0"/>
              <w:spacing w:after="50" w:before="20" w:line="250" w:lineRule="auto"/>
            </w:pPr>
            <w:r>
              <w:rPr>
                <w:rFonts w:ascii="Arial" w:hAnsi="Arial"/>
                <w:sz w:val="18"/>
              </w:rPr>
              <w:t>Booking value and GMV</w:t>
            </w:r>
          </w:p>
        </w:tc>
        <w:tc>
          <w:tcPr>
            <w:tcW w:type="dxa" w:w="7704"/>
            <w:vAlign w:val="top"/>
          </w:tcPr>
          <w:p>
            <w:pPr>
              <w:keepNext w:val="0"/>
              <w:spacing w:after="50" w:before="20" w:line="250" w:lineRule="auto"/>
            </w:pPr>
            <w:r>
              <w:rPr>
                <w:rFonts w:ascii="Arial" w:hAnsi="Arial"/>
                <w:sz w:val="18"/>
              </w:rPr>
              <w:t>Booking value describes unperformed commitments. If GMV is used, define it as completed service/fulfilled retail consideration after discounts and before returns, excluding taxes, tips and issuance of gift/prepaid balances. Label it explicitly; do not treat an industry-ambiguous GMV as profit or cash.</w:t>
            </w:r>
          </w:p>
        </w:tc>
      </w:tr>
      <w:tr>
        <w:trPr>
          <w:cantSplit/>
        </w:trPr>
        <w:tc>
          <w:tcPr>
            <w:tcW w:type="dxa" w:w="2520"/>
            <w:vAlign w:val="top"/>
            <w:shd w:fill="F3F6F7"/>
          </w:tcPr>
          <w:p>
            <w:pPr>
              <w:keepNext w:val="0"/>
              <w:spacing w:after="50" w:before="20" w:line="250" w:lineRule="auto"/>
            </w:pPr>
            <w:r>
              <w:rPr>
                <w:rFonts w:ascii="Arial" w:hAnsi="Arial"/>
                <w:sz w:val="18"/>
              </w:rPr>
              <w:t>Cash and processor volume</w:t>
            </w:r>
          </w:p>
        </w:tc>
        <w:tc>
          <w:tcPr>
            <w:tcW w:type="dxa" w:w="7704"/>
            <w:vAlign w:val="top"/>
            <w:shd w:fill="F3F6F7"/>
          </w:tcPr>
          <w:p>
            <w:pPr>
              <w:keepNext w:val="0"/>
              <w:spacing w:after="50" w:before="20" w:line="250" w:lineRule="auto"/>
            </w:pPr>
            <w:r>
              <w:rPr>
                <w:rFonts w:ascii="Arial" w:hAnsi="Arial"/>
                <w:sz w:val="18"/>
              </w:rPr>
              <w:t>Cash receipts follow successful capture or a recorded cash tender; net receipts subtract refunds. Gross processed payment volume includes all successful card captures, including tax, tips and prepaid loads, before refunds. Net processed volume subtracts refunds. Neither equals earned revenue.</w:t>
            </w:r>
          </w:p>
        </w:tc>
      </w:tr>
      <w:tr>
        <w:trPr>
          <w:cantSplit/>
        </w:trPr>
        <w:tc>
          <w:tcPr>
            <w:tcW w:type="dxa" w:w="2520"/>
            <w:vAlign w:val="top"/>
          </w:tcPr>
          <w:p>
            <w:pPr>
              <w:keepNext w:val="0"/>
              <w:spacing w:after="50" w:before="20" w:line="250" w:lineRule="auto"/>
            </w:pPr>
            <w:r>
              <w:rPr>
                <w:rFonts w:ascii="Arial" w:hAnsi="Arial"/>
                <w:sz w:val="18"/>
              </w:rPr>
              <w:t>Payouts</w:t>
            </w:r>
          </w:p>
        </w:tc>
        <w:tc>
          <w:tcPr>
            <w:tcW w:type="dxa" w:w="7704"/>
            <w:vAlign w:val="top"/>
          </w:tcPr>
          <w:p>
            <w:pPr>
              <w:keepNext w:val="0"/>
              <w:spacing w:after="50" w:before="20" w:line="250" w:lineRule="auto"/>
            </w:pPr>
            <w:r>
              <w:rPr>
                <w:rFonts w:ascii="Arial" w:hAnsi="Arial"/>
                <w:sz w:val="18"/>
              </w:rPr>
              <w:t>Bank payouts reflect settled payment flows after processor fees, refunds, disputes, reserves and timing differences. Reconcile capture to settlement to payout to bank; do not infer bank balance from a payment-success screen.</w:t>
            </w:r>
          </w:p>
        </w:tc>
      </w:tr>
      <w:tr>
        <w:trPr>
          <w:cantSplit/>
        </w:trPr>
        <w:tc>
          <w:tcPr>
            <w:tcW w:type="dxa" w:w="2520"/>
            <w:vAlign w:val="top"/>
            <w:shd w:fill="F3F6F7"/>
          </w:tcPr>
          <w:p>
            <w:pPr>
              <w:keepNext w:val="0"/>
              <w:spacing w:after="50" w:before="20" w:line="250" w:lineRule="auto"/>
            </w:pPr>
            <w:r>
              <w:rPr>
                <w:rFonts w:ascii="Arial" w:hAnsi="Arial"/>
                <w:sz w:val="18"/>
              </w:rPr>
              <w:t>Tips and taxes</w:t>
            </w:r>
          </w:p>
        </w:tc>
        <w:tc>
          <w:tcPr>
            <w:tcW w:type="dxa" w:w="7704"/>
            <w:vAlign w:val="top"/>
            <w:shd w:fill="F3F6F7"/>
          </w:tcPr>
          <w:p>
            <w:pPr>
              <w:keepNext w:val="0"/>
              <w:spacing w:after="50" w:before="20" w:line="250" w:lineRule="auto"/>
            </w:pPr>
            <w:r>
              <w:rPr>
                <w:rFonts w:ascii="Arial" w:hAnsi="Arial"/>
                <w:sz w:val="18"/>
              </w:rPr>
              <w:t>Track tips and collected taxes in separate payable buckets, subject to accountant/payroll rules. They do not inflate service revenue or contribution. Show whether a suggested tip is based on pre-discount or post-discount service value.</w:t>
            </w:r>
          </w:p>
        </w:tc>
      </w:tr>
      <w:tr>
        <w:trPr>
          <w:cantSplit/>
        </w:trPr>
        <w:tc>
          <w:tcPr>
            <w:tcW w:type="dxa" w:w="2520"/>
            <w:vAlign w:val="top"/>
          </w:tcPr>
          <w:p>
            <w:pPr>
              <w:keepNext w:val="0"/>
              <w:spacing w:after="50" w:before="20" w:line="250" w:lineRule="auto"/>
            </w:pPr>
            <w:r>
              <w:rPr>
                <w:rFonts w:ascii="Arial" w:hAnsi="Arial"/>
                <w:sz w:val="18"/>
              </w:rPr>
              <w:t>Deposits, gift cards and packages</w:t>
            </w:r>
          </w:p>
        </w:tc>
        <w:tc>
          <w:tcPr>
            <w:tcW w:type="dxa" w:w="7704"/>
            <w:vAlign w:val="top"/>
          </w:tcPr>
          <w:p>
            <w:pPr>
              <w:keepNext w:val="0"/>
              <w:spacing w:after="50" w:before="20" w:line="250" w:lineRule="auto"/>
            </w:pPr>
            <w:r>
              <w:rPr>
                <w:rFonts w:ascii="Arial" w:hAnsi="Arial"/>
                <w:sz w:val="18"/>
              </w:rPr>
              <w:t>Keep receipt, entitlement and performance allocation separate. A $100 prepaid two-visit package allocated equally contributes $50 when each eligible visit is performed; it is not $100 at sale plus $50 twice. Discounts, upgrades, refunds, breakage and expiry need explicit approved policy.</w:t>
            </w:r>
          </w:p>
        </w:tc>
      </w:tr>
      <w:tr>
        <w:trPr>
          <w:cantSplit/>
        </w:trPr>
        <w:tc>
          <w:tcPr>
            <w:tcW w:type="dxa" w:w="2520"/>
            <w:vAlign w:val="top"/>
            <w:shd w:fill="F3F6F7"/>
          </w:tcPr>
          <w:p>
            <w:pPr>
              <w:keepNext w:val="0"/>
              <w:spacing w:after="50" w:before="20" w:line="250" w:lineRule="auto"/>
            </w:pPr>
            <w:r>
              <w:rPr>
                <w:rFonts w:ascii="Arial" w:hAnsi="Arial"/>
                <w:sz w:val="18"/>
              </w:rPr>
              <w:t>Refunds and period corrections</w:t>
            </w:r>
          </w:p>
        </w:tc>
        <w:tc>
          <w:tcPr>
            <w:tcW w:type="dxa" w:w="7704"/>
            <w:vAlign w:val="top"/>
            <w:shd w:fill="F3F6F7"/>
          </w:tcPr>
          <w:p>
            <w:pPr>
              <w:keepNext w:val="0"/>
              <w:spacing w:after="50" w:before="20" w:line="250" w:lineRule="auto"/>
            </w:pPr>
            <w:r>
              <w:rPr>
                <w:rFonts w:ascii="Arial" w:hAnsi="Arial"/>
                <w:sz w:val="18"/>
              </w:rPr>
              <w:t>Link a reversal to its original order/payment/allocation. Show operational return date and original cohort views without silently restating a closed accounting period. Never net a refund twice when it appears in both POS and processor feeds.</w:t>
            </w:r>
          </w:p>
        </w:tc>
      </w:tr>
      <w:tr>
        <w:trPr>
          <w:cantSplit/>
        </w:trPr>
        <w:tc>
          <w:tcPr>
            <w:tcW w:type="dxa" w:w="2520"/>
            <w:vAlign w:val="top"/>
          </w:tcPr>
          <w:p>
            <w:pPr>
              <w:keepNext w:val="0"/>
              <w:spacing w:after="50" w:before="20" w:line="250" w:lineRule="auto"/>
            </w:pPr>
            <w:r>
              <w:rPr>
                <w:rFonts w:ascii="Arial" w:hAnsi="Arial"/>
                <w:sz w:val="18"/>
              </w:rPr>
              <w:t>Contribution and LTV</w:t>
            </w:r>
          </w:p>
        </w:tc>
        <w:tc>
          <w:tcPr>
            <w:tcW w:type="dxa" w:w="7704"/>
            <w:vAlign w:val="top"/>
          </w:tcPr>
          <w:p>
            <w:pPr>
              <w:keepNext w:val="0"/>
              <w:spacing w:after="50" w:before="20" w:line="250" w:lineRule="auto"/>
            </w:pPr>
            <w:r>
              <w:rPr>
                <w:rFonts w:ascii="Arial" w:hAnsi="Arial"/>
                <w:sz w:val="18"/>
              </w:rPr>
              <w:t>Contribution deducts explicitly listed service/transaction variable costs from net earned revenue and excludes acquisition spend; it is not operating profit. Observed LTV uses that contribution over a fixed, fully observed horizon before CAC. Treat marketplace acquisition commissions in CAC, not both places. Predictions require separate labels and uncertainty.</w:t>
            </w:r>
          </w:p>
        </w:tc>
      </w:tr>
      <w:tr>
        <w:trPr>
          <w:cantSplit/>
        </w:trPr>
        <w:tc>
          <w:tcPr>
            <w:tcW w:type="dxa" w:w="2520"/>
            <w:vAlign w:val="top"/>
            <w:shd w:fill="F3F6F7"/>
          </w:tcPr>
          <w:p>
            <w:pPr>
              <w:keepNext w:val="0"/>
              <w:spacing w:after="50" w:before="20" w:line="250" w:lineRule="auto"/>
            </w:pPr>
            <w:r>
              <w:rPr>
                <w:rFonts w:ascii="Arial" w:hAnsi="Arial"/>
                <w:sz w:val="18"/>
              </w:rPr>
              <w:t>Retention maturity</w:t>
            </w:r>
          </w:p>
        </w:tc>
        <w:tc>
          <w:tcPr>
            <w:tcW w:type="dxa" w:w="7704"/>
            <w:vAlign w:val="top"/>
            <w:shd w:fill="F3F6F7"/>
          </w:tcPr>
          <w:p>
            <w:pPr>
              <w:keepNext w:val="0"/>
              <w:spacing w:after="50" w:before="20" w:line="250" w:lineRule="auto"/>
            </w:pPr>
            <w:r>
              <w:rPr>
                <w:rFonts w:ascii="Arial" w:hAnsi="Arial"/>
                <w:sz w:val="18"/>
              </w:rPr>
              <w:t>A 90-day first-visit cohort denominator includes only clients with 90 full days of observable history at cutoff. Show immature cohorts separately. Imported unknown history stays unknown. Distinct visits, rather than service lines, define returns.</w:t>
            </w:r>
          </w:p>
        </w:tc>
      </w:tr>
      <w:tr>
        <w:trPr>
          <w:cantSplit/>
        </w:trPr>
        <w:tc>
          <w:tcPr>
            <w:tcW w:type="dxa" w:w="2520"/>
            <w:vAlign w:val="top"/>
          </w:tcPr>
          <w:p>
            <w:pPr>
              <w:keepNext w:val="0"/>
              <w:spacing w:after="50" w:before="20" w:line="250" w:lineRule="auto"/>
            </w:pPr>
            <w:r>
              <w:rPr>
                <w:rFonts w:ascii="Arial" w:hAnsi="Arial"/>
                <w:sz w:val="18"/>
              </w:rPr>
              <w:t>Capacity and utilization</w:t>
            </w:r>
          </w:p>
        </w:tc>
        <w:tc>
          <w:tcPr>
            <w:tcW w:type="dxa" w:w="7704"/>
            <w:vAlign w:val="top"/>
          </w:tcPr>
          <w:p>
            <w:pPr>
              <w:keepNext w:val="0"/>
              <w:spacing w:after="50" w:before="20" w:line="250" w:lineRule="auto"/>
            </w:pPr>
            <w:r>
              <w:rPr>
                <w:rFonts w:ascii="Arial" w:hAnsi="Arial"/>
                <w:sz w:val="18"/>
              </w:rPr>
              <w:t>Provider active minutes and room/equipment occupancy are distinct resources. Processing can release staff while retaining a chair. Union overlapping intervals per resource, preserve the denominator snapshot, separate planned from actual work, and disclose estimated timing coverage.</w:t>
            </w:r>
          </w:p>
        </w:tc>
      </w:tr>
      <w:tr>
        <w:trPr>
          <w:cantSplit/>
        </w:trPr>
        <w:tc>
          <w:tcPr>
            <w:tcW w:type="dxa" w:w="2520"/>
            <w:vAlign w:val="top"/>
            <w:shd w:fill="F3F6F7"/>
          </w:tcPr>
          <w:p>
            <w:pPr>
              <w:keepNext w:val="0"/>
              <w:spacing w:after="50" w:before="20" w:line="250" w:lineRule="auto"/>
            </w:pPr>
            <w:r>
              <w:rPr>
                <w:rFonts w:ascii="Arial" w:hAnsi="Arial"/>
                <w:sz w:val="18"/>
              </w:rPr>
              <w:t>Acquisition and incremental value</w:t>
            </w:r>
          </w:p>
        </w:tc>
        <w:tc>
          <w:tcPr>
            <w:tcW w:type="dxa" w:w="7704"/>
            <w:vAlign w:val="top"/>
            <w:shd w:fill="F3F6F7"/>
          </w:tcPr>
          <w:p>
            <w:pPr>
              <w:keepNext w:val="0"/>
              <w:spacing w:after="50" w:before="20" w:line="250" w:lineRule="auto"/>
            </w:pPr>
            <w:r>
              <w:rPr>
                <w:rFonts w:ascii="Arial" w:hAnsi="Arial"/>
                <w:sz w:val="18"/>
              </w:rPr>
              <w:t>A channel can receive attribution without causing a booking. CAC needs complete spend and consistent first-completed-client attribution. Incremental lift requires prespecified randomized treatment/control comparisons or an explicitly weaker observational method.</w:t>
            </w:r>
          </w:p>
        </w:tc>
      </w:tr>
      <w:tr>
        <w:trPr>
          <w:cantSplit/>
        </w:trPr>
        <w:tc>
          <w:tcPr>
            <w:tcW w:type="dxa" w:w="2520"/>
            <w:vAlign w:val="top"/>
          </w:tcPr>
          <w:p>
            <w:pPr>
              <w:keepNext w:val="0"/>
              <w:spacing w:after="50" w:before="20" w:line="250" w:lineRule="auto"/>
            </w:pPr>
            <w:r>
              <w:rPr>
                <w:rFonts w:ascii="Arial" w:hAnsi="Arial"/>
                <w:sz w:val="18"/>
              </w:rPr>
              <w:t>Time and currency</w:t>
            </w:r>
          </w:p>
        </w:tc>
        <w:tc>
          <w:tcPr>
            <w:tcW w:type="dxa" w:w="7704"/>
            <w:vAlign w:val="top"/>
          </w:tcPr>
          <w:p>
            <w:pPr>
              <w:keepNext w:val="0"/>
              <w:spacing w:after="50" w:before="20" w:line="250" w:lineRule="auto"/>
            </w:pPr>
            <w:r>
              <w:rPr>
                <w:rFonts w:ascii="Arial" w:hAnsi="Arial"/>
                <w:sz w:val="18"/>
              </w:rPr>
              <w:t>Store instants in UTC and preserve business timezone for local day/week cohorts. Use interval-aware daylight-saving handling. Keep original currency amounts in integer minor units; show FX date/rate if consolidating currencies.</w:t>
            </w:r>
          </w:p>
        </w:tc>
      </w:tr>
      <w:tr>
        <w:trPr>
          <w:cantSplit/>
        </w:trPr>
        <w:tc>
          <w:tcPr>
            <w:tcW w:type="dxa" w:w="2520"/>
            <w:vAlign w:val="top"/>
            <w:shd w:fill="F3F6F7"/>
          </w:tcPr>
          <w:p>
            <w:pPr>
              <w:keepNext w:val="0"/>
              <w:spacing w:after="50" w:before="20" w:line="250" w:lineRule="auto"/>
            </w:pPr>
            <w:r>
              <w:rPr>
                <w:rFonts w:ascii="Arial" w:hAnsi="Arial"/>
                <w:sz w:val="18"/>
              </w:rPr>
              <w:t>Unknown values and sparse samples</w:t>
            </w:r>
          </w:p>
        </w:tc>
        <w:tc>
          <w:tcPr>
            <w:tcW w:type="dxa" w:w="7704"/>
            <w:vAlign w:val="top"/>
            <w:shd w:fill="F3F6F7"/>
          </w:tcPr>
          <w:p>
            <w:pPr>
              <w:keepNext w:val="0"/>
              <w:spacing w:after="50" w:before="20" w:line="250" w:lineRule="auto"/>
            </w:pPr>
            <w:r>
              <w:rPr>
                <w:rFonts w:ascii="Arial" w:hAnsi="Arial"/>
                <w:sz w:val="18"/>
              </w:rPr>
              <w:t>Zero means measured none; null means missing or inapplicable. Every rate shows numerator, denominator, time window and data freshness. Suppress or flag sparse segments instead of producing confident staff rankings or forecast claims.</w:t>
            </w:r>
          </w:p>
        </w:tc>
      </w:tr>
    </w:tbl>
    <w:p>
      <w:pPr>
        <w:spacing w:after="40" w:before="0" w:line="240" w:lineRule="auto"/>
      </w:pPr>
      <w:r>
        <w:rPr>
          <w:sz w:val="4"/>
        </w:rPr>
      </w:r>
    </w:p>
    <w:p>
      <w:pPr>
        <w:pStyle w:val="Heading2"/>
      </w:pPr>
      <w:r>
        <w:t>7 2 Metrics by decision area</w:t>
      </w:r>
    </w:p>
    <w:p>
      <w:r>
        <w:t>The 65 metrics below include calculation rules, segmentation, suggested action and limits. Event IDs refer to the canonical event dictionary later in this chapter. The owner and cadence are given once per group. Where cost, timing or historical data are incomplete, coverage must accompany the metric.</w:t>
      </w:r>
    </w:p>
    <w:p>
      <w:pPr>
        <w:pStyle w:val="Heading3"/>
      </w:pPr>
      <w:r>
        <w:t>Owner business health</w:t>
      </w:r>
    </w:p>
    <w:p>
      <w:pPr>
        <w:keepNext/>
      </w:pPr>
      <w:r>
        <w:t>Accountable role: Owner / finance. Review cadence: Daily; weekly review. Features: F074, F112, F113, F173.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160"/>
        <w:gridCol w:w="4104"/>
        <w:gridCol w:w="3960"/>
      </w:tblGrid>
      <w:tr>
        <w:trPr>
          <w:tblHeader/>
        </w:trPr>
        <w:tc>
          <w:tcPr>
            <w:tcW w:type="dxa" w:w="2160"/>
            <w:vAlign w:val="top"/>
            <w:shd w:fill="173F50"/>
          </w:tcPr>
          <w:p>
            <w:pPr>
              <w:keepNext/>
              <w:spacing w:after="50" w:before="20" w:line="250" w:lineRule="auto"/>
            </w:pPr>
            <w:r>
              <w:rPr>
                <w:rFonts w:ascii="Arial" w:hAnsi="Arial"/>
                <w:b/>
                <w:color w:val="FFFFFF"/>
                <w:sz w:val="18"/>
              </w:rPr>
              <w:t>Metric and source</w:t>
            </w:r>
          </w:p>
        </w:tc>
        <w:tc>
          <w:tcPr>
            <w:tcW w:type="dxa" w:w="4104"/>
            <w:vAlign w:val="top"/>
            <w:shd w:fill="173F50"/>
          </w:tcPr>
          <w:p>
            <w:pPr>
              <w:keepNext/>
              <w:spacing w:after="50" w:before="20" w:line="250" w:lineRule="auto"/>
            </w:pPr>
            <w:r>
              <w:rPr>
                <w:rFonts w:ascii="Arial" w:hAnsi="Arial"/>
                <w:b/>
                <w:color w:val="FFFFFF"/>
                <w:sz w:val="18"/>
              </w:rPr>
              <w:t>Formula and population</w:t>
            </w:r>
          </w:p>
        </w:tc>
        <w:tc>
          <w:tcPr>
            <w:tcW w:type="dxa" w:w="3960"/>
            <w:vAlign w:val="top"/>
            <w:shd w:fill="173F50"/>
          </w:tcPr>
          <w:p>
            <w:pPr>
              <w:keepNext/>
              <w:spacing w:after="50" w:before="20" w:line="250" w:lineRule="auto"/>
            </w:pPr>
            <w:r>
              <w:rPr>
                <w:rFonts w:ascii="Arial" w:hAnsi="Arial"/>
                <w:b/>
                <w:color w:val="FFFFFF"/>
                <w:sz w:val="18"/>
              </w:rPr>
              <w:t>Use and interpretation</w:t>
            </w:r>
          </w:p>
        </w:tc>
      </w:tr>
      <w:tr>
        <w:trPr>
          <w:cantSplit/>
        </w:trPr>
        <w:tc>
          <w:tcPr>
            <w:tcW w:type="dxa" w:w="2160"/>
            <w:vAlign w:val="top"/>
          </w:tcPr>
          <w:p>
            <w:pPr>
              <w:keepNext w:val="0"/>
              <w:spacing w:after="50" w:before="20" w:line="250" w:lineRule="auto"/>
            </w:pPr>
            <w:r>
              <w:rPr>
                <w:rFonts w:ascii="Arial" w:hAnsi="Arial"/>
                <w:b/>
                <w:sz w:val="18"/>
              </w:rPr>
              <w:t>K01  Net earned operating revenue</w:t>
            </w:r>
            <w:r>
              <w:rPr>
                <w:rFonts w:ascii="Arial" w:hAnsi="Arial"/>
                <w:b w:val="0"/>
                <w:sz w:val="18"/>
              </w:rPr>
              <w:br/>
              <w:t>Events: E08, E16</w:t>
            </w:r>
          </w:p>
        </w:tc>
        <w:tc>
          <w:tcPr>
            <w:tcW w:type="dxa" w:w="4104"/>
            <w:vAlign w:val="top"/>
          </w:tcPr>
          <w:p>
            <w:pPr>
              <w:keepNext w:val="0"/>
              <w:spacing w:after="50" w:before="20" w:line="250" w:lineRule="auto"/>
            </w:pPr>
            <w:r>
              <w:rPr>
                <w:rFonts w:ascii="Arial" w:hAnsi="Arial"/>
                <w:sz w:val="18"/>
              </w:rPr>
              <w:t>For services performed and retail fulfilled in the local reporting period, sum allocated consideration after discounts and earned-revenue reversals; exclude tax, tips and unused prepaid balances.</w:t>
            </w:r>
          </w:p>
        </w:tc>
        <w:tc>
          <w:tcPr>
            <w:tcW w:type="dxa" w:w="3960"/>
            <w:vAlign w:val="top"/>
          </w:tcPr>
          <w:p>
            <w:pPr>
              <w:keepNext w:val="0"/>
              <w:spacing w:after="50" w:before="20" w:line="250" w:lineRule="auto"/>
            </w:pPr>
            <w:r>
              <w:rPr>
                <w:rFonts w:ascii="Arial" w:hAnsi="Arial"/>
                <w:sz w:val="18"/>
              </w:rPr>
              <w:t>Segment: Service, location, provider, sale type</w:t>
              <w:br/>
              <w:t>Action: Compare service mix and target gaps.</w:t>
              <w:br/>
              <w:t>Limit: Operational recognition policy needs accountant approval; cash capture and appointment creation are not performance.</w:t>
            </w:r>
          </w:p>
        </w:tc>
      </w:tr>
      <w:tr>
        <w:trPr>
          <w:cantSplit/>
        </w:trPr>
        <w:tc>
          <w:tcPr>
            <w:tcW w:type="dxa" w:w="2160"/>
            <w:vAlign w:val="top"/>
            <w:shd w:fill="F3F6F7"/>
          </w:tcPr>
          <w:p>
            <w:pPr>
              <w:keepNext w:val="0"/>
              <w:spacing w:after="50" w:before="20" w:line="250" w:lineRule="auto"/>
            </w:pPr>
            <w:r>
              <w:rPr>
                <w:rFonts w:ascii="Arial" w:hAnsi="Arial"/>
                <w:b/>
                <w:sz w:val="18"/>
              </w:rPr>
              <w:t>K02  Net customer cash receipts</w:t>
            </w:r>
            <w:r>
              <w:rPr>
                <w:rFonts w:ascii="Arial" w:hAnsi="Arial"/>
                <w:b w:val="0"/>
                <w:sz w:val="18"/>
              </w:rPr>
              <w:br/>
              <w:t>Events: E17, E15</w:t>
            </w:r>
          </w:p>
        </w:tc>
        <w:tc>
          <w:tcPr>
            <w:tcW w:type="dxa" w:w="4104"/>
            <w:vAlign w:val="top"/>
            <w:shd w:fill="F3F6F7"/>
          </w:tcPr>
          <w:p>
            <w:pPr>
              <w:keepNext w:val="0"/>
              <w:spacing w:after="50" w:before="20" w:line="250" w:lineRule="auto"/>
            </w:pPr>
            <w:r>
              <w:rPr>
                <w:rFonts w:ascii="Arial" w:hAnsi="Arial"/>
                <w:sz w:val="18"/>
              </w:rPr>
              <w:t>Successful captures and recorded cash tenders minus issued refunds by receipt date; include a separate bridge for tax, tips, deposits and prepaid purchases.</w:t>
            </w:r>
          </w:p>
        </w:tc>
        <w:tc>
          <w:tcPr>
            <w:tcW w:type="dxa" w:w="3960"/>
            <w:vAlign w:val="top"/>
            <w:shd w:fill="F3F6F7"/>
          </w:tcPr>
          <w:p>
            <w:pPr>
              <w:keepNext w:val="0"/>
              <w:spacing w:after="50" w:before="20" w:line="250" w:lineRule="auto"/>
            </w:pPr>
            <w:r>
              <w:rPr>
                <w:rFonts w:ascii="Arial" w:hAnsi="Arial"/>
                <w:sz w:val="18"/>
              </w:rPr>
              <w:t>Segment: Tender, currency, location</w:t>
              <w:br/>
              <w:t>Action: Explain available receipts and cash-versus-sales differences.</w:t>
              <w:br/>
              <w:t>Limit: Authorizations are not receipts; processor cash is not yet a bank payout. Never add this figure to earned revenue.</w:t>
            </w:r>
          </w:p>
        </w:tc>
      </w:tr>
      <w:tr>
        <w:trPr>
          <w:cantSplit/>
        </w:trPr>
        <w:tc>
          <w:tcPr>
            <w:tcW w:type="dxa" w:w="2160"/>
            <w:vAlign w:val="top"/>
          </w:tcPr>
          <w:p>
            <w:pPr>
              <w:keepNext w:val="0"/>
              <w:spacing w:after="50" w:before="20" w:line="250" w:lineRule="auto"/>
            </w:pPr>
            <w:r>
              <w:rPr>
                <w:rFonts w:ascii="Arial" w:hAnsi="Arial"/>
                <w:b/>
                <w:sz w:val="18"/>
              </w:rPr>
              <w:t>K03  Contribution and contribution margin</w:t>
            </w:r>
            <w:r>
              <w:rPr>
                <w:rFonts w:ascii="Arial" w:hAnsi="Arial"/>
                <w:b w:val="0"/>
                <w:sz w:val="18"/>
              </w:rPr>
              <w:br/>
              <w:t>Events: E16, E22, E25, E18</w:t>
            </w:r>
          </w:p>
        </w:tc>
        <w:tc>
          <w:tcPr>
            <w:tcW w:type="dxa" w:w="4104"/>
            <w:vAlign w:val="top"/>
          </w:tcPr>
          <w:p>
            <w:pPr>
              <w:keepNext w:val="0"/>
              <w:spacing w:after="50" w:before="20" w:line="250" w:lineRule="auto"/>
            </w:pPr>
            <w:r>
              <w:rPr>
                <w:rFonts w:ascii="Arial" w:hAnsi="Arial"/>
                <w:sz w:val="18"/>
              </w:rPr>
              <w:t>K01 minus attributable consumables, variable service labor/commissions, processing fees and fulfillment costs. Margin equals contribution divided by K01 for the same period; acquisition spend is separate.</w:t>
            </w:r>
          </w:p>
        </w:tc>
        <w:tc>
          <w:tcPr>
            <w:tcW w:type="dxa" w:w="3960"/>
            <w:vAlign w:val="top"/>
          </w:tcPr>
          <w:p>
            <w:pPr>
              <w:keepNext w:val="0"/>
              <w:spacing w:after="50" w:before="20" w:line="250" w:lineRule="auto"/>
            </w:pPr>
            <w:r>
              <w:rPr>
                <w:rFonts w:ascii="Arial" w:hAnsi="Arial"/>
                <w:sz w:val="18"/>
              </w:rPr>
              <w:t>Segment: Service, location, provider, channel</w:t>
              <w:br/>
              <w:t>Action: Find high-volume services that contribute little.</w:t>
              <w:br/>
              <w:t>Limit: List included costs. Missing costs make contribution provisional; exclude CAC and fixed overhead unless showing a separately named measure.</w:t>
            </w:r>
          </w:p>
        </w:tc>
      </w:tr>
      <w:tr>
        <w:trPr>
          <w:cantSplit/>
        </w:trPr>
        <w:tc>
          <w:tcPr>
            <w:tcW w:type="dxa" w:w="2160"/>
            <w:vAlign w:val="top"/>
            <w:shd w:fill="F3F6F7"/>
          </w:tcPr>
          <w:p>
            <w:pPr>
              <w:keepNext w:val="0"/>
              <w:spacing w:after="50" w:before="20" w:line="250" w:lineRule="auto"/>
            </w:pPr>
            <w:r>
              <w:rPr>
                <w:rFonts w:ascii="Arial" w:hAnsi="Arial"/>
                <w:b/>
                <w:sz w:val="18"/>
              </w:rPr>
              <w:t>K04  Revenue target attainment</w:t>
            </w:r>
            <w:r>
              <w:rPr>
                <w:rFonts w:ascii="Arial" w:hAnsi="Arial"/>
                <w:b w:val="0"/>
                <w:sz w:val="18"/>
              </w:rPr>
              <w:br/>
              <w:t>Events: E16, E09</w:t>
            </w:r>
          </w:p>
        </w:tc>
        <w:tc>
          <w:tcPr>
            <w:tcW w:type="dxa" w:w="4104"/>
            <w:vAlign w:val="top"/>
            <w:shd w:fill="F3F6F7"/>
          </w:tcPr>
          <w:p>
            <w:pPr>
              <w:keepNext w:val="0"/>
              <w:spacing w:after="50" w:before="20" w:line="250" w:lineRule="auto"/>
            </w:pPr>
            <w:r>
              <w:rPr>
                <w:rFonts w:ascii="Arial" w:hAnsi="Arial"/>
                <w:sz w:val="18"/>
              </w:rPr>
              <w:t>K01 divided by the approved period target; show actual-to-date, remaining target and a separately labeled forecast using the same recognition basis.</w:t>
            </w:r>
          </w:p>
        </w:tc>
        <w:tc>
          <w:tcPr>
            <w:tcW w:type="dxa" w:w="3960"/>
            <w:vAlign w:val="top"/>
            <w:shd w:fill="F3F6F7"/>
          </w:tcPr>
          <w:p>
            <w:pPr>
              <w:keepNext w:val="0"/>
              <w:spacing w:after="50" w:before="20" w:line="250" w:lineRule="auto"/>
            </w:pPr>
            <w:r>
              <w:rPr>
                <w:rFonts w:ascii="Arial" w:hAnsi="Arial"/>
                <w:sz w:val="18"/>
              </w:rPr>
              <w:t>Segment: Location, service family, week/month</w:t>
              <w:br/>
              <w:t>Action: Choose achievable actions for the remaining period.</w:t>
              <w:br/>
              <w:t>Limit: Targets and forecasts are assumptions with version/date. Do not add future booking value to earned actuals.</w:t>
            </w:r>
          </w:p>
        </w:tc>
      </w:tr>
      <w:tr>
        <w:trPr>
          <w:cantSplit/>
        </w:trPr>
        <w:tc>
          <w:tcPr>
            <w:tcW w:type="dxa" w:w="2160"/>
            <w:vAlign w:val="top"/>
          </w:tcPr>
          <w:p>
            <w:pPr>
              <w:keepNext w:val="0"/>
              <w:spacing w:after="50" w:before="20" w:line="250" w:lineRule="auto"/>
            </w:pPr>
            <w:r>
              <w:rPr>
                <w:rFonts w:ascii="Arial" w:hAnsi="Arial"/>
                <w:b/>
                <w:sz w:val="18"/>
              </w:rPr>
              <w:t>K05  Service revenue per available provider hour</w:t>
            </w:r>
            <w:r>
              <w:rPr>
                <w:rFonts w:ascii="Arial" w:hAnsi="Arial"/>
                <w:b w:val="0"/>
                <w:sz w:val="18"/>
              </w:rPr>
              <w:br/>
              <w:t>Events: E16, E09</w:t>
            </w:r>
          </w:p>
        </w:tc>
        <w:tc>
          <w:tcPr>
            <w:tcW w:type="dxa" w:w="4104"/>
            <w:vAlign w:val="top"/>
          </w:tcPr>
          <w:p>
            <w:pPr>
              <w:keepNext w:val="0"/>
              <w:spacing w:after="50" w:before="20" w:line="250" w:lineRule="auto"/>
            </w:pPr>
            <w:r>
              <w:rPr>
                <w:rFonts w:ascii="Arial" w:hAnsi="Arial"/>
                <w:sz w:val="18"/>
              </w:rPr>
              <w:t>Earned service revenue divided by baseline sellable provider minutes/60 during the period; use the same eligible staff and locations in numerator and denominator.</w:t>
            </w:r>
          </w:p>
        </w:tc>
        <w:tc>
          <w:tcPr>
            <w:tcW w:type="dxa" w:w="3960"/>
            <w:vAlign w:val="top"/>
          </w:tcPr>
          <w:p>
            <w:pPr>
              <w:keepNext w:val="0"/>
              <w:spacing w:after="50" w:before="20" w:line="250" w:lineRule="auto"/>
            </w:pPr>
            <w:r>
              <w:rPr>
                <w:rFonts w:ascii="Arial" w:hAnsi="Arial"/>
                <w:sz w:val="18"/>
              </w:rPr>
              <w:t>Segment: Service, staff role, location</w:t>
              <w:br/>
              <w:t>Action: Separate low demand from low pricing or poor service mix.</w:t>
              <w:br/>
              <w:t>Limit: Room occupancy is a separate denominator. Display unavailable time and zero-capacity periods; do not rank staff across incomparable service mixes.</w:t>
            </w:r>
          </w:p>
        </w:tc>
      </w:tr>
      <w:tr>
        <w:trPr>
          <w:cantSplit/>
        </w:trPr>
        <w:tc>
          <w:tcPr>
            <w:tcW w:type="dxa" w:w="2160"/>
            <w:vAlign w:val="top"/>
            <w:shd w:fill="F3F6F7"/>
          </w:tcPr>
          <w:p>
            <w:pPr>
              <w:keepNext w:val="0"/>
              <w:spacing w:after="50" w:before="20" w:line="250" w:lineRule="auto"/>
            </w:pPr>
            <w:r>
              <w:rPr>
                <w:rFonts w:ascii="Arial" w:hAnsi="Arial"/>
                <w:b/>
                <w:sz w:val="18"/>
              </w:rPr>
              <w:t>K06  Forward booking coverage</w:t>
            </w:r>
            <w:r>
              <w:rPr>
                <w:rFonts w:ascii="Arial" w:hAnsi="Arial"/>
                <w:b w:val="0"/>
                <w:sz w:val="18"/>
              </w:rPr>
              <w:br/>
              <w:t>Events: E07, E09</w:t>
            </w:r>
          </w:p>
        </w:tc>
        <w:tc>
          <w:tcPr>
            <w:tcW w:type="dxa" w:w="4104"/>
            <w:vAlign w:val="top"/>
            <w:shd w:fill="F3F6F7"/>
          </w:tcPr>
          <w:p>
            <w:pPr>
              <w:keepNext w:val="0"/>
              <w:spacing w:after="50" w:before="20" w:line="250" w:lineRule="auto"/>
            </w:pPr>
            <w:r>
              <w:rPr>
                <w:rFonts w:ascii="Arial" w:hAnsi="Arial"/>
                <w:sz w:val="18"/>
              </w:rPr>
              <w:t>Show confirmed unperformed service value and reserved sellable minutes over the next 7/30 days, alongside capacity and cancellation-adjusted scenarios.</w:t>
            </w:r>
          </w:p>
        </w:tc>
        <w:tc>
          <w:tcPr>
            <w:tcW w:type="dxa" w:w="3960"/>
            <w:vAlign w:val="top"/>
            <w:shd w:fill="F3F6F7"/>
          </w:tcPr>
          <w:p>
            <w:pPr>
              <w:keepNext w:val="0"/>
              <w:spacing w:after="50" w:before="20" w:line="250" w:lineRule="auto"/>
            </w:pPr>
            <w:r>
              <w:rPr>
                <w:rFonts w:ascii="Arial" w:hAnsi="Arial"/>
                <w:sz w:val="18"/>
              </w:rPr>
              <w:t>Segment: Lead time, location, staff, service</w:t>
              <w:br/>
              <w:t>Action: Prioritize gaps and likely shortfalls.</w:t>
              <w:br/>
              <w:t>Limit: This is contracted/planned value, not earned revenue or guaranteed cash. Probabilistic forecasts require uncertainty ranges and calibration.</w:t>
            </w:r>
          </w:p>
        </w:tc>
      </w:tr>
      <w:tr>
        <w:trPr>
          <w:cantSplit/>
        </w:trPr>
        <w:tc>
          <w:tcPr>
            <w:tcW w:type="dxa" w:w="2160"/>
            <w:vAlign w:val="top"/>
          </w:tcPr>
          <w:p>
            <w:pPr>
              <w:keepNext w:val="0"/>
              <w:spacing w:after="50" w:before="20" w:line="250" w:lineRule="auto"/>
            </w:pPr>
            <w:r>
              <w:rPr>
                <w:rFonts w:ascii="Arial" w:hAnsi="Arial"/>
                <w:b/>
                <w:sz w:val="18"/>
              </w:rPr>
              <w:t>K07  Observed administrative time saved</w:t>
            </w:r>
            <w:r>
              <w:rPr>
                <w:rFonts w:ascii="Arial" w:hAnsi="Arial"/>
                <w:b w:val="0"/>
                <w:sz w:val="18"/>
              </w:rPr>
              <w:br/>
              <w:t>Events: E03</w:t>
            </w:r>
          </w:p>
        </w:tc>
        <w:tc>
          <w:tcPr>
            <w:tcW w:type="dxa" w:w="4104"/>
            <w:vAlign w:val="top"/>
          </w:tcPr>
          <w:p>
            <w:pPr>
              <w:keepNext w:val="0"/>
              <w:spacing w:after="50" w:before="20" w:line="250" w:lineRule="auto"/>
            </w:pPr>
            <w:r>
              <w:rPr>
                <w:rFonts w:ascii="Arial" w:hAnsi="Arial"/>
                <w:sz w:val="18"/>
              </w:rPr>
              <w:t>For a stable task mix, baseline observed median completion time minus current median, multiplied by comparable completed tasks; show measured coverage.</w:t>
            </w:r>
          </w:p>
        </w:tc>
        <w:tc>
          <w:tcPr>
            <w:tcW w:type="dxa" w:w="3960"/>
            <w:vAlign w:val="top"/>
          </w:tcPr>
          <w:p>
            <w:pPr>
              <w:keepNext w:val="0"/>
              <w:spacing w:after="50" w:before="20" w:line="250" w:lineRule="auto"/>
            </w:pPr>
            <w:r>
              <w:rPr>
                <w:rFonts w:ascii="Arial" w:hAnsi="Arial"/>
                <w:sz w:val="18"/>
              </w:rPr>
              <w:t>Segment: Task, device, operator experience</w:t>
              <w:br/>
              <w:t>Action: Identify workflows that truly reduce effort.</w:t>
              <w:br/>
              <w:t>Limit: Measure against actual observations or experiments. Do not infer saved time from button clicks, AI responses, or unvalidated vendor estimates.</w:t>
            </w:r>
          </w:p>
        </w:tc>
      </w:tr>
    </w:tbl>
    <w:p>
      <w:pPr>
        <w:spacing w:after="40" w:before="0" w:line="240" w:lineRule="auto"/>
      </w:pPr>
      <w:r>
        <w:rPr>
          <w:sz w:val="4"/>
        </w:rPr>
      </w:r>
    </w:p>
    <w:p>
      <w:pPr>
        <w:pStyle w:val="Heading3"/>
      </w:pPr>
      <w:r>
        <w:t>Booking and unmet demand</w:t>
      </w:r>
    </w:p>
    <w:p>
      <w:pPr>
        <w:keepNext/>
      </w:pPr>
      <w:r>
        <w:t>Accountable role: Operations / front desk. Review cadence: Daily; weekly capacity review. Features: F117, F150, F192.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160"/>
        <w:gridCol w:w="4104"/>
        <w:gridCol w:w="3960"/>
      </w:tblGrid>
      <w:tr>
        <w:trPr>
          <w:tblHeader/>
        </w:trPr>
        <w:tc>
          <w:tcPr>
            <w:tcW w:type="dxa" w:w="2160"/>
            <w:vAlign w:val="top"/>
            <w:shd w:fill="173F50"/>
          </w:tcPr>
          <w:p>
            <w:pPr>
              <w:keepNext/>
              <w:spacing w:after="50" w:before="20" w:line="250" w:lineRule="auto"/>
            </w:pPr>
            <w:r>
              <w:rPr>
                <w:rFonts w:ascii="Arial" w:hAnsi="Arial"/>
                <w:b/>
                <w:color w:val="FFFFFF"/>
                <w:sz w:val="18"/>
              </w:rPr>
              <w:t>Metric and source</w:t>
            </w:r>
          </w:p>
        </w:tc>
        <w:tc>
          <w:tcPr>
            <w:tcW w:type="dxa" w:w="4104"/>
            <w:vAlign w:val="top"/>
            <w:shd w:fill="173F50"/>
          </w:tcPr>
          <w:p>
            <w:pPr>
              <w:keepNext/>
              <w:spacing w:after="50" w:before="20" w:line="250" w:lineRule="auto"/>
            </w:pPr>
            <w:r>
              <w:rPr>
                <w:rFonts w:ascii="Arial" w:hAnsi="Arial"/>
                <w:b/>
                <w:color w:val="FFFFFF"/>
                <w:sz w:val="18"/>
              </w:rPr>
              <w:t>Formula and population</w:t>
            </w:r>
          </w:p>
        </w:tc>
        <w:tc>
          <w:tcPr>
            <w:tcW w:type="dxa" w:w="3960"/>
            <w:vAlign w:val="top"/>
            <w:shd w:fill="173F50"/>
          </w:tcPr>
          <w:p>
            <w:pPr>
              <w:keepNext/>
              <w:spacing w:after="50" w:before="20" w:line="250" w:lineRule="auto"/>
            </w:pPr>
            <w:r>
              <w:rPr>
                <w:rFonts w:ascii="Arial" w:hAnsi="Arial"/>
                <w:b/>
                <w:color w:val="FFFFFF"/>
                <w:sz w:val="18"/>
              </w:rPr>
              <w:t>Use and interpretation</w:t>
            </w:r>
          </w:p>
        </w:tc>
      </w:tr>
      <w:tr>
        <w:trPr>
          <w:cantSplit/>
        </w:trPr>
        <w:tc>
          <w:tcPr>
            <w:tcW w:type="dxa" w:w="2160"/>
            <w:vAlign w:val="top"/>
          </w:tcPr>
          <w:p>
            <w:pPr>
              <w:keepNext w:val="0"/>
              <w:spacing w:after="50" w:before="20" w:line="250" w:lineRule="auto"/>
            </w:pPr>
            <w:r>
              <w:rPr>
                <w:rFonts w:ascii="Arial" w:hAnsi="Arial"/>
                <w:b/>
                <w:sz w:val="18"/>
              </w:rPr>
              <w:t>K08  Booking completion conversion</w:t>
            </w:r>
            <w:r>
              <w:rPr>
                <w:rFonts w:ascii="Arial" w:hAnsi="Arial"/>
                <w:b w:val="0"/>
                <w:sz w:val="18"/>
              </w:rPr>
              <w:br/>
              <w:t>Events: E04, E07</w:t>
            </w:r>
          </w:p>
        </w:tc>
        <w:tc>
          <w:tcPr>
            <w:tcW w:type="dxa" w:w="4104"/>
            <w:vAlign w:val="top"/>
          </w:tcPr>
          <w:p>
            <w:pPr>
              <w:keepNext w:val="0"/>
              <w:spacing w:after="50" w:before="20" w:line="250" w:lineRule="auto"/>
            </w:pPr>
            <w:r>
              <w:rPr>
                <w:rFonts w:ascii="Arial" w:hAnsi="Arial"/>
                <w:sz w:val="18"/>
              </w:rPr>
              <w:t>Unique booking flows confirmed within 24 hours divided by eligible flows started; use only start cohorts with a full observation window.</w:t>
            </w:r>
          </w:p>
        </w:tc>
        <w:tc>
          <w:tcPr>
            <w:tcW w:type="dxa" w:w="3960"/>
            <w:vAlign w:val="top"/>
          </w:tcPr>
          <w:p>
            <w:pPr>
              <w:keepNext w:val="0"/>
              <w:spacing w:after="50" w:before="20" w:line="250" w:lineRule="auto"/>
            </w:pPr>
            <w:r>
              <w:rPr>
                <w:rFonts w:ascii="Arial" w:hAnsi="Arial"/>
                <w:sz w:val="18"/>
              </w:rPr>
              <w:t>Segment: Source, service, device, new/returning</w:t>
              <w:br/>
              <w:t>Action: Find conversion leaks and compare variants.</w:t>
              <w:br/>
              <w:t>Limit: Deduplicate cross-device sessions only with permitted identity. Exclude bots and staff test flows; a retry is not a new customer.</w:t>
            </w:r>
          </w:p>
        </w:tc>
      </w:tr>
      <w:tr>
        <w:trPr>
          <w:cantSplit/>
        </w:trPr>
        <w:tc>
          <w:tcPr>
            <w:tcW w:type="dxa" w:w="2160"/>
            <w:vAlign w:val="top"/>
            <w:shd w:fill="F3F6F7"/>
          </w:tcPr>
          <w:p>
            <w:pPr>
              <w:keepNext w:val="0"/>
              <w:spacing w:after="50" w:before="20" w:line="250" w:lineRule="auto"/>
            </w:pPr>
            <w:r>
              <w:rPr>
                <w:rFonts w:ascii="Arial" w:hAnsi="Arial"/>
                <w:b/>
                <w:sz w:val="18"/>
              </w:rPr>
              <w:t>K09  Booking-step abandonment</w:t>
            </w:r>
            <w:r>
              <w:rPr>
                <w:rFonts w:ascii="Arial" w:hAnsi="Arial"/>
                <w:b w:val="0"/>
                <w:sz w:val="18"/>
              </w:rPr>
              <w:br/>
              <w:t>Events: E04</w:t>
            </w:r>
          </w:p>
        </w:tc>
        <w:tc>
          <w:tcPr>
            <w:tcW w:type="dxa" w:w="4104"/>
            <w:vAlign w:val="top"/>
            <w:shd w:fill="F3F6F7"/>
          </w:tcPr>
          <w:p>
            <w:pPr>
              <w:keepNext w:val="0"/>
              <w:spacing w:after="50" w:before="20" w:line="250" w:lineRule="auto"/>
            </w:pPr>
            <w:r>
              <w:rPr>
                <w:rFonts w:ascii="Arial" w:hAnsi="Arial"/>
                <w:sz w:val="18"/>
              </w:rPr>
              <w:t>For each step, eligible flows entering it without the next required step or confirmation within 24 hours divided by flows entering it.</w:t>
            </w:r>
          </w:p>
        </w:tc>
        <w:tc>
          <w:tcPr>
            <w:tcW w:type="dxa" w:w="3960"/>
            <w:vAlign w:val="top"/>
            <w:shd w:fill="F3F6F7"/>
          </w:tcPr>
          <w:p>
            <w:pPr>
              <w:keepNext w:val="0"/>
              <w:spacing w:after="50" w:before="20" w:line="250" w:lineRule="auto"/>
            </w:pPr>
            <w:r>
              <w:rPr>
                <w:rFonts w:ascii="Arial" w:hAnsi="Arial"/>
                <w:sz w:val="18"/>
              </w:rPr>
              <w:t>Segment: Step, device, field/error reason, accessibility mode</w:t>
              <w:br/>
              <w:t>Action: Simplify the specific obstacle.</w:t>
              <w:br/>
              <w:t>Limit: Resumed flows update the original cohort. Do not interpret all exits as rejection; some users are comparing availability.</w:t>
            </w:r>
          </w:p>
        </w:tc>
      </w:tr>
      <w:tr>
        <w:trPr>
          <w:cantSplit/>
        </w:trPr>
        <w:tc>
          <w:tcPr>
            <w:tcW w:type="dxa" w:w="2160"/>
            <w:vAlign w:val="top"/>
          </w:tcPr>
          <w:p>
            <w:pPr>
              <w:keepNext w:val="0"/>
              <w:spacing w:after="50" w:before="20" w:line="250" w:lineRule="auto"/>
            </w:pPr>
            <w:r>
              <w:rPr>
                <w:rFonts w:ascii="Arial" w:hAnsi="Arial"/>
                <w:b/>
                <w:sz w:val="18"/>
              </w:rPr>
              <w:t>K10  Unserved availability-search rate</w:t>
            </w:r>
            <w:r>
              <w:rPr>
                <w:rFonts w:ascii="Arial" w:hAnsi="Arial"/>
                <w:b w:val="0"/>
                <w:sz w:val="18"/>
              </w:rPr>
              <w:br/>
              <w:t>Events: E05</w:t>
            </w:r>
          </w:p>
        </w:tc>
        <w:tc>
          <w:tcPr>
            <w:tcW w:type="dxa" w:w="4104"/>
            <w:vAlign w:val="top"/>
          </w:tcPr>
          <w:p>
            <w:pPr>
              <w:keepNext w:val="0"/>
              <w:spacing w:after="50" w:before="20" w:line="250" w:lineRule="auto"/>
            </w:pPr>
            <w:r>
              <w:rPr>
                <w:rFonts w:ascii="Arial" w:hAnsi="Arial"/>
                <w:sz w:val="18"/>
              </w:rPr>
              <w:t>Unique searches returning no suitable option within the requested service, provider, date-range and resource constraints divided by valid searches.</w:t>
            </w:r>
          </w:p>
        </w:tc>
        <w:tc>
          <w:tcPr>
            <w:tcW w:type="dxa" w:w="3960"/>
            <w:vAlign w:val="top"/>
          </w:tcPr>
          <w:p>
            <w:pPr>
              <w:keepNext w:val="0"/>
              <w:spacing w:after="50" w:before="20" w:line="250" w:lineRule="auto"/>
            </w:pPr>
            <w:r>
              <w:rPr>
                <w:rFonts w:ascii="Arial" w:hAnsi="Arial"/>
                <w:sz w:val="18"/>
              </w:rPr>
              <w:t>Segment: Reason, service, time preference, location</w:t>
              <w:br/>
              <w:t>Action: Adjust opening hours, capacity or service guidance.</w:t>
              <w:br/>
              <w:t>Limit: No-result searches are unmet expressed intent, not proven lost revenue. Repeated searches and flexible ranges require deduplication.</w:t>
            </w:r>
          </w:p>
        </w:tc>
      </w:tr>
      <w:tr>
        <w:trPr>
          <w:cantSplit/>
        </w:trPr>
        <w:tc>
          <w:tcPr>
            <w:tcW w:type="dxa" w:w="2160"/>
            <w:vAlign w:val="top"/>
            <w:shd w:fill="F3F6F7"/>
          </w:tcPr>
          <w:p>
            <w:pPr>
              <w:keepNext w:val="0"/>
              <w:spacing w:after="50" w:before="20" w:line="250" w:lineRule="auto"/>
            </w:pPr>
            <w:r>
              <w:rPr>
                <w:rFonts w:ascii="Arial" w:hAnsi="Arial"/>
                <w:b/>
                <w:sz w:val="18"/>
              </w:rPr>
              <w:t>K11  Turn-away reasons and addressable demand</w:t>
            </w:r>
            <w:r>
              <w:rPr>
                <w:rFonts w:ascii="Arial" w:hAnsi="Arial"/>
                <w:b w:val="0"/>
                <w:sz w:val="18"/>
              </w:rPr>
              <w:br/>
              <w:t>Events: E06, E05</w:t>
            </w:r>
          </w:p>
        </w:tc>
        <w:tc>
          <w:tcPr>
            <w:tcW w:type="dxa" w:w="4104"/>
            <w:vAlign w:val="top"/>
            <w:shd w:fill="F3F6F7"/>
          </w:tcPr>
          <w:p>
            <w:pPr>
              <w:keepNext w:val="0"/>
              <w:spacing w:after="50" w:before="20" w:line="250" w:lineRule="auto"/>
            </w:pPr>
            <w:r>
              <w:rPr>
                <w:rFonts w:ascii="Arial" w:hAnsi="Arial"/>
                <w:sz w:val="18"/>
              </w:rPr>
              <w:t>Count deduplicated manual turn-aways and unresolved search requests by reason; show contactable opt-in requests eligible for recovery.</w:t>
            </w:r>
          </w:p>
        </w:tc>
        <w:tc>
          <w:tcPr>
            <w:tcW w:type="dxa" w:w="3960"/>
            <w:vAlign w:val="top"/>
            <w:shd w:fill="F3F6F7"/>
          </w:tcPr>
          <w:p>
            <w:pPr>
              <w:keepNext w:val="0"/>
              <w:spacing w:after="50" w:before="20" w:line="250" w:lineRule="auto"/>
            </w:pPr>
            <w:r>
              <w:rPr>
                <w:rFonts w:ascii="Arial" w:hAnsi="Arial"/>
                <w:sz w:val="18"/>
              </w:rPr>
              <w:t>Segment: Capacity, skill, resource, price, access need</w:t>
              <w:br/>
              <w:t>Action: Decide whether to add capacity, clarify services or contact a waitlist.</w:t>
              <w:br/>
              <w:t>Limit: Join manual and digital records when they represent one request. Do not automatically infer sensitive preferences or assign speculative sales value.</w:t>
            </w:r>
          </w:p>
        </w:tc>
      </w:tr>
      <w:tr>
        <w:trPr>
          <w:cantSplit/>
        </w:trPr>
        <w:tc>
          <w:tcPr>
            <w:tcW w:type="dxa" w:w="2160"/>
            <w:vAlign w:val="top"/>
          </w:tcPr>
          <w:p>
            <w:pPr>
              <w:keepNext w:val="0"/>
              <w:spacing w:after="50" w:before="20" w:line="250" w:lineRule="auto"/>
            </w:pPr>
            <w:r>
              <w:rPr>
                <w:rFonts w:ascii="Arial" w:hAnsi="Arial"/>
                <w:b/>
                <w:sz w:val="18"/>
              </w:rPr>
              <w:t>K12  Booked provider utilization</w:t>
            </w:r>
            <w:r>
              <w:rPr>
                <w:rFonts w:ascii="Arial" w:hAnsi="Arial"/>
                <w:b w:val="0"/>
                <w:sz w:val="18"/>
              </w:rPr>
              <w:br/>
              <w:t>Events: E07, E08, E09</w:t>
            </w:r>
          </w:p>
        </w:tc>
        <w:tc>
          <w:tcPr>
            <w:tcW w:type="dxa" w:w="4104"/>
            <w:vAlign w:val="top"/>
          </w:tcPr>
          <w:p>
            <w:pPr>
              <w:keepNext w:val="0"/>
              <w:spacing w:after="50" w:before="20" w:line="250" w:lineRule="auto"/>
            </w:pPr>
            <w:r>
              <w:rPr>
                <w:rFonts w:ascii="Arial" w:hAnsi="Arial"/>
                <w:sz w:val="18"/>
              </w:rPr>
              <w:t>Union of reserved active-service intervals per provider divided by baseline sellable provider intervals; snapshot consistently, such as the prior evening.</w:t>
            </w:r>
          </w:p>
        </w:tc>
        <w:tc>
          <w:tcPr>
            <w:tcW w:type="dxa" w:w="3960"/>
            <w:vAlign w:val="top"/>
          </w:tcPr>
          <w:p>
            <w:pPr>
              <w:keepNext w:val="0"/>
              <w:spacing w:after="50" w:before="20" w:line="250" w:lineRule="auto"/>
            </w:pPr>
            <w:r>
              <w:rPr>
                <w:rFonts w:ascii="Arial" w:hAnsi="Arial"/>
                <w:sz w:val="18"/>
              </w:rPr>
              <w:t>Segment: Provider, service, daypart, location</w:t>
              <w:br/>
              <w:t>Action: See whether available working time is filled.</w:t>
              <w:br/>
              <w:t>Limit: Released processing time does not occupy the provider. Union overlaps to avoid inflated utilization; preserve the schedule snapshot.</w:t>
            </w:r>
          </w:p>
        </w:tc>
      </w:tr>
      <w:tr>
        <w:trPr>
          <w:cantSplit/>
        </w:trPr>
        <w:tc>
          <w:tcPr>
            <w:tcW w:type="dxa" w:w="2160"/>
            <w:vAlign w:val="top"/>
            <w:shd w:fill="F3F6F7"/>
          </w:tcPr>
          <w:p>
            <w:pPr>
              <w:keepNext w:val="0"/>
              <w:spacing w:after="50" w:before="20" w:line="250" w:lineRule="auto"/>
            </w:pPr>
            <w:r>
              <w:rPr>
                <w:rFonts w:ascii="Arial" w:hAnsi="Arial"/>
                <w:b/>
                <w:sz w:val="18"/>
              </w:rPr>
              <w:t>K13  Completed provider utilization</w:t>
            </w:r>
            <w:r>
              <w:rPr>
                <w:rFonts w:ascii="Arial" w:hAnsi="Arial"/>
                <w:b w:val="0"/>
                <w:sz w:val="18"/>
              </w:rPr>
              <w:br/>
              <w:t>Events: E08, E09</w:t>
            </w:r>
          </w:p>
        </w:tc>
        <w:tc>
          <w:tcPr>
            <w:tcW w:type="dxa" w:w="4104"/>
            <w:vAlign w:val="top"/>
            <w:shd w:fill="F3F6F7"/>
          </w:tcPr>
          <w:p>
            <w:pPr>
              <w:keepNext w:val="0"/>
              <w:spacing w:after="50" w:before="20" w:line="250" w:lineRule="auto"/>
            </w:pPr>
            <w:r>
              <w:rPr>
                <w:rFonts w:ascii="Arial" w:hAnsi="Arial"/>
                <w:sz w:val="18"/>
              </w:rPr>
              <w:t>Union of actual active-service intervals per provider divided by the same baseline sellable intervals, for completed work in the period.</w:t>
            </w:r>
          </w:p>
        </w:tc>
        <w:tc>
          <w:tcPr>
            <w:tcW w:type="dxa" w:w="3960"/>
            <w:vAlign w:val="top"/>
            <w:shd w:fill="F3F6F7"/>
          </w:tcPr>
          <w:p>
            <w:pPr>
              <w:keepNext w:val="0"/>
              <w:spacing w:after="50" w:before="20" w:line="250" w:lineRule="auto"/>
            </w:pPr>
            <w:r>
              <w:rPr>
                <w:rFonts w:ascii="Arial" w:hAnsi="Arial"/>
                <w:sz w:val="18"/>
              </w:rPr>
              <w:t>Segment: Provider, service, daypart</w:t>
              <w:br/>
              <w:t>Action: Compare booked capacity with delivered work.</w:t>
              <w:br/>
              <w:t>Limit: Expose actual-timing coverage and overtime separately. Estimated durations must be labeled and cannot silently replace missing timestamps.</w:t>
            </w:r>
          </w:p>
        </w:tc>
      </w:tr>
      <w:tr>
        <w:trPr>
          <w:cantSplit/>
        </w:trPr>
        <w:tc>
          <w:tcPr>
            <w:tcW w:type="dxa" w:w="2160"/>
            <w:vAlign w:val="top"/>
          </w:tcPr>
          <w:p>
            <w:pPr>
              <w:keepNext w:val="0"/>
              <w:spacing w:after="50" w:before="20" w:line="250" w:lineRule="auto"/>
            </w:pPr>
            <w:r>
              <w:rPr>
                <w:rFonts w:ascii="Arial" w:hAnsi="Arial"/>
                <w:b/>
                <w:sz w:val="18"/>
              </w:rPr>
              <w:t>K14  Resource occupancy</w:t>
            </w:r>
            <w:r>
              <w:rPr>
                <w:rFonts w:ascii="Arial" w:hAnsi="Arial"/>
                <w:b w:val="0"/>
                <w:sz w:val="18"/>
              </w:rPr>
              <w:br/>
              <w:t>Events: E08, E09</w:t>
            </w:r>
          </w:p>
        </w:tc>
        <w:tc>
          <w:tcPr>
            <w:tcW w:type="dxa" w:w="4104"/>
            <w:vAlign w:val="top"/>
          </w:tcPr>
          <w:p>
            <w:pPr>
              <w:keepNext w:val="0"/>
              <w:spacing w:after="50" w:before="20" w:line="250" w:lineRule="auto"/>
            </w:pPr>
            <w:r>
              <w:rPr>
                <w:rFonts w:ascii="Arial" w:hAnsi="Arial"/>
                <w:sz w:val="18"/>
              </w:rPr>
              <w:t>Union of occupied room/chair/equipment intervals, including required turnover where configured, divided by that resource's available intervals.</w:t>
            </w:r>
          </w:p>
        </w:tc>
        <w:tc>
          <w:tcPr>
            <w:tcW w:type="dxa" w:w="3960"/>
            <w:vAlign w:val="top"/>
          </w:tcPr>
          <w:p>
            <w:pPr>
              <w:keepNext w:val="0"/>
              <w:spacing w:after="50" w:before="20" w:line="250" w:lineRule="auto"/>
            </w:pPr>
            <w:r>
              <w:rPr>
                <w:rFonts w:ascii="Arial" w:hAnsi="Arial"/>
                <w:sz w:val="18"/>
              </w:rPr>
              <w:t>Segment: Resource type, resource, location, daypart</w:t>
              <w:br/>
              <w:t>Action: Find the real capacity bottleneck.</w:t>
              <w:br/>
              <w:t>Limit: A room may remain occupied while provider processing time is free. Do not sum resource and provider minutes into a single utilization rate.</w:t>
            </w:r>
          </w:p>
        </w:tc>
      </w:tr>
      <w:tr>
        <w:trPr>
          <w:cantSplit/>
        </w:trPr>
        <w:tc>
          <w:tcPr>
            <w:tcW w:type="dxa" w:w="2160"/>
            <w:vAlign w:val="top"/>
            <w:shd w:fill="F3F6F7"/>
          </w:tcPr>
          <w:p>
            <w:pPr>
              <w:keepNext w:val="0"/>
              <w:spacing w:after="50" w:before="20" w:line="250" w:lineRule="auto"/>
            </w:pPr>
            <w:r>
              <w:rPr>
                <w:rFonts w:ascii="Arial" w:hAnsi="Arial"/>
                <w:b/>
                <w:sz w:val="18"/>
              </w:rPr>
              <w:t>K15  No-show rate</w:t>
            </w:r>
            <w:r>
              <w:rPr>
                <w:rFonts w:ascii="Arial" w:hAnsi="Arial"/>
                <w:b w:val="0"/>
                <w:sz w:val="18"/>
              </w:rPr>
              <w:br/>
              <w:t>Events: E07</w:t>
            </w:r>
          </w:p>
        </w:tc>
        <w:tc>
          <w:tcPr>
            <w:tcW w:type="dxa" w:w="4104"/>
            <w:vAlign w:val="top"/>
            <w:shd w:fill="F3F6F7"/>
          </w:tcPr>
          <w:p>
            <w:pPr>
              <w:keepNext w:val="0"/>
              <w:spacing w:after="50" w:before="20" w:line="250" w:lineRule="auto"/>
            </w:pPr>
            <w:r>
              <w:rPr>
                <w:rFonts w:ascii="Arial" w:hAnsi="Arial"/>
                <w:sz w:val="18"/>
              </w:rPr>
              <w:t>No-show visits divided by completed plus no-show visits scheduled to start in the period, after a 24-hour status-finalization lag.</w:t>
            </w:r>
          </w:p>
        </w:tc>
        <w:tc>
          <w:tcPr>
            <w:tcW w:type="dxa" w:w="3960"/>
            <w:vAlign w:val="top"/>
            <w:shd w:fill="F3F6F7"/>
          </w:tcPr>
          <w:p>
            <w:pPr>
              <w:keepNext w:val="0"/>
              <w:spacing w:after="50" w:before="20" w:line="250" w:lineRule="auto"/>
            </w:pPr>
            <w:r>
              <w:rPr>
                <w:rFonts w:ascii="Arial" w:hAnsi="Arial"/>
                <w:sz w:val="18"/>
              </w:rPr>
              <w:t>Segment: Service, lead time, client cohort, deposit policy</w:t>
              <w:br/>
              <w:t>Action: Test reminders or policy changes.</w:t>
              <w:br/>
              <w:t>Limit: Canceled visits are excluded and shown separately. Group a multi-service visit once; preserve late corrections and policy versions.</w:t>
            </w:r>
          </w:p>
        </w:tc>
      </w:tr>
      <w:tr>
        <w:trPr>
          <w:cantSplit/>
        </w:trPr>
        <w:tc>
          <w:tcPr>
            <w:tcW w:type="dxa" w:w="2160"/>
            <w:vAlign w:val="top"/>
          </w:tcPr>
          <w:p>
            <w:pPr>
              <w:keepNext w:val="0"/>
              <w:spacing w:after="50" w:before="20" w:line="250" w:lineRule="auto"/>
            </w:pPr>
            <w:r>
              <w:rPr>
                <w:rFonts w:ascii="Arial" w:hAnsi="Arial"/>
                <w:b/>
                <w:sz w:val="18"/>
              </w:rPr>
              <w:t>K16  Late-cancellation rate</w:t>
            </w:r>
            <w:r>
              <w:rPr>
                <w:rFonts w:ascii="Arial" w:hAnsi="Arial"/>
                <w:b w:val="0"/>
                <w:sz w:val="18"/>
              </w:rPr>
              <w:br/>
              <w:t>Events: E07</w:t>
            </w:r>
          </w:p>
        </w:tc>
        <w:tc>
          <w:tcPr>
            <w:tcW w:type="dxa" w:w="4104"/>
            <w:vAlign w:val="top"/>
          </w:tcPr>
          <w:p>
            <w:pPr>
              <w:keepNext w:val="0"/>
              <w:spacing w:after="50" w:before="20" w:line="250" w:lineRule="auto"/>
            </w:pPr>
            <w:r>
              <w:rPr>
                <w:rFonts w:ascii="Arial" w:hAnsi="Arial"/>
                <w:sz w:val="18"/>
              </w:rPr>
              <w:t>Visits canceled after their agreed deadline divided by visits confirmed when that deadline passed or booked later, using scheduled-start cohorts.</w:t>
            </w:r>
          </w:p>
        </w:tc>
        <w:tc>
          <w:tcPr>
            <w:tcW w:type="dxa" w:w="3960"/>
            <w:vAlign w:val="top"/>
          </w:tcPr>
          <w:p>
            <w:pPr>
              <w:keepNext w:val="0"/>
              <w:spacing w:after="50" w:before="20" w:line="250" w:lineRule="auto"/>
            </w:pPr>
            <w:r>
              <w:rPr>
                <w:rFonts w:ascii="Arial" w:hAnsi="Arial"/>
                <w:sz w:val="18"/>
              </w:rPr>
              <w:t>Segment: Deadline, service, booking lead time, location</w:t>
              <w:br/>
              <w:t>Action: Find policies causing avoidable disruption.</w:t>
              <w:br/>
              <w:t>Limit: Use each booking's accepted policy, not today's policy. Treat last-minute bookings explicitly; track unrecovered minutes separately from fees collected.</w:t>
            </w:r>
          </w:p>
        </w:tc>
      </w:tr>
      <w:tr>
        <w:trPr>
          <w:cantSplit/>
        </w:trPr>
        <w:tc>
          <w:tcPr>
            <w:tcW w:type="dxa" w:w="2160"/>
            <w:vAlign w:val="top"/>
            <w:shd w:fill="F3F6F7"/>
          </w:tcPr>
          <w:p>
            <w:pPr>
              <w:keepNext w:val="0"/>
              <w:spacing w:after="50" w:before="20" w:line="250" w:lineRule="auto"/>
            </w:pPr>
            <w:r>
              <w:rPr>
                <w:rFonts w:ascii="Arial" w:hAnsi="Arial"/>
                <w:b/>
                <w:sz w:val="18"/>
              </w:rPr>
              <w:t>K17  Recovered canceled capacity</w:t>
            </w:r>
            <w:r>
              <w:rPr>
                <w:rFonts w:ascii="Arial" w:hAnsi="Arial"/>
                <w:b w:val="0"/>
                <w:sz w:val="18"/>
              </w:rPr>
              <w:br/>
              <w:t>Events: E07, E06, E08</w:t>
            </w:r>
          </w:p>
        </w:tc>
        <w:tc>
          <w:tcPr>
            <w:tcW w:type="dxa" w:w="4104"/>
            <w:vAlign w:val="top"/>
            <w:shd w:fill="F3F6F7"/>
          </w:tcPr>
          <w:p>
            <w:pPr>
              <w:keepNext w:val="0"/>
              <w:spacing w:after="50" w:before="20" w:line="250" w:lineRule="auto"/>
            </w:pPr>
            <w:r>
              <w:rPr>
                <w:rFonts w:ascii="Arial" w:hAnsi="Arial"/>
                <w:sz w:val="18"/>
              </w:rPr>
              <w:t>Previously canceled usable minutes subsequently filled by completed replacement work divided by eligible released minutes, within the same calendar window.</w:t>
            </w:r>
          </w:p>
        </w:tc>
        <w:tc>
          <w:tcPr>
            <w:tcW w:type="dxa" w:w="3960"/>
            <w:vAlign w:val="top"/>
            <w:shd w:fill="F3F6F7"/>
          </w:tcPr>
          <w:p>
            <w:pPr>
              <w:keepNext w:val="0"/>
              <w:spacing w:after="50" w:before="20" w:line="250" w:lineRule="auto"/>
            </w:pPr>
            <w:r>
              <w:rPr>
                <w:rFonts w:ascii="Arial" w:hAnsi="Arial"/>
                <w:sz w:val="18"/>
              </w:rPr>
              <w:t>Segment: Recovery path, lead time, service compatibility</w:t>
              <w:br/>
              <w:t>Action: Evaluate waitlist operations and speed.</w:t>
              <w:br/>
              <w:t>Limit: Separate organic, staff-assisted and automated attribution. Replacement booking alone is not recovery until completed; do not claim causal lift without a control.</w:t>
            </w:r>
          </w:p>
        </w:tc>
      </w:tr>
    </w:tbl>
    <w:p>
      <w:pPr>
        <w:spacing w:after="40" w:before="0" w:line="240" w:lineRule="auto"/>
      </w:pPr>
      <w:r>
        <w:rPr>
          <w:sz w:val="4"/>
        </w:rPr>
      </w:r>
    </w:p>
    <w:p>
      <w:pPr>
        <w:pStyle w:val="Heading3"/>
      </w:pPr>
      <w:r>
        <w:t>Client cohorts and memberships</w:t>
      </w:r>
    </w:p>
    <w:p>
      <w:pPr>
        <w:keepNext/>
      </w:pPr>
      <w:r>
        <w:t>Accountable role: Owner / retention lead. Review cadence: Weekly; monthly cohort review. Features: F091, F095, F114.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160"/>
        <w:gridCol w:w="4104"/>
        <w:gridCol w:w="3960"/>
      </w:tblGrid>
      <w:tr>
        <w:trPr>
          <w:tblHeader/>
        </w:trPr>
        <w:tc>
          <w:tcPr>
            <w:tcW w:type="dxa" w:w="2160"/>
            <w:vAlign w:val="top"/>
            <w:shd w:fill="173F50"/>
          </w:tcPr>
          <w:p>
            <w:pPr>
              <w:keepNext/>
              <w:spacing w:after="50" w:before="20" w:line="250" w:lineRule="auto"/>
            </w:pPr>
            <w:r>
              <w:rPr>
                <w:rFonts w:ascii="Arial" w:hAnsi="Arial"/>
                <w:b/>
                <w:color w:val="FFFFFF"/>
                <w:sz w:val="18"/>
              </w:rPr>
              <w:t>Metric and source</w:t>
            </w:r>
          </w:p>
        </w:tc>
        <w:tc>
          <w:tcPr>
            <w:tcW w:type="dxa" w:w="4104"/>
            <w:vAlign w:val="top"/>
            <w:shd w:fill="173F50"/>
          </w:tcPr>
          <w:p>
            <w:pPr>
              <w:keepNext/>
              <w:spacing w:after="50" w:before="20" w:line="250" w:lineRule="auto"/>
            </w:pPr>
            <w:r>
              <w:rPr>
                <w:rFonts w:ascii="Arial" w:hAnsi="Arial"/>
                <w:b/>
                <w:color w:val="FFFFFF"/>
                <w:sz w:val="18"/>
              </w:rPr>
              <w:t>Formula and population</w:t>
            </w:r>
          </w:p>
        </w:tc>
        <w:tc>
          <w:tcPr>
            <w:tcW w:type="dxa" w:w="3960"/>
            <w:vAlign w:val="top"/>
            <w:shd w:fill="173F50"/>
          </w:tcPr>
          <w:p>
            <w:pPr>
              <w:keepNext/>
              <w:spacing w:after="50" w:before="20" w:line="250" w:lineRule="auto"/>
            </w:pPr>
            <w:r>
              <w:rPr>
                <w:rFonts w:ascii="Arial" w:hAnsi="Arial"/>
                <w:b/>
                <w:color w:val="FFFFFF"/>
                <w:sz w:val="18"/>
              </w:rPr>
              <w:t>Use and interpretation</w:t>
            </w:r>
          </w:p>
        </w:tc>
      </w:tr>
      <w:tr>
        <w:trPr>
          <w:cantSplit/>
        </w:trPr>
        <w:tc>
          <w:tcPr>
            <w:tcW w:type="dxa" w:w="2160"/>
            <w:vAlign w:val="top"/>
          </w:tcPr>
          <w:p>
            <w:pPr>
              <w:keepNext w:val="0"/>
              <w:spacing w:after="50" w:before="20" w:line="250" w:lineRule="auto"/>
            </w:pPr>
            <w:r>
              <w:rPr>
                <w:rFonts w:ascii="Arial" w:hAnsi="Arial"/>
                <w:b/>
                <w:sz w:val="18"/>
              </w:rPr>
              <w:t>K18  Mature 30/60/90-day return rate</w:t>
            </w:r>
            <w:r>
              <w:rPr>
                <w:rFonts w:ascii="Arial" w:hAnsi="Arial"/>
                <w:b w:val="0"/>
                <w:sz w:val="18"/>
              </w:rPr>
              <w:br/>
              <w:t>Events: E07, E11</w:t>
            </w:r>
          </w:p>
        </w:tc>
        <w:tc>
          <w:tcPr>
            <w:tcW w:type="dxa" w:w="4104"/>
            <w:vAlign w:val="top"/>
          </w:tcPr>
          <w:p>
            <w:pPr>
              <w:keepNext w:val="0"/>
              <w:spacing w:after="50" w:before="20" w:line="250" w:lineRule="auto"/>
            </w:pPr>
            <w:r>
              <w:rPr>
                <w:rFonts w:ascii="Arial" w:hAnsi="Arial"/>
                <w:sz w:val="18"/>
              </w:rPr>
              <w:t>Clients with a distinct completed return visit within N days of their first completed visit divided by first-visit clients with at least N days of follow-up.</w:t>
            </w:r>
          </w:p>
        </w:tc>
        <w:tc>
          <w:tcPr>
            <w:tcW w:type="dxa" w:w="3960"/>
            <w:vAlign w:val="top"/>
          </w:tcPr>
          <w:p>
            <w:pPr>
              <w:keepNext w:val="0"/>
              <w:spacing w:after="50" w:before="20" w:line="250" w:lineRule="auto"/>
            </w:pPr>
            <w:r>
              <w:rPr>
                <w:rFonts w:ascii="Arial" w:hAnsi="Arial"/>
                <w:sz w:val="18"/>
              </w:rPr>
              <w:t>Segment: First service, acquisition source, location, provider</w:t>
              <w:br/>
              <w:t>Action: Compare retention among acquisition and service cohorts.</w:t>
              <w:br/>
              <w:t>Limit: Show cohort size and follow-up maturity. Use tenant-wide identity; exclude components of the same visit and imported unknown-history clients.</w:t>
            </w:r>
          </w:p>
        </w:tc>
      </w:tr>
      <w:tr>
        <w:trPr>
          <w:cantSplit/>
        </w:trPr>
        <w:tc>
          <w:tcPr>
            <w:tcW w:type="dxa" w:w="2160"/>
            <w:vAlign w:val="top"/>
            <w:shd w:fill="F3F6F7"/>
          </w:tcPr>
          <w:p>
            <w:pPr>
              <w:keepNext w:val="0"/>
              <w:spacing w:after="50" w:before="20" w:line="250" w:lineRule="auto"/>
            </w:pPr>
            <w:r>
              <w:rPr>
                <w:rFonts w:ascii="Arial" w:hAnsi="Arial"/>
                <w:b/>
                <w:sz w:val="18"/>
              </w:rPr>
              <w:t>K19  Rebooking at checkout</w:t>
            </w:r>
            <w:r>
              <w:rPr>
                <w:rFonts w:ascii="Arial" w:hAnsi="Arial"/>
                <w:b w:val="0"/>
                <w:sz w:val="18"/>
              </w:rPr>
              <w:br/>
              <w:t>Events: E07, E15</w:t>
            </w:r>
          </w:p>
        </w:tc>
        <w:tc>
          <w:tcPr>
            <w:tcW w:type="dxa" w:w="4104"/>
            <w:vAlign w:val="top"/>
            <w:shd w:fill="F3F6F7"/>
          </w:tcPr>
          <w:p>
            <w:pPr>
              <w:keepNext w:val="0"/>
              <w:spacing w:after="50" w:before="20" w:line="250" w:lineRule="auto"/>
            </w:pPr>
            <w:r>
              <w:rPr>
                <w:rFonts w:ascii="Arial" w:hAnsi="Arial"/>
                <w:sz w:val="18"/>
              </w:rPr>
              <w:t>Eligible completed visits generating a new future confirmed visit within 24 hours of checkout divided by completed visits; also show later realization.</w:t>
            </w:r>
          </w:p>
        </w:tc>
        <w:tc>
          <w:tcPr>
            <w:tcW w:type="dxa" w:w="3960"/>
            <w:vAlign w:val="top"/>
            <w:shd w:fill="F3F6F7"/>
          </w:tcPr>
          <w:p>
            <w:pPr>
              <w:keepNext w:val="0"/>
              <w:spacing w:after="50" w:before="20" w:line="250" w:lineRule="auto"/>
            </w:pPr>
            <w:r>
              <w:rPr>
                <w:rFonts w:ascii="Arial" w:hAnsi="Arial"/>
                <w:sz w:val="18"/>
              </w:rPr>
              <w:t>Segment: Staff, service, client tenure</w:t>
              <w:br/>
              <w:t>Action: Offer a useful next-visit suggestion.</w:t>
              <w:br/>
              <w:t>Limit: Existing future appointments count in a separate coverage view. Subsequent cancellation lowers realized rebooking; avoid encouraging unnecessary services.</w:t>
            </w:r>
          </w:p>
        </w:tc>
      </w:tr>
      <w:tr>
        <w:trPr>
          <w:cantSplit/>
        </w:trPr>
        <w:tc>
          <w:tcPr>
            <w:tcW w:type="dxa" w:w="2160"/>
            <w:vAlign w:val="top"/>
          </w:tcPr>
          <w:p>
            <w:pPr>
              <w:keepNext w:val="0"/>
              <w:spacing w:after="50" w:before="20" w:line="250" w:lineRule="auto"/>
            </w:pPr>
            <w:r>
              <w:rPr>
                <w:rFonts w:ascii="Arial" w:hAnsi="Arial"/>
                <w:b/>
                <w:sz w:val="18"/>
              </w:rPr>
              <w:t>K20  Clients overdue against agreed cadence</w:t>
            </w:r>
            <w:r>
              <w:rPr>
                <w:rFonts w:ascii="Arial" w:hAnsi="Arial"/>
                <w:b w:val="0"/>
                <w:sz w:val="18"/>
              </w:rPr>
              <w:br/>
              <w:t>Events: E07, E11</w:t>
            </w:r>
          </w:p>
        </w:tc>
        <w:tc>
          <w:tcPr>
            <w:tcW w:type="dxa" w:w="4104"/>
            <w:vAlign w:val="top"/>
          </w:tcPr>
          <w:p>
            <w:pPr>
              <w:keepNext w:val="0"/>
              <w:spacing w:after="50" w:before="20" w:line="250" w:lineRule="auto"/>
            </w:pPr>
            <w:r>
              <w:rPr>
                <w:rFonts w:ascii="Arial" w:hAnsi="Arial"/>
                <w:sz w:val="18"/>
              </w:rPr>
              <w:t>Eligible returning clients beyond their explicitly recorded or service-derived due window with no future booking divided by clients due in the period.</w:t>
            </w:r>
          </w:p>
        </w:tc>
        <w:tc>
          <w:tcPr>
            <w:tcW w:type="dxa" w:w="3960"/>
            <w:vAlign w:val="top"/>
          </w:tcPr>
          <w:p>
            <w:pPr>
              <w:keepNext w:val="0"/>
              <w:spacing w:after="50" w:before="20" w:line="250" w:lineRule="auto"/>
            </w:pPr>
            <w:r>
              <w:rPr>
                <w:rFonts w:ascii="Arial" w:hAnsi="Arial"/>
                <w:sz w:val="18"/>
              </w:rPr>
              <w:t>Segment: Service cadence, tenure, consent channel</w:t>
              <w:br/>
              <w:t>Action: Create a respectful opt-in reconnect queue.</w:t>
              <w:br/>
              <w:t>Limit: Cadence is a business assumption, not medical advice. Exclude opted-out, inactive and unsuitable clients; show the rule explaining each flag.</w:t>
            </w:r>
          </w:p>
        </w:tc>
      </w:tr>
      <w:tr>
        <w:trPr>
          <w:cantSplit/>
        </w:trPr>
        <w:tc>
          <w:tcPr>
            <w:tcW w:type="dxa" w:w="2160"/>
            <w:vAlign w:val="top"/>
            <w:shd w:fill="F3F6F7"/>
          </w:tcPr>
          <w:p>
            <w:pPr>
              <w:keepNext w:val="0"/>
              <w:spacing w:after="50" w:before="20" w:line="250" w:lineRule="auto"/>
            </w:pPr>
            <w:r>
              <w:rPr>
                <w:rFonts w:ascii="Arial" w:hAnsi="Arial"/>
                <w:b/>
                <w:sz w:val="18"/>
              </w:rPr>
              <w:t>K21  New versus established client mix</w:t>
            </w:r>
            <w:r>
              <w:rPr>
                <w:rFonts w:ascii="Arial" w:hAnsi="Arial"/>
                <w:b w:val="0"/>
                <w:sz w:val="18"/>
              </w:rPr>
              <w:br/>
              <w:t>Events: E07, E16, E11</w:t>
            </w:r>
          </w:p>
        </w:tc>
        <w:tc>
          <w:tcPr>
            <w:tcW w:type="dxa" w:w="4104"/>
            <w:vAlign w:val="top"/>
            <w:shd w:fill="F3F6F7"/>
          </w:tcPr>
          <w:p>
            <w:pPr>
              <w:keepNext w:val="0"/>
              <w:spacing w:after="50" w:before="20" w:line="250" w:lineRule="auto"/>
            </w:pPr>
            <w:r>
              <w:rPr>
                <w:rFonts w:ascii="Arial" w:hAnsi="Arial"/>
                <w:sz w:val="18"/>
              </w:rPr>
              <w:t>Distinct completed-visit clients split by whether their first known tenant-wide completed visit falls in the period; show revenue and contribution by cohort.</w:t>
            </w:r>
          </w:p>
        </w:tc>
        <w:tc>
          <w:tcPr>
            <w:tcW w:type="dxa" w:w="3960"/>
            <w:vAlign w:val="top"/>
            <w:shd w:fill="F3F6F7"/>
          </w:tcPr>
          <w:p>
            <w:pPr>
              <w:keepNext w:val="0"/>
              <w:spacing w:after="50" w:before="20" w:line="250" w:lineRule="auto"/>
            </w:pPr>
            <w:r>
              <w:rPr>
                <w:rFonts w:ascii="Arial" w:hAnsi="Arial"/>
                <w:sz w:val="18"/>
              </w:rPr>
              <w:t>Segment: Location, service, source</w:t>
              <w:br/>
              <w:t>Action: Balance acquisition with repeat-client service.</w:t>
              <w:br/>
              <w:t>Limit: Keep 'new to this location' separate. Imports with incomplete history remain unknown, rather than being classified as new.</w:t>
            </w:r>
          </w:p>
        </w:tc>
      </w:tr>
      <w:tr>
        <w:trPr>
          <w:cantSplit/>
        </w:trPr>
        <w:tc>
          <w:tcPr>
            <w:tcW w:type="dxa" w:w="2160"/>
            <w:vAlign w:val="top"/>
          </w:tcPr>
          <w:p>
            <w:pPr>
              <w:keepNext w:val="0"/>
              <w:spacing w:after="50" w:before="20" w:line="250" w:lineRule="auto"/>
            </w:pPr>
            <w:r>
              <w:rPr>
                <w:rFonts w:ascii="Arial" w:hAnsi="Arial"/>
                <w:b/>
                <w:sz w:val="18"/>
              </w:rPr>
              <w:t>K22  Paid-membership churn</w:t>
            </w:r>
            <w:r>
              <w:rPr>
                <w:rFonts w:ascii="Arial" w:hAnsi="Arial"/>
                <w:b w:val="0"/>
                <w:sz w:val="18"/>
              </w:rPr>
              <w:br/>
              <w:t>Events: E21, E17</w:t>
            </w:r>
          </w:p>
        </w:tc>
        <w:tc>
          <w:tcPr>
            <w:tcW w:type="dxa" w:w="4104"/>
            <w:vAlign w:val="top"/>
          </w:tcPr>
          <w:p>
            <w:pPr>
              <w:keepNext w:val="0"/>
              <w:spacing w:after="50" w:before="20" w:line="250" w:lineRule="auto"/>
            </w:pPr>
            <w:r>
              <w:rPr>
                <w:rFonts w:ascii="Arial" w:hAnsi="Arial"/>
                <w:sz w:val="18"/>
              </w:rPr>
              <w:t>Starting active paid memberships ending through cancellation, expiry or payment failure during the period divided by starting active paid memberships; show reason buckets.</w:t>
            </w:r>
          </w:p>
        </w:tc>
        <w:tc>
          <w:tcPr>
            <w:tcW w:type="dxa" w:w="3960"/>
            <w:vAlign w:val="top"/>
          </w:tcPr>
          <w:p>
            <w:pPr>
              <w:keepNext w:val="0"/>
              <w:spacing w:after="50" w:before="20" w:line="250" w:lineRule="auto"/>
            </w:pPr>
            <w:r>
              <w:rPr>
                <w:rFonts w:ascii="Arial" w:hAnsi="Arial"/>
                <w:sz w:val="18"/>
              </w:rPr>
              <w:t>Segment: Plan, tenure, location, exit reason</w:t>
              <w:br/>
              <w:t>Action: Improve renewal experience or plan fit.</w:t>
              <w:br/>
              <w:t>Limit: Separate voluntary and involuntary exits, pauses and planned fixed-term completion. Report gross churn before new joins.</w:t>
            </w:r>
          </w:p>
        </w:tc>
      </w:tr>
      <w:tr>
        <w:trPr>
          <w:cantSplit/>
        </w:trPr>
        <w:tc>
          <w:tcPr>
            <w:tcW w:type="dxa" w:w="2160"/>
            <w:vAlign w:val="top"/>
            <w:shd w:fill="F3F6F7"/>
          </w:tcPr>
          <w:p>
            <w:pPr>
              <w:keepNext w:val="0"/>
              <w:spacing w:after="50" w:before="20" w:line="250" w:lineRule="auto"/>
            </w:pPr>
            <w:r>
              <w:rPr>
                <w:rFonts w:ascii="Arial" w:hAnsi="Arial"/>
                <w:b/>
                <w:sz w:val="18"/>
              </w:rPr>
              <w:t>K23  Membership entitlement use</w:t>
            </w:r>
            <w:r>
              <w:rPr>
                <w:rFonts w:ascii="Arial" w:hAnsi="Arial"/>
                <w:b w:val="0"/>
                <w:sz w:val="18"/>
              </w:rPr>
              <w:br/>
              <w:t>Events: E20, E21</w:t>
            </w:r>
          </w:p>
        </w:tc>
        <w:tc>
          <w:tcPr>
            <w:tcW w:type="dxa" w:w="4104"/>
            <w:vAlign w:val="top"/>
            <w:shd w:fill="F3F6F7"/>
          </w:tcPr>
          <w:p>
            <w:pPr>
              <w:keepNext w:val="0"/>
              <w:spacing w:after="50" w:before="20" w:line="250" w:lineRule="auto"/>
            </w:pPr>
            <w:r>
              <w:rPr>
                <w:rFonts w:ascii="Arial" w:hAnsi="Arial"/>
                <w:sz w:val="18"/>
              </w:rPr>
              <w:t>Redeemed entitled units divided by granted units for the same completed billing cycle; show remaining, carried, expired and frozen units.</w:t>
            </w:r>
          </w:p>
        </w:tc>
        <w:tc>
          <w:tcPr>
            <w:tcW w:type="dxa" w:w="3960"/>
            <w:vAlign w:val="top"/>
            <w:shd w:fill="F3F6F7"/>
          </w:tcPr>
          <w:p>
            <w:pPr>
              <w:keepNext w:val="0"/>
              <w:spacing w:after="50" w:before="20" w:line="250" w:lineRule="auto"/>
            </w:pPr>
            <w:r>
              <w:rPr>
                <w:rFonts w:ascii="Arial" w:hAnsi="Arial"/>
                <w:sz w:val="18"/>
              </w:rPr>
              <w:t>Segment: Plan, service entitlement, member tenure</w:t>
              <w:br/>
              <w:t>Action: Identify unused value, capacity pressure and confusing plan rules.</w:t>
              <w:br/>
              <w:t>Limit: Do not treat every credit as equal dollars. Financial liability uses the allocated consideration ledger, not face-value units.</w:t>
            </w:r>
          </w:p>
        </w:tc>
      </w:tr>
      <w:tr>
        <w:trPr>
          <w:cantSplit/>
        </w:trPr>
        <w:tc>
          <w:tcPr>
            <w:tcW w:type="dxa" w:w="2160"/>
            <w:vAlign w:val="top"/>
          </w:tcPr>
          <w:p>
            <w:pPr>
              <w:keepNext w:val="0"/>
              <w:spacing w:after="50" w:before="20" w:line="250" w:lineRule="auto"/>
            </w:pPr>
            <w:r>
              <w:rPr>
                <w:rFonts w:ascii="Arial" w:hAnsi="Arial"/>
                <w:b/>
                <w:sz w:val="18"/>
              </w:rPr>
              <w:t>K24  Observed contribution LTV</w:t>
            </w:r>
            <w:r>
              <w:rPr>
                <w:rFonts w:ascii="Arial" w:hAnsi="Arial"/>
                <w:b w:val="0"/>
                <w:sz w:val="18"/>
              </w:rPr>
              <w:br/>
              <w:t>Events: E16, E22, E25</w:t>
            </w:r>
          </w:p>
        </w:tc>
        <w:tc>
          <w:tcPr>
            <w:tcW w:type="dxa" w:w="4104"/>
            <w:vAlign w:val="top"/>
          </w:tcPr>
          <w:p>
            <w:pPr>
              <w:keepNext w:val="0"/>
              <w:spacing w:after="50" w:before="20" w:line="250" w:lineRule="auto"/>
            </w:pPr>
            <w:r>
              <w:rPr>
                <w:rFonts w:ascii="Arial" w:hAnsi="Arial"/>
                <w:sz w:val="18"/>
              </w:rPr>
              <w:t>Sum actual attributable client contribution through a fixed 90/180/365-day horizon divided by fully observed first-visit clients in that cohort.</w:t>
            </w:r>
          </w:p>
        </w:tc>
        <w:tc>
          <w:tcPr>
            <w:tcW w:type="dxa" w:w="3960"/>
            <w:vAlign w:val="top"/>
          </w:tcPr>
          <w:p>
            <w:pPr>
              <w:keepNext w:val="0"/>
              <w:spacing w:after="50" w:before="20" w:line="250" w:lineRule="auto"/>
            </w:pPr>
            <w:r>
              <w:rPr>
                <w:rFonts w:ascii="Arial" w:hAnsi="Arial"/>
                <w:sz w:val="18"/>
              </w:rPr>
              <w:t>Segment: Source, first service, cohort, membership</w:t>
              <w:br/>
              <w:t>Action: Compare retained value with acquisition cost.</w:t>
              <w:br/>
              <w:t>Limit: Show the horizon and maturity; this is observed contribution before CAC, not lifetime prediction. State treatment of refunds arriving after the window.</w:t>
            </w:r>
          </w:p>
        </w:tc>
      </w:tr>
    </w:tbl>
    <w:p>
      <w:pPr>
        <w:spacing w:after="40" w:before="0" w:line="240" w:lineRule="auto"/>
      </w:pPr>
      <w:r>
        <w:rPr>
          <w:sz w:val="4"/>
        </w:rPr>
      </w:r>
    </w:p>
    <w:p>
      <w:pPr>
        <w:pStyle w:val="Heading3"/>
      </w:pPr>
      <w:r>
        <w:t>Acquisition and marketing</w:t>
      </w:r>
    </w:p>
    <w:p>
      <w:pPr>
        <w:keepNext/>
      </w:pPr>
      <w:r>
        <w:t>Accountable role: Marketing / owner. Review cadence: Weekly; experiment decision dates. Features: F117, F152.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160"/>
        <w:gridCol w:w="4104"/>
        <w:gridCol w:w="3960"/>
      </w:tblGrid>
      <w:tr>
        <w:trPr>
          <w:tblHeader/>
        </w:trPr>
        <w:tc>
          <w:tcPr>
            <w:tcW w:type="dxa" w:w="2160"/>
            <w:vAlign w:val="top"/>
            <w:shd w:fill="173F50"/>
          </w:tcPr>
          <w:p>
            <w:pPr>
              <w:keepNext/>
              <w:spacing w:after="50" w:before="20" w:line="250" w:lineRule="auto"/>
            </w:pPr>
            <w:r>
              <w:rPr>
                <w:rFonts w:ascii="Arial" w:hAnsi="Arial"/>
                <w:b/>
                <w:color w:val="FFFFFF"/>
                <w:sz w:val="18"/>
              </w:rPr>
              <w:t>Metric and source</w:t>
            </w:r>
          </w:p>
        </w:tc>
        <w:tc>
          <w:tcPr>
            <w:tcW w:type="dxa" w:w="4104"/>
            <w:vAlign w:val="top"/>
            <w:shd w:fill="173F50"/>
          </w:tcPr>
          <w:p>
            <w:pPr>
              <w:keepNext/>
              <w:spacing w:after="50" w:before="20" w:line="250" w:lineRule="auto"/>
            </w:pPr>
            <w:r>
              <w:rPr>
                <w:rFonts w:ascii="Arial" w:hAnsi="Arial"/>
                <w:b/>
                <w:color w:val="FFFFFF"/>
                <w:sz w:val="18"/>
              </w:rPr>
              <w:t>Formula and population</w:t>
            </w:r>
          </w:p>
        </w:tc>
        <w:tc>
          <w:tcPr>
            <w:tcW w:type="dxa" w:w="3960"/>
            <w:vAlign w:val="top"/>
            <w:shd w:fill="173F50"/>
          </w:tcPr>
          <w:p>
            <w:pPr>
              <w:keepNext/>
              <w:spacing w:after="50" w:before="20" w:line="250" w:lineRule="auto"/>
            </w:pPr>
            <w:r>
              <w:rPr>
                <w:rFonts w:ascii="Arial" w:hAnsi="Arial"/>
                <w:b/>
                <w:color w:val="FFFFFF"/>
                <w:sz w:val="18"/>
              </w:rPr>
              <w:t>Use and interpretation</w:t>
            </w:r>
          </w:p>
        </w:tc>
      </w:tr>
      <w:tr>
        <w:trPr>
          <w:cantSplit/>
        </w:trPr>
        <w:tc>
          <w:tcPr>
            <w:tcW w:type="dxa" w:w="2160"/>
            <w:vAlign w:val="top"/>
          </w:tcPr>
          <w:p>
            <w:pPr>
              <w:keepNext w:val="0"/>
              <w:spacing w:after="50" w:before="20" w:line="250" w:lineRule="auto"/>
            </w:pPr>
            <w:r>
              <w:rPr>
                <w:rFonts w:ascii="Arial" w:hAnsi="Arial"/>
                <w:b/>
                <w:sz w:val="18"/>
              </w:rPr>
              <w:t>K25  Acquisition cost per new completed client</w:t>
            </w:r>
            <w:r>
              <w:rPr>
                <w:rFonts w:ascii="Arial" w:hAnsi="Arial"/>
                <w:b w:val="0"/>
                <w:sz w:val="18"/>
              </w:rPr>
              <w:br/>
              <w:t>Events: E10, E07, E15</w:t>
            </w:r>
          </w:p>
        </w:tc>
        <w:tc>
          <w:tcPr>
            <w:tcW w:type="dxa" w:w="4104"/>
            <w:vAlign w:val="top"/>
          </w:tcPr>
          <w:p>
            <w:pPr>
              <w:keepNext w:val="0"/>
              <w:spacing w:after="50" w:before="20" w:line="250" w:lineRule="auto"/>
            </w:pPr>
            <w:r>
              <w:rPr>
                <w:rFonts w:ascii="Arial" w:hAnsi="Arial"/>
                <w:sz w:val="18"/>
              </w:rPr>
              <w:t>Acquisition spend for a defined campaign/cohort divided by attributed first-time clients completing a paid visit within the agreed attribution window.</w:t>
            </w:r>
          </w:p>
        </w:tc>
        <w:tc>
          <w:tcPr>
            <w:tcW w:type="dxa" w:w="3960"/>
            <w:vAlign w:val="top"/>
          </w:tcPr>
          <w:p>
            <w:pPr>
              <w:keepNext w:val="0"/>
              <w:spacing w:after="50" w:before="20" w:line="250" w:lineRule="auto"/>
            </w:pPr>
            <w:r>
              <w:rPr>
                <w:rFonts w:ascii="Arial" w:hAnsi="Arial"/>
                <w:sz w:val="18"/>
              </w:rPr>
              <w:t>Segment: Channel, campaign, offer, location</w:t>
              <w:br/>
              <w:t>Action: Reallocate acquisition spending.</w:t>
              <w:br/>
              <w:t>Limit: Allocate shared spend explicitly; missing ad spend makes CAC partial. Zero acquired clients yields undefined CAC, not zero.</w:t>
            </w:r>
          </w:p>
        </w:tc>
      </w:tr>
      <w:tr>
        <w:trPr>
          <w:cantSplit/>
        </w:trPr>
        <w:tc>
          <w:tcPr>
            <w:tcW w:type="dxa" w:w="2160"/>
            <w:vAlign w:val="top"/>
            <w:shd w:fill="F3F6F7"/>
          </w:tcPr>
          <w:p>
            <w:pPr>
              <w:keepNext w:val="0"/>
              <w:spacing w:after="50" w:before="20" w:line="250" w:lineRule="auto"/>
            </w:pPr>
            <w:r>
              <w:rPr>
                <w:rFonts w:ascii="Arial" w:hAnsi="Arial"/>
                <w:b/>
                <w:sz w:val="18"/>
              </w:rPr>
              <w:t>K26  Lead-to-first-completed-visit conversion</w:t>
            </w:r>
            <w:r>
              <w:rPr>
                <w:rFonts w:ascii="Arial" w:hAnsi="Arial"/>
                <w:b w:val="0"/>
                <w:sz w:val="18"/>
              </w:rPr>
              <w:br/>
              <w:t>Events: E10, E07</w:t>
            </w:r>
          </w:p>
        </w:tc>
        <w:tc>
          <w:tcPr>
            <w:tcW w:type="dxa" w:w="4104"/>
            <w:vAlign w:val="top"/>
            <w:shd w:fill="F3F6F7"/>
          </w:tcPr>
          <w:p>
            <w:pPr>
              <w:keepNext w:val="0"/>
              <w:spacing w:after="50" w:before="20" w:line="250" w:lineRule="auto"/>
            </w:pPr>
            <w:r>
              <w:rPr>
                <w:rFonts w:ascii="Arial" w:hAnsi="Arial"/>
                <w:sz w:val="18"/>
              </w:rPr>
              <w:t>Qualified leads completing their first paid visit within N days divided by qualified leads with N days of observation.</w:t>
            </w:r>
          </w:p>
        </w:tc>
        <w:tc>
          <w:tcPr>
            <w:tcW w:type="dxa" w:w="3960"/>
            <w:vAlign w:val="top"/>
            <w:shd w:fill="F3F6F7"/>
          </w:tcPr>
          <w:p>
            <w:pPr>
              <w:keepNext w:val="0"/>
              <w:spacing w:after="50" w:before="20" w:line="250" w:lineRule="auto"/>
            </w:pPr>
            <w:r>
              <w:rPr>
                <w:rFonts w:ascii="Arial" w:hAnsi="Arial"/>
                <w:sz w:val="18"/>
              </w:rPr>
              <w:t>Segment: Channel, inquiry type, response delay, location</w:t>
              <w:br/>
              <w:t>Action: Fix slow replies and mismatched offers.</w:t>
              <w:br/>
              <w:t>Limit: Define qualification before observing outcome; exclude existing clients and duplicate inquiries. Missing lead records can inflate conversion.</w:t>
            </w:r>
          </w:p>
        </w:tc>
      </w:tr>
      <w:tr>
        <w:trPr>
          <w:cantSplit/>
        </w:trPr>
        <w:tc>
          <w:tcPr>
            <w:tcW w:type="dxa" w:w="2160"/>
            <w:vAlign w:val="top"/>
          </w:tcPr>
          <w:p>
            <w:pPr>
              <w:keepNext w:val="0"/>
              <w:spacing w:after="50" w:before="20" w:line="250" w:lineRule="auto"/>
            </w:pPr>
            <w:r>
              <w:rPr>
                <w:rFonts w:ascii="Arial" w:hAnsi="Arial"/>
                <w:b/>
                <w:sz w:val="18"/>
              </w:rPr>
              <w:t>K27  Attributed campaign contribution return</w:t>
            </w:r>
            <w:r>
              <w:rPr>
                <w:rFonts w:ascii="Arial" w:hAnsi="Arial"/>
                <w:b w:val="0"/>
                <w:sz w:val="18"/>
              </w:rPr>
              <w:br/>
              <w:t>Events: E12, E13, E16</w:t>
            </w:r>
          </w:p>
        </w:tc>
        <w:tc>
          <w:tcPr>
            <w:tcW w:type="dxa" w:w="4104"/>
            <w:vAlign w:val="top"/>
          </w:tcPr>
          <w:p>
            <w:pPr>
              <w:keepNext w:val="0"/>
              <w:spacing w:after="50" w:before="20" w:line="250" w:lineRule="auto"/>
            </w:pPr>
            <w:r>
              <w:rPr>
                <w:rFonts w:ascii="Arial" w:hAnsi="Arial"/>
                <w:sz w:val="18"/>
              </w:rPr>
              <w:t>Attributed earned contribution less campaign cost, divided by campaign cost, using one declared attribution rule and window.</w:t>
            </w:r>
          </w:p>
        </w:tc>
        <w:tc>
          <w:tcPr>
            <w:tcW w:type="dxa" w:w="3960"/>
            <w:vAlign w:val="top"/>
          </w:tcPr>
          <w:p>
            <w:pPr>
              <w:keepNext w:val="0"/>
              <w:spacing w:after="50" w:before="20" w:line="250" w:lineRule="auto"/>
            </w:pPr>
            <w:r>
              <w:rPr>
                <w:rFonts w:ascii="Arial" w:hAnsi="Arial"/>
                <w:sz w:val="18"/>
              </w:rPr>
              <w:t>Segment: Campaign, channel, audience, offer</w:t>
              <w:br/>
              <w:t>Action: Compare campaign economics.</w:t>
              <w:br/>
              <w:t>Limit: Attribution is not incrementality. Avoid double-crediting multiple campaigns; expose unknown sources and treatment of organic demand.</w:t>
            </w:r>
          </w:p>
        </w:tc>
      </w:tr>
      <w:tr>
        <w:trPr>
          <w:cantSplit/>
        </w:trPr>
        <w:tc>
          <w:tcPr>
            <w:tcW w:type="dxa" w:w="2160"/>
            <w:vAlign w:val="top"/>
            <w:shd w:fill="F3F6F7"/>
          </w:tcPr>
          <w:p>
            <w:pPr>
              <w:keepNext w:val="0"/>
              <w:spacing w:after="50" w:before="20" w:line="250" w:lineRule="auto"/>
            </w:pPr>
            <w:r>
              <w:rPr>
                <w:rFonts w:ascii="Arial" w:hAnsi="Arial"/>
                <w:b/>
                <w:sz w:val="18"/>
              </w:rPr>
              <w:t>K28  Incremental contribution lift</w:t>
            </w:r>
            <w:r>
              <w:rPr>
                <w:rFonts w:ascii="Arial" w:hAnsi="Arial"/>
                <w:b w:val="0"/>
                <w:sz w:val="18"/>
              </w:rPr>
              <w:br/>
              <w:t>Events: E12, E16, E13</w:t>
            </w:r>
          </w:p>
        </w:tc>
        <w:tc>
          <w:tcPr>
            <w:tcW w:type="dxa" w:w="4104"/>
            <w:vAlign w:val="top"/>
            <w:shd w:fill="F3F6F7"/>
          </w:tcPr>
          <w:p>
            <w:pPr>
              <w:keepNext w:val="0"/>
              <w:spacing w:after="50" w:before="20" w:line="250" w:lineRule="auto"/>
            </w:pPr>
            <w:r>
              <w:rPr>
                <w:rFonts w:ascii="Arial" w:hAnsi="Arial"/>
                <w:sz w:val="18"/>
              </w:rPr>
              <w:t>Mean contribution per randomized eligible client in treatment minus control during a prespecified horizon; subtract incremental delivery cost and show uncertainty.</w:t>
            </w:r>
          </w:p>
        </w:tc>
        <w:tc>
          <w:tcPr>
            <w:tcW w:type="dxa" w:w="3960"/>
            <w:vAlign w:val="top"/>
            <w:shd w:fill="F3F6F7"/>
          </w:tcPr>
          <w:p>
            <w:pPr>
              <w:keepNext w:val="0"/>
              <w:spacing w:after="50" w:before="20" w:line="250" w:lineRule="auto"/>
            </w:pPr>
            <w:r>
              <w:rPr>
                <w:rFonts w:ascii="Arial" w:hAnsi="Arial"/>
                <w:sz w:val="18"/>
              </w:rPr>
              <w:t>Segment: Experiment, segment fixed before assignment</w:t>
              <w:br/>
              <w:t>Action: Scale campaigns only when incremental value is plausible.</w:t>
              <w:br/>
              <w:t>Limit: Use intent-to-treat, stable assignment, stopping rules and minimum sample planning. Small samples are inconclusive; no significance fishing.</w:t>
            </w:r>
          </w:p>
        </w:tc>
      </w:tr>
      <w:tr>
        <w:trPr>
          <w:cantSplit/>
        </w:trPr>
        <w:tc>
          <w:tcPr>
            <w:tcW w:type="dxa" w:w="2160"/>
            <w:vAlign w:val="top"/>
          </w:tcPr>
          <w:p>
            <w:pPr>
              <w:keepNext w:val="0"/>
              <w:spacing w:after="50" w:before="20" w:line="250" w:lineRule="auto"/>
            </w:pPr>
            <w:r>
              <w:rPr>
                <w:rFonts w:ascii="Arial" w:hAnsi="Arial"/>
                <w:b/>
                <w:sz w:val="18"/>
              </w:rPr>
              <w:t>K29  Message delivery success</w:t>
            </w:r>
            <w:r>
              <w:rPr>
                <w:rFonts w:ascii="Arial" w:hAnsi="Arial"/>
                <w:b w:val="0"/>
                <w:sz w:val="18"/>
              </w:rPr>
              <w:br/>
              <w:t>Events: E13</w:t>
            </w:r>
          </w:p>
        </w:tc>
        <w:tc>
          <w:tcPr>
            <w:tcW w:type="dxa" w:w="4104"/>
            <w:vAlign w:val="top"/>
          </w:tcPr>
          <w:p>
            <w:pPr>
              <w:keepNext w:val="0"/>
              <w:spacing w:after="50" w:before="20" w:line="250" w:lineRule="auto"/>
            </w:pPr>
            <w:r>
              <w:rPr>
                <w:rFonts w:ascii="Arial" w:hAnsi="Arial"/>
                <w:sz w:val="18"/>
              </w:rPr>
              <w:t>Delivered messages divided by eligible attempted messages, reported separately for transactional and marketing traffic; list failures and timeouts.</w:t>
            </w:r>
          </w:p>
        </w:tc>
        <w:tc>
          <w:tcPr>
            <w:tcW w:type="dxa" w:w="3960"/>
            <w:vAlign w:val="top"/>
          </w:tcPr>
          <w:p>
            <w:pPr>
              <w:keepNext w:val="0"/>
              <w:spacing w:after="50" w:before="20" w:line="250" w:lineRule="auto"/>
            </w:pPr>
            <w:r>
              <w:rPr>
                <w:rFonts w:ascii="Arial" w:hAnsi="Arial"/>
                <w:sz w:val="18"/>
              </w:rPr>
              <w:t>Segment: Channel, carrier/provider, template, purpose</w:t>
              <w:br/>
              <w:t>Action: Repair unreachable contacts and provider problems.</w:t>
              <w:br/>
              <w:t>Limit: Provider-accepted is not delivered. Consent-suppressed messages are excluded from attempts but remain visible as a separate reason.</w:t>
            </w:r>
          </w:p>
        </w:tc>
      </w:tr>
      <w:tr>
        <w:trPr>
          <w:cantSplit/>
        </w:trPr>
        <w:tc>
          <w:tcPr>
            <w:tcW w:type="dxa" w:w="2160"/>
            <w:vAlign w:val="top"/>
            <w:shd w:fill="F3F6F7"/>
          </w:tcPr>
          <w:p>
            <w:pPr>
              <w:keepNext w:val="0"/>
              <w:spacing w:after="50" w:before="20" w:line="250" w:lineRule="auto"/>
            </w:pPr>
            <w:r>
              <w:rPr>
                <w:rFonts w:ascii="Arial" w:hAnsi="Arial"/>
                <w:b/>
                <w:sz w:val="18"/>
              </w:rPr>
              <w:t>K30  Campaign opt-out rate</w:t>
            </w:r>
            <w:r>
              <w:rPr>
                <w:rFonts w:ascii="Arial" w:hAnsi="Arial"/>
                <w:b w:val="0"/>
                <w:sz w:val="18"/>
              </w:rPr>
              <w:br/>
              <w:t>Events: E13, E14</w:t>
            </w:r>
          </w:p>
        </w:tc>
        <w:tc>
          <w:tcPr>
            <w:tcW w:type="dxa" w:w="4104"/>
            <w:vAlign w:val="top"/>
            <w:shd w:fill="F3F6F7"/>
          </w:tcPr>
          <w:p>
            <w:pPr>
              <w:keepNext w:val="0"/>
              <w:spacing w:after="50" w:before="20" w:line="250" w:lineRule="auto"/>
            </w:pPr>
            <w:r>
              <w:rPr>
                <w:rFonts w:ascii="Arial" w:hAnsi="Arial"/>
                <w:sz w:val="18"/>
              </w:rPr>
              <w:t>Unique recipients opting out within a declared post-campaign window divided by unique delivered recipients; compare randomized variants where possible.</w:t>
            </w:r>
          </w:p>
        </w:tc>
        <w:tc>
          <w:tcPr>
            <w:tcW w:type="dxa" w:w="3960"/>
            <w:vAlign w:val="top"/>
            <w:shd w:fill="F3F6F7"/>
          </w:tcPr>
          <w:p>
            <w:pPr>
              <w:keepNext w:val="0"/>
              <w:spacing w:after="50" w:before="20" w:line="250" w:lineRule="auto"/>
            </w:pPr>
            <w:r>
              <w:rPr>
                <w:rFonts w:ascii="Arial" w:hAnsi="Arial"/>
                <w:sz w:val="18"/>
              </w:rPr>
              <w:t>Segment: Campaign, channel, frequency band</w:t>
              <w:br/>
              <w:t>Action: Reduce unwanted frequency and irrelevant content.</w:t>
              <w:br/>
              <w:t>Limit: Respect immediate suppression. Do not infer consent from opens or purchases; shared attribution windows can associate an opt-out with several exposures.</w:t>
            </w:r>
          </w:p>
        </w:tc>
      </w:tr>
    </w:tbl>
    <w:p>
      <w:pPr>
        <w:spacing w:after="40" w:before="0" w:line="240" w:lineRule="auto"/>
      </w:pPr>
      <w:r>
        <w:rPr>
          <w:sz w:val="4"/>
        </w:rPr>
      </w:r>
    </w:p>
    <w:p>
      <w:pPr>
        <w:pStyle w:val="Heading3"/>
      </w:pPr>
      <w:r>
        <w:t>Service and clinical documentation</w:t>
      </w:r>
    </w:p>
    <w:p>
      <w:pPr>
        <w:keepNext/>
      </w:pPr>
      <w:r>
        <w:t>Accountable role: Service lead; authorized clinical lead when applicable. Review cadence: Before visits; daily exceptions. Features: F112, F113.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160"/>
        <w:gridCol w:w="4104"/>
        <w:gridCol w:w="3960"/>
      </w:tblGrid>
      <w:tr>
        <w:trPr>
          <w:tblHeader/>
        </w:trPr>
        <w:tc>
          <w:tcPr>
            <w:tcW w:type="dxa" w:w="2160"/>
            <w:vAlign w:val="top"/>
            <w:shd w:fill="173F50"/>
          </w:tcPr>
          <w:p>
            <w:pPr>
              <w:keepNext/>
              <w:spacing w:after="50" w:before="20" w:line="250" w:lineRule="auto"/>
            </w:pPr>
            <w:r>
              <w:rPr>
                <w:rFonts w:ascii="Arial" w:hAnsi="Arial"/>
                <w:b/>
                <w:color w:val="FFFFFF"/>
                <w:sz w:val="18"/>
              </w:rPr>
              <w:t>Metric and source</w:t>
            </w:r>
          </w:p>
        </w:tc>
        <w:tc>
          <w:tcPr>
            <w:tcW w:type="dxa" w:w="4104"/>
            <w:vAlign w:val="top"/>
            <w:shd w:fill="173F50"/>
          </w:tcPr>
          <w:p>
            <w:pPr>
              <w:keepNext/>
              <w:spacing w:after="50" w:before="20" w:line="250" w:lineRule="auto"/>
            </w:pPr>
            <w:r>
              <w:rPr>
                <w:rFonts w:ascii="Arial" w:hAnsi="Arial"/>
                <w:b/>
                <w:color w:val="FFFFFF"/>
                <w:sz w:val="18"/>
              </w:rPr>
              <w:t>Formula and population</w:t>
            </w:r>
          </w:p>
        </w:tc>
        <w:tc>
          <w:tcPr>
            <w:tcW w:type="dxa" w:w="3960"/>
            <w:vAlign w:val="top"/>
            <w:shd w:fill="173F50"/>
          </w:tcPr>
          <w:p>
            <w:pPr>
              <w:keepNext/>
              <w:spacing w:after="50" w:before="20" w:line="250" w:lineRule="auto"/>
            </w:pPr>
            <w:r>
              <w:rPr>
                <w:rFonts w:ascii="Arial" w:hAnsi="Arial"/>
                <w:b/>
                <w:color w:val="FFFFFF"/>
                <w:sz w:val="18"/>
              </w:rPr>
              <w:t>Use and interpretation</w:t>
            </w:r>
          </w:p>
        </w:tc>
      </w:tr>
      <w:tr>
        <w:trPr>
          <w:cantSplit/>
        </w:trPr>
        <w:tc>
          <w:tcPr>
            <w:tcW w:type="dxa" w:w="2160"/>
            <w:vAlign w:val="top"/>
          </w:tcPr>
          <w:p>
            <w:pPr>
              <w:keepNext w:val="0"/>
              <w:spacing w:after="50" w:before="20" w:line="250" w:lineRule="auto"/>
            </w:pPr>
            <w:r>
              <w:rPr>
                <w:rFonts w:ascii="Arial" w:hAnsi="Arial"/>
                <w:b/>
                <w:sz w:val="18"/>
              </w:rPr>
              <w:t>K31  Pre-visit documentation readiness</w:t>
            </w:r>
            <w:r>
              <w:rPr>
                <w:rFonts w:ascii="Arial" w:hAnsi="Arial"/>
                <w:b w:val="0"/>
                <w:sz w:val="18"/>
              </w:rPr>
              <w:br/>
              <w:t>Events: E26, E07</w:t>
            </w:r>
          </w:p>
        </w:tc>
        <w:tc>
          <w:tcPr>
            <w:tcW w:type="dxa" w:w="4104"/>
            <w:vAlign w:val="top"/>
          </w:tcPr>
          <w:p>
            <w:pPr>
              <w:keepNext w:val="0"/>
              <w:spacing w:after="50" w:before="20" w:line="250" w:lineRule="auto"/>
            </w:pPr>
            <w:r>
              <w:rPr>
                <w:rFonts w:ascii="Arial" w:hAnsi="Arial"/>
                <w:sz w:val="18"/>
              </w:rPr>
              <w:t>Upcoming visits with every currently required form/policy completed at the defined pre-visit cutoff divided by visits requiring documentation.</w:t>
            </w:r>
          </w:p>
        </w:tc>
        <w:tc>
          <w:tcPr>
            <w:tcW w:type="dxa" w:w="3960"/>
            <w:vAlign w:val="top"/>
          </w:tcPr>
          <w:p>
            <w:pPr>
              <w:keepNext w:val="0"/>
              <w:spacing w:after="50" w:before="20" w:line="250" w:lineRule="auto"/>
            </w:pPr>
            <w:r>
              <w:rPr>
                <w:rFonts w:ascii="Arial" w:hAnsi="Arial"/>
                <w:sz w:val="18"/>
              </w:rPr>
              <w:t>Segment: Service, template/version, location</w:t>
              <w:br/>
              <w:t>Action: Remind clients or resolve blocked visits.</w:t>
              <w:br/>
              <w:t>Limit: Signed old versions may remain valid under configured rules. Separate missing information from clinical review; do not show clinical contents in owner summaries.</w:t>
            </w:r>
          </w:p>
        </w:tc>
      </w:tr>
      <w:tr>
        <w:trPr>
          <w:cantSplit/>
        </w:trPr>
        <w:tc>
          <w:tcPr>
            <w:tcW w:type="dxa" w:w="2160"/>
            <w:vAlign w:val="top"/>
            <w:shd w:fill="F3F6F7"/>
          </w:tcPr>
          <w:p>
            <w:pPr>
              <w:keepNext w:val="0"/>
              <w:spacing w:after="50" w:before="20" w:line="250" w:lineRule="auto"/>
            </w:pPr>
            <w:r>
              <w:rPr>
                <w:rFonts w:ascii="Arial" w:hAnsi="Arial"/>
                <w:b/>
                <w:sz w:val="18"/>
              </w:rPr>
              <w:t>K32  Document rework rate</w:t>
            </w:r>
            <w:r>
              <w:rPr>
                <w:rFonts w:ascii="Arial" w:hAnsi="Arial"/>
                <w:b w:val="0"/>
                <w:sz w:val="18"/>
              </w:rPr>
              <w:br/>
              <w:t>Events: E26</w:t>
            </w:r>
          </w:p>
        </w:tc>
        <w:tc>
          <w:tcPr>
            <w:tcW w:type="dxa" w:w="4104"/>
            <w:vAlign w:val="top"/>
            <w:shd w:fill="F3F6F7"/>
          </w:tcPr>
          <w:p>
            <w:pPr>
              <w:keepNext w:val="0"/>
              <w:spacing w:after="50" w:before="20" w:line="250" w:lineRule="auto"/>
            </w:pPr>
            <w:r>
              <w:rPr>
                <w:rFonts w:ascii="Arial" w:hAnsi="Arial"/>
                <w:sz w:val="18"/>
              </w:rPr>
              <w:t>Submitted documents returned for correction divided by submitted documents, grouped by validation reason and template version.</w:t>
            </w:r>
          </w:p>
        </w:tc>
        <w:tc>
          <w:tcPr>
            <w:tcW w:type="dxa" w:w="3960"/>
            <w:vAlign w:val="top"/>
            <w:shd w:fill="F3F6F7"/>
          </w:tcPr>
          <w:p>
            <w:pPr>
              <w:keepNext w:val="0"/>
              <w:spacing w:after="50" w:before="20" w:line="250" w:lineRule="auto"/>
            </w:pPr>
            <w:r>
              <w:rPr>
                <w:rFonts w:ascii="Arial" w:hAnsi="Arial"/>
                <w:sz w:val="18"/>
              </w:rPr>
              <w:t>Segment: Template, question, device, staff role</w:t>
              <w:br/>
              <w:t>Action: Improve confusing questions and prevent omissions.</w:t>
              <w:br/>
              <w:t>Limit: Corrections must preserve the original signed record. A corrected clinical note is not necessarily poor care or staff error.</w:t>
            </w:r>
          </w:p>
        </w:tc>
      </w:tr>
      <w:tr>
        <w:trPr>
          <w:cantSplit/>
        </w:trPr>
        <w:tc>
          <w:tcPr>
            <w:tcW w:type="dxa" w:w="2160"/>
            <w:vAlign w:val="top"/>
          </w:tcPr>
          <w:p>
            <w:pPr>
              <w:keepNext w:val="0"/>
              <w:spacing w:after="50" w:before="20" w:line="250" w:lineRule="auto"/>
            </w:pPr>
            <w:r>
              <w:rPr>
                <w:rFonts w:ascii="Arial" w:hAnsi="Arial"/>
                <w:b/>
                <w:sz w:val="18"/>
              </w:rPr>
              <w:t>K33  Required sign-off latency</w:t>
            </w:r>
            <w:r>
              <w:rPr>
                <w:rFonts w:ascii="Arial" w:hAnsi="Arial"/>
                <w:b w:val="0"/>
                <w:sz w:val="18"/>
              </w:rPr>
              <w:br/>
              <w:t>Events: E26, E08</w:t>
            </w:r>
          </w:p>
        </w:tc>
        <w:tc>
          <w:tcPr>
            <w:tcW w:type="dxa" w:w="4104"/>
            <w:vAlign w:val="top"/>
          </w:tcPr>
          <w:p>
            <w:pPr>
              <w:keepNext w:val="0"/>
              <w:spacing w:after="50" w:before="20" w:line="250" w:lineRule="auto"/>
            </w:pPr>
            <w:r>
              <w:rPr>
                <w:rFonts w:ascii="Arial" w:hAnsi="Arial"/>
                <w:sz w:val="18"/>
              </w:rPr>
              <w:t>Median and 95th percentile elapsed time from service completion to authorized final sign-off; also count unsigned records by age.</w:t>
            </w:r>
          </w:p>
        </w:tc>
        <w:tc>
          <w:tcPr>
            <w:tcW w:type="dxa" w:w="3960"/>
            <w:vAlign w:val="top"/>
          </w:tcPr>
          <w:p>
            <w:pPr>
              <w:keepNext w:val="0"/>
              <w:spacing w:after="50" w:before="20" w:line="250" w:lineRule="auto"/>
            </w:pPr>
            <w:r>
              <w:rPr>
                <w:rFonts w:ascii="Arial" w:hAnsi="Arial"/>
                <w:sz w:val="18"/>
              </w:rPr>
              <w:t>Segment: Service, responsible reviewer, location</w:t>
              <w:br/>
              <w:t>Action: Clear overdue documentation and bottlenecks.</w:t>
              <w:br/>
              <w:t>Limit: Do not hide unsigned records by calculating only completed signatures. Restricted clinical views require appropriate authorization.</w:t>
            </w:r>
          </w:p>
        </w:tc>
      </w:tr>
      <w:tr>
        <w:trPr>
          <w:cantSplit/>
        </w:trPr>
        <w:tc>
          <w:tcPr>
            <w:tcW w:type="dxa" w:w="2160"/>
            <w:vAlign w:val="top"/>
            <w:shd w:fill="F3F6F7"/>
          </w:tcPr>
          <w:p>
            <w:pPr>
              <w:keepNext w:val="0"/>
              <w:spacing w:after="50" w:before="20" w:line="250" w:lineRule="auto"/>
            </w:pPr>
            <w:r>
              <w:rPr>
                <w:rFonts w:ascii="Arial" w:hAnsi="Arial"/>
                <w:b/>
                <w:sz w:val="18"/>
              </w:rPr>
              <w:t>K34  Media authorization coverage</w:t>
            </w:r>
            <w:r>
              <w:rPr>
                <w:rFonts w:ascii="Arial" w:hAnsi="Arial"/>
                <w:b w:val="0"/>
                <w:sz w:val="18"/>
              </w:rPr>
              <w:br/>
              <w:t>Events: E27, E26</w:t>
            </w:r>
          </w:p>
        </w:tc>
        <w:tc>
          <w:tcPr>
            <w:tcW w:type="dxa" w:w="4104"/>
            <w:vAlign w:val="top"/>
            <w:shd w:fill="F3F6F7"/>
          </w:tcPr>
          <w:p>
            <w:pPr>
              <w:keepNext w:val="0"/>
              <w:spacing w:after="50" w:before="20" w:line="250" w:lineRule="auto"/>
            </w:pPr>
            <w:r>
              <w:rPr>
                <w:rFonts w:ascii="Arial" w:hAnsi="Arial"/>
                <w:sz w:val="18"/>
              </w:rPr>
              <w:t>Assets with a linked visit/client and an active grant for their proposed use divided by assets selected for that use; show blocked/revoked assets.</w:t>
            </w:r>
          </w:p>
        </w:tc>
        <w:tc>
          <w:tcPr>
            <w:tcW w:type="dxa" w:w="3960"/>
            <w:vAlign w:val="top"/>
            <w:shd w:fill="F3F6F7"/>
          </w:tcPr>
          <w:p>
            <w:pPr>
              <w:keepNext w:val="0"/>
              <w:spacing w:after="50" w:before="20" w:line="250" w:lineRule="auto"/>
            </w:pPr>
            <w:r>
              <w:rPr>
                <w:rFonts w:ascii="Arial" w:hAnsi="Arial"/>
                <w:sz w:val="18"/>
              </w:rPr>
              <w:t>Segment: Purpose, channel, location, expiry</w:t>
              <w:br/>
              <w:t>Action: Prevent accidental use outside the agreed permission.</w:t>
              <w:br/>
              <w:t>Limit: Treatment storage, internal comparison and public marketing require distinct purpose flags. This is permission completeness, not a blanket legal-compliance score.</w:t>
            </w:r>
          </w:p>
        </w:tc>
      </w:tr>
      <w:tr>
        <w:trPr>
          <w:cantSplit/>
        </w:trPr>
        <w:tc>
          <w:tcPr>
            <w:tcW w:type="dxa" w:w="2160"/>
            <w:vAlign w:val="top"/>
          </w:tcPr>
          <w:p>
            <w:pPr>
              <w:keepNext w:val="0"/>
              <w:spacing w:after="50" w:before="20" w:line="250" w:lineRule="auto"/>
            </w:pPr>
            <w:r>
              <w:rPr>
                <w:rFonts w:ascii="Arial" w:hAnsi="Arial"/>
                <w:b/>
                <w:sz w:val="18"/>
              </w:rPr>
              <w:t>K35  Follow-up coverage and reported outcomes</w:t>
            </w:r>
            <w:r>
              <w:rPr>
                <w:rFonts w:ascii="Arial" w:hAnsi="Arial"/>
                <w:b w:val="0"/>
                <w:sz w:val="18"/>
              </w:rPr>
              <w:br/>
              <w:t>Events: E28, E07</w:t>
            </w:r>
          </w:p>
        </w:tc>
        <w:tc>
          <w:tcPr>
            <w:tcW w:type="dxa" w:w="4104"/>
            <w:vAlign w:val="top"/>
          </w:tcPr>
          <w:p>
            <w:pPr>
              <w:keepNext w:val="0"/>
              <w:spacing w:after="50" w:before="20" w:line="250" w:lineRule="auto"/>
            </w:pPr>
            <w:r>
              <w:rPr>
                <w:rFonts w:ascii="Arial" w:hAnsi="Arial"/>
                <w:sz w:val="18"/>
              </w:rPr>
              <w:t>Eligible completed visits with a follow-up response within the chosen window divided by eligible visits; show the response distribution and concern queue separately.</w:t>
            </w:r>
          </w:p>
        </w:tc>
        <w:tc>
          <w:tcPr>
            <w:tcW w:type="dxa" w:w="3960"/>
            <w:vAlign w:val="top"/>
          </w:tcPr>
          <w:p>
            <w:pPr>
              <w:keepNext w:val="0"/>
              <w:spacing w:after="50" w:before="20" w:line="250" w:lineRule="auto"/>
            </w:pPr>
            <w:r>
              <w:rPr>
                <w:rFonts w:ascii="Arial" w:hAnsi="Arial"/>
                <w:sz w:val="18"/>
              </w:rPr>
              <w:t>Segment: Service, timeframe, instrument/version</w:t>
              <w:br/>
              <w:t>Action: Find unresolved concerns and improve service delivery.</w:t>
              <w:br/>
              <w:t>Limit: Respondents are self-selected; change is not causal efficacy. Clinical measures need clinician-approved instruments and escalation rules.</w:t>
            </w:r>
          </w:p>
        </w:tc>
      </w:tr>
    </w:tbl>
    <w:p>
      <w:pPr>
        <w:spacing w:after="40" w:before="0" w:line="240" w:lineRule="auto"/>
      </w:pPr>
      <w:r>
        <w:rPr>
          <w:sz w:val="4"/>
        </w:rPr>
      </w:r>
    </w:p>
    <w:p>
      <w:pPr>
        <w:pStyle w:val="Heading3"/>
      </w:pPr>
      <w:r>
        <w:t>Inventory and service economics</w:t>
      </w:r>
    </w:p>
    <w:p>
      <w:pPr>
        <w:keepNext/>
      </w:pPr>
      <w:r>
        <w:t>Accountable role: Inventory / finance. Review cadence: Weekly; immediate shortage alerts. Features: F074, F125, F150.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160"/>
        <w:gridCol w:w="4104"/>
        <w:gridCol w:w="3960"/>
      </w:tblGrid>
      <w:tr>
        <w:trPr>
          <w:tblHeader/>
        </w:trPr>
        <w:tc>
          <w:tcPr>
            <w:tcW w:type="dxa" w:w="2160"/>
            <w:vAlign w:val="top"/>
            <w:shd w:fill="173F50"/>
          </w:tcPr>
          <w:p>
            <w:pPr>
              <w:keepNext/>
              <w:spacing w:after="50" w:before="20" w:line="250" w:lineRule="auto"/>
            </w:pPr>
            <w:r>
              <w:rPr>
                <w:rFonts w:ascii="Arial" w:hAnsi="Arial"/>
                <w:b/>
                <w:color w:val="FFFFFF"/>
                <w:sz w:val="18"/>
              </w:rPr>
              <w:t>Metric and source</w:t>
            </w:r>
          </w:p>
        </w:tc>
        <w:tc>
          <w:tcPr>
            <w:tcW w:type="dxa" w:w="4104"/>
            <w:vAlign w:val="top"/>
            <w:shd w:fill="173F50"/>
          </w:tcPr>
          <w:p>
            <w:pPr>
              <w:keepNext/>
              <w:spacing w:after="50" w:before="20" w:line="250" w:lineRule="auto"/>
            </w:pPr>
            <w:r>
              <w:rPr>
                <w:rFonts w:ascii="Arial" w:hAnsi="Arial"/>
                <w:b/>
                <w:color w:val="FFFFFF"/>
                <w:sz w:val="18"/>
              </w:rPr>
              <w:t>Formula and population</w:t>
            </w:r>
          </w:p>
        </w:tc>
        <w:tc>
          <w:tcPr>
            <w:tcW w:type="dxa" w:w="3960"/>
            <w:vAlign w:val="top"/>
            <w:shd w:fill="173F50"/>
          </w:tcPr>
          <w:p>
            <w:pPr>
              <w:keepNext/>
              <w:spacing w:after="50" w:before="20" w:line="250" w:lineRule="auto"/>
            </w:pPr>
            <w:r>
              <w:rPr>
                <w:rFonts w:ascii="Arial" w:hAnsi="Arial"/>
                <w:b/>
                <w:color w:val="FFFFFF"/>
                <w:sz w:val="18"/>
              </w:rPr>
              <w:t>Use and interpretation</w:t>
            </w:r>
          </w:p>
        </w:tc>
      </w:tr>
      <w:tr>
        <w:trPr>
          <w:cantSplit/>
        </w:trPr>
        <w:tc>
          <w:tcPr>
            <w:tcW w:type="dxa" w:w="2160"/>
            <w:vAlign w:val="top"/>
          </w:tcPr>
          <w:p>
            <w:pPr>
              <w:keepNext w:val="0"/>
              <w:spacing w:after="50" w:before="20" w:line="250" w:lineRule="auto"/>
            </w:pPr>
            <w:r>
              <w:rPr>
                <w:rFonts w:ascii="Arial" w:hAnsi="Arial"/>
                <w:b/>
                <w:sz w:val="18"/>
              </w:rPr>
              <w:t>K36  Available inventory balance</w:t>
            </w:r>
            <w:r>
              <w:rPr>
                <w:rFonts w:ascii="Arial" w:hAnsi="Arial"/>
                <w:b w:val="0"/>
                <w:sz w:val="18"/>
              </w:rPr>
              <w:br/>
              <w:t>Events: E22</w:t>
            </w:r>
          </w:p>
        </w:tc>
        <w:tc>
          <w:tcPr>
            <w:tcW w:type="dxa" w:w="4104"/>
            <w:vAlign w:val="top"/>
          </w:tcPr>
          <w:p>
            <w:pPr>
              <w:keepNext w:val="0"/>
              <w:spacing w:after="50" w:before="20" w:line="250" w:lineRule="auto"/>
            </w:pPr>
            <w:r>
              <w:rPr>
                <w:rFonts w:ascii="Arial" w:hAnsi="Arial"/>
                <w:sz w:val="18"/>
              </w:rPr>
              <w:t>Opening units plus accepted receipts/returns less consumption/sales/adjustments/reservations, by SKU and lot at a stated timestamp.</w:t>
            </w:r>
          </w:p>
        </w:tc>
        <w:tc>
          <w:tcPr>
            <w:tcW w:type="dxa" w:w="3960"/>
            <w:vAlign w:val="top"/>
          </w:tcPr>
          <w:p>
            <w:pPr>
              <w:keepNext w:val="0"/>
              <w:spacing w:after="50" w:before="20" w:line="250" w:lineRule="auto"/>
            </w:pPr>
            <w:r>
              <w:rPr>
                <w:rFonts w:ascii="Arial" w:hAnsi="Arial"/>
                <w:sz w:val="18"/>
              </w:rPr>
              <w:t>Segment: SKU, lot, location, sellable/quarantine</w:t>
              <w:br/>
              <w:t>Action: Prevent unavailable stock being promised.</w:t>
              <w:br/>
              <w:t>Limit: Show on-hand, reserved and available separately; avoid subtracting both reservation and later fulfillment twice.</w:t>
            </w:r>
          </w:p>
        </w:tc>
      </w:tr>
      <w:tr>
        <w:trPr>
          <w:cantSplit/>
        </w:trPr>
        <w:tc>
          <w:tcPr>
            <w:tcW w:type="dxa" w:w="2160"/>
            <w:vAlign w:val="top"/>
            <w:shd w:fill="F3F6F7"/>
          </w:tcPr>
          <w:p>
            <w:pPr>
              <w:keepNext w:val="0"/>
              <w:spacing w:after="50" w:before="20" w:line="250" w:lineRule="auto"/>
            </w:pPr>
            <w:r>
              <w:rPr>
                <w:rFonts w:ascii="Arial" w:hAnsi="Arial"/>
                <w:b/>
                <w:sz w:val="18"/>
              </w:rPr>
              <w:t>K37  Stockout exposure</w:t>
            </w:r>
            <w:r>
              <w:rPr>
                <w:rFonts w:ascii="Arial" w:hAnsi="Arial"/>
                <w:b w:val="0"/>
                <w:sz w:val="18"/>
              </w:rPr>
              <w:br/>
              <w:t>Events: E22, E07</w:t>
            </w:r>
          </w:p>
        </w:tc>
        <w:tc>
          <w:tcPr>
            <w:tcW w:type="dxa" w:w="4104"/>
            <w:vAlign w:val="top"/>
            <w:shd w:fill="F3F6F7"/>
          </w:tcPr>
          <w:p>
            <w:pPr>
              <w:keepNext w:val="0"/>
              <w:spacing w:after="50" w:before="20" w:line="250" w:lineRule="auto"/>
            </w:pPr>
            <w:r>
              <w:rPr>
                <w:rFonts w:ascii="Arial" w:hAnsi="Arial"/>
                <w:sz w:val="18"/>
              </w:rPr>
              <w:t>Hours an eligible SKU is unavailable plus upcoming appointments whose required recipe cannot be covered by available stock.</w:t>
            </w:r>
          </w:p>
        </w:tc>
        <w:tc>
          <w:tcPr>
            <w:tcW w:type="dxa" w:w="3960"/>
            <w:vAlign w:val="top"/>
            <w:shd w:fill="F3F6F7"/>
          </w:tcPr>
          <w:p>
            <w:pPr>
              <w:keepNext w:val="0"/>
              <w:spacing w:after="50" w:before="20" w:line="250" w:lineRule="auto"/>
            </w:pPr>
            <w:r>
              <w:rPr>
                <w:rFonts w:ascii="Arial" w:hAnsi="Arial"/>
                <w:sz w:val="18"/>
              </w:rPr>
              <w:t>Segment: SKU, service, supplier, location</w:t>
              <w:br/>
              <w:t>Action: Expedite, substitute with approval or reschedule.</w:t>
              <w:br/>
              <w:t>Limit: Recipe and stock accuracy determine coverage. Do not silently recommend clinical product substitution.</w:t>
            </w:r>
          </w:p>
        </w:tc>
      </w:tr>
      <w:tr>
        <w:trPr>
          <w:cantSplit/>
        </w:trPr>
        <w:tc>
          <w:tcPr>
            <w:tcW w:type="dxa" w:w="2160"/>
            <w:vAlign w:val="top"/>
          </w:tcPr>
          <w:p>
            <w:pPr>
              <w:keepNext w:val="0"/>
              <w:spacing w:after="50" w:before="20" w:line="250" w:lineRule="auto"/>
            </w:pPr>
            <w:r>
              <w:rPr>
                <w:rFonts w:ascii="Arial" w:hAnsi="Arial"/>
                <w:b/>
                <w:sz w:val="18"/>
              </w:rPr>
              <w:t>K38  Inventory value at expiry risk</w:t>
            </w:r>
            <w:r>
              <w:rPr>
                <w:rFonts w:ascii="Arial" w:hAnsi="Arial"/>
                <w:b w:val="0"/>
                <w:sz w:val="18"/>
              </w:rPr>
              <w:br/>
              <w:t>Events: E22, E07</w:t>
            </w:r>
          </w:p>
        </w:tc>
        <w:tc>
          <w:tcPr>
            <w:tcW w:type="dxa" w:w="4104"/>
            <w:vAlign w:val="top"/>
          </w:tcPr>
          <w:p>
            <w:pPr>
              <w:keepNext w:val="0"/>
              <w:spacing w:after="50" w:before="20" w:line="250" w:lineRule="auto"/>
            </w:pPr>
            <w:r>
              <w:rPr>
                <w:rFonts w:ascii="Arial" w:hAnsi="Arial"/>
                <w:sz w:val="18"/>
              </w:rPr>
              <w:t>Cost value of lots projected to remain at expiry under stated demand scenarios; show a conservative and central case.</w:t>
            </w:r>
          </w:p>
        </w:tc>
        <w:tc>
          <w:tcPr>
            <w:tcW w:type="dxa" w:w="3960"/>
            <w:vAlign w:val="top"/>
          </w:tcPr>
          <w:p>
            <w:pPr>
              <w:keepNext w:val="0"/>
              <w:spacing w:after="50" w:before="20" w:line="250" w:lineRule="auto"/>
            </w:pPr>
            <w:r>
              <w:rPr>
                <w:rFonts w:ascii="Arial" w:hAnsi="Arial"/>
                <w:sz w:val="18"/>
              </w:rPr>
              <w:t>Segment: Lot, expiry bucket, supplier, location</w:t>
              <w:br/>
              <w:t>Action: Use safe transfer/order changes to limit waste.</w:t>
              <w:br/>
              <w:t>Limit: Forecast risk is not realized loss. Use lot-level costs, quarantine rules and uncertainty; never promote use beyond valid expiry.</w:t>
            </w:r>
          </w:p>
        </w:tc>
      </w:tr>
      <w:tr>
        <w:trPr>
          <w:cantSplit/>
        </w:trPr>
        <w:tc>
          <w:tcPr>
            <w:tcW w:type="dxa" w:w="2160"/>
            <w:vAlign w:val="top"/>
            <w:shd w:fill="F3F6F7"/>
          </w:tcPr>
          <w:p>
            <w:pPr>
              <w:keepNext w:val="0"/>
              <w:spacing w:after="50" w:before="20" w:line="250" w:lineRule="auto"/>
            </w:pPr>
            <w:r>
              <w:rPr>
                <w:rFonts w:ascii="Arial" w:hAnsi="Arial"/>
                <w:b/>
                <w:sz w:val="18"/>
              </w:rPr>
              <w:t>K39  Physical-to-ledger inventory variance</w:t>
            </w:r>
            <w:r>
              <w:rPr>
                <w:rFonts w:ascii="Arial" w:hAnsi="Arial"/>
                <w:b w:val="0"/>
                <w:sz w:val="18"/>
              </w:rPr>
              <w:br/>
              <w:t>Events: E23, E22</w:t>
            </w:r>
          </w:p>
        </w:tc>
        <w:tc>
          <w:tcPr>
            <w:tcW w:type="dxa" w:w="4104"/>
            <w:vAlign w:val="top"/>
            <w:shd w:fill="F3F6F7"/>
          </w:tcPr>
          <w:p>
            <w:pPr>
              <w:keepNext w:val="0"/>
              <w:spacing w:after="50" w:before="20" w:line="250" w:lineRule="auto"/>
            </w:pPr>
            <w:r>
              <w:rPr>
                <w:rFonts w:ascii="Arial" w:hAnsi="Arial"/>
                <w:sz w:val="18"/>
              </w:rPr>
              <w:t>Counted quantity minus expected ledger quantity at the count cutoff, in units and recorded cost; retain each approved adjustment reason.</w:t>
            </w:r>
          </w:p>
        </w:tc>
        <w:tc>
          <w:tcPr>
            <w:tcW w:type="dxa" w:w="3960"/>
            <w:vAlign w:val="top"/>
            <w:shd w:fill="F3F6F7"/>
          </w:tcPr>
          <w:p>
            <w:pPr>
              <w:keepNext w:val="0"/>
              <w:spacing w:after="50" w:before="20" w:line="250" w:lineRule="auto"/>
            </w:pPr>
            <w:r>
              <w:rPr>
                <w:rFonts w:ascii="Arial" w:hAnsi="Arial"/>
                <w:sz w:val="18"/>
              </w:rPr>
              <w:t>Segment: SKU, location, count session</w:t>
              <w:br/>
              <w:t>Action: Investigate process errors and reconcile stock.</w:t>
              <w:br/>
              <w:t>Limit: Unexplained variance is not proof of theft. Freeze or reconcile concurrent movements during a count.</w:t>
            </w:r>
          </w:p>
        </w:tc>
      </w:tr>
      <w:tr>
        <w:trPr>
          <w:cantSplit/>
        </w:trPr>
        <w:tc>
          <w:tcPr>
            <w:tcW w:type="dxa" w:w="2160"/>
            <w:vAlign w:val="top"/>
          </w:tcPr>
          <w:p>
            <w:pPr>
              <w:keepNext w:val="0"/>
              <w:spacing w:after="50" w:before="20" w:line="250" w:lineRule="auto"/>
            </w:pPr>
            <w:r>
              <w:rPr>
                <w:rFonts w:ascii="Arial" w:hAnsi="Arial"/>
                <w:b/>
                <w:sz w:val="18"/>
              </w:rPr>
              <w:t>K40  Service consumption variance</w:t>
            </w:r>
            <w:r>
              <w:rPr>
                <w:rFonts w:ascii="Arial" w:hAnsi="Arial"/>
                <w:b w:val="0"/>
                <w:sz w:val="18"/>
              </w:rPr>
              <w:br/>
              <w:t>Events: E22, E08</w:t>
            </w:r>
          </w:p>
        </w:tc>
        <w:tc>
          <w:tcPr>
            <w:tcW w:type="dxa" w:w="4104"/>
            <w:vAlign w:val="top"/>
          </w:tcPr>
          <w:p>
            <w:pPr>
              <w:keepNext w:val="0"/>
              <w:spacing w:after="50" w:before="20" w:line="250" w:lineRule="auto"/>
            </w:pPr>
            <w:r>
              <w:rPr>
                <w:rFonts w:ascii="Arial" w:hAnsi="Arial"/>
                <w:sz w:val="18"/>
              </w:rPr>
              <w:t>Actual recorded consumable quantity/cost minus standard recipe quantity/cost for comparable completed services; show missing-record coverage.</w:t>
            </w:r>
          </w:p>
        </w:tc>
        <w:tc>
          <w:tcPr>
            <w:tcW w:type="dxa" w:w="3960"/>
            <w:vAlign w:val="top"/>
          </w:tcPr>
          <w:p>
            <w:pPr>
              <w:keepNext w:val="0"/>
              <w:spacing w:after="50" w:before="20" w:line="250" w:lineRule="auto"/>
            </w:pPr>
            <w:r>
              <w:rPr>
                <w:rFonts w:ascii="Arial" w:hAnsi="Arial"/>
                <w:sz w:val="18"/>
              </w:rPr>
              <w:t>Segment: Service variant, product, provider, lot</w:t>
              <w:br/>
              <w:t>Action: Refine recipes, training and purchasing.</w:t>
              <w:br/>
              <w:t>Limit: Client needs can justify differences. Separate waste, opened-package remainder and deliberate treatment variation; never rank staff without context.</w:t>
            </w:r>
          </w:p>
        </w:tc>
      </w:tr>
      <w:tr>
        <w:trPr>
          <w:cantSplit/>
        </w:trPr>
        <w:tc>
          <w:tcPr>
            <w:tcW w:type="dxa" w:w="2160"/>
            <w:vAlign w:val="top"/>
            <w:shd w:fill="F3F6F7"/>
          </w:tcPr>
          <w:p>
            <w:pPr>
              <w:keepNext w:val="0"/>
              <w:spacing w:after="50" w:before="20" w:line="250" w:lineRule="auto"/>
            </w:pPr>
            <w:r>
              <w:rPr>
                <w:rFonts w:ascii="Arial" w:hAnsi="Arial"/>
                <w:b/>
                <w:sz w:val="18"/>
              </w:rPr>
              <w:t>K41  Contribution per active service hour</w:t>
            </w:r>
            <w:r>
              <w:rPr>
                <w:rFonts w:ascii="Arial" w:hAnsi="Arial"/>
                <w:b w:val="0"/>
                <w:sz w:val="18"/>
              </w:rPr>
              <w:br/>
              <w:t>Events: E08, E16, E25</w:t>
            </w:r>
          </w:p>
        </w:tc>
        <w:tc>
          <w:tcPr>
            <w:tcW w:type="dxa" w:w="4104"/>
            <w:vAlign w:val="top"/>
            <w:shd w:fill="F3F6F7"/>
          </w:tcPr>
          <w:p>
            <w:pPr>
              <w:keepNext w:val="0"/>
              <w:spacing w:after="50" w:before="20" w:line="250" w:lineRule="auto"/>
            </w:pPr>
            <w:r>
              <w:rPr>
                <w:rFonts w:ascii="Arial" w:hAnsi="Arial"/>
                <w:sz w:val="18"/>
              </w:rPr>
              <w:t>Attributable service contribution divided by summed active provider minutes/60 for completed services; display contribution and duration together.</w:t>
            </w:r>
          </w:p>
        </w:tc>
        <w:tc>
          <w:tcPr>
            <w:tcW w:type="dxa" w:w="3960"/>
            <w:vAlign w:val="top"/>
            <w:shd w:fill="F3F6F7"/>
          </w:tcPr>
          <w:p>
            <w:pPr>
              <w:keepNext w:val="0"/>
              <w:spacing w:after="50" w:before="20" w:line="250" w:lineRule="auto"/>
            </w:pPr>
            <w:r>
              <w:rPr>
                <w:rFonts w:ascii="Arial" w:hAnsi="Arial"/>
                <w:sz w:val="18"/>
              </w:rPr>
              <w:t>Segment: Service variant, resource constraint, location</w:t>
              <w:br/>
              <w:t>Action: Improve menu economics and staffing mix.</w:t>
              <w:br/>
              <w:t>Limit: Multiple providers contribute multiple labor minutes. Do not substitute list price or ignore consumable/commission costs.</w:t>
            </w:r>
          </w:p>
        </w:tc>
      </w:tr>
      <w:tr>
        <w:trPr>
          <w:cantSplit/>
        </w:trPr>
        <w:tc>
          <w:tcPr>
            <w:tcW w:type="dxa" w:w="2160"/>
            <w:vAlign w:val="top"/>
          </w:tcPr>
          <w:p>
            <w:pPr>
              <w:keepNext w:val="0"/>
              <w:spacing w:after="50" w:before="20" w:line="250" w:lineRule="auto"/>
            </w:pPr>
            <w:r>
              <w:rPr>
                <w:rFonts w:ascii="Arial" w:hAnsi="Arial"/>
                <w:b/>
                <w:sz w:val="18"/>
              </w:rPr>
              <w:t>K42  Reorder coverage and forecast error</w:t>
            </w:r>
            <w:r>
              <w:rPr>
                <w:rFonts w:ascii="Arial" w:hAnsi="Arial"/>
                <w:b w:val="0"/>
                <w:sz w:val="18"/>
              </w:rPr>
              <w:br/>
              <w:t>Events: E22, E07</w:t>
            </w:r>
          </w:p>
        </w:tc>
        <w:tc>
          <w:tcPr>
            <w:tcW w:type="dxa" w:w="4104"/>
            <w:vAlign w:val="top"/>
          </w:tcPr>
          <w:p>
            <w:pPr>
              <w:keepNext w:val="0"/>
              <w:spacing w:after="50" w:before="20" w:line="250" w:lineRule="auto"/>
            </w:pPr>
            <w:r>
              <w:rPr>
                <w:rFonts w:ascii="Arial" w:hAnsi="Arial"/>
                <w:sz w:val="18"/>
              </w:rPr>
              <w:t>Projected days of available stock using confirmed-booking recipes plus separately modeled demand; compare prior forecasts with actual consumption.</w:t>
            </w:r>
          </w:p>
        </w:tc>
        <w:tc>
          <w:tcPr>
            <w:tcW w:type="dxa" w:w="3960"/>
            <w:vAlign w:val="top"/>
          </w:tcPr>
          <w:p>
            <w:pPr>
              <w:keepNext w:val="0"/>
              <w:spacing w:after="50" w:before="20" w:line="250" w:lineRule="auto"/>
            </w:pPr>
            <w:r>
              <w:rPr>
                <w:rFonts w:ascii="Arial" w:hAnsi="Arial"/>
                <w:sz w:val="18"/>
              </w:rPr>
              <w:t>Segment: SKU, lead-time band, location</w:t>
              <w:br/>
              <w:t>Action: Recommend an order date and quantity for approval.</w:t>
              <w:br/>
              <w:t>Limit: Sparse history and changed services widen uncertainty. Show supplier lead-time assumptions and prevent automatic clinical substitution.</w:t>
            </w:r>
          </w:p>
        </w:tc>
      </w:tr>
    </w:tbl>
    <w:p>
      <w:pPr>
        <w:spacing w:after="40" w:before="0" w:line="240" w:lineRule="auto"/>
      </w:pPr>
      <w:r>
        <w:rPr>
          <w:sz w:val="4"/>
        </w:rPr>
      </w:r>
    </w:p>
    <w:p>
      <w:pPr>
        <w:pStyle w:val="Heading3"/>
      </w:pPr>
      <w:r>
        <w:t>Team operations</w:t>
      </w:r>
    </w:p>
    <w:p>
      <w:pPr>
        <w:keepNext/>
      </w:pPr>
      <w:r>
        <w:t>Accountable role: Manager / payroll. Review cadence: Weekly; every payroll run. Features: F112, F113.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160"/>
        <w:gridCol w:w="4104"/>
        <w:gridCol w:w="3960"/>
      </w:tblGrid>
      <w:tr>
        <w:trPr>
          <w:tblHeader/>
        </w:trPr>
        <w:tc>
          <w:tcPr>
            <w:tcW w:type="dxa" w:w="2160"/>
            <w:vAlign w:val="top"/>
            <w:shd w:fill="173F50"/>
          </w:tcPr>
          <w:p>
            <w:pPr>
              <w:keepNext/>
              <w:spacing w:after="50" w:before="20" w:line="250" w:lineRule="auto"/>
            </w:pPr>
            <w:r>
              <w:rPr>
                <w:rFonts w:ascii="Arial" w:hAnsi="Arial"/>
                <w:b/>
                <w:color w:val="FFFFFF"/>
                <w:sz w:val="18"/>
              </w:rPr>
              <w:t>Metric and source</w:t>
            </w:r>
          </w:p>
        </w:tc>
        <w:tc>
          <w:tcPr>
            <w:tcW w:type="dxa" w:w="4104"/>
            <w:vAlign w:val="top"/>
            <w:shd w:fill="173F50"/>
          </w:tcPr>
          <w:p>
            <w:pPr>
              <w:keepNext/>
              <w:spacing w:after="50" w:before="20" w:line="250" w:lineRule="auto"/>
            </w:pPr>
            <w:r>
              <w:rPr>
                <w:rFonts w:ascii="Arial" w:hAnsi="Arial"/>
                <w:b/>
                <w:color w:val="FFFFFF"/>
                <w:sz w:val="18"/>
              </w:rPr>
              <w:t>Formula and population</w:t>
            </w:r>
          </w:p>
        </w:tc>
        <w:tc>
          <w:tcPr>
            <w:tcW w:type="dxa" w:w="3960"/>
            <w:vAlign w:val="top"/>
            <w:shd w:fill="173F50"/>
          </w:tcPr>
          <w:p>
            <w:pPr>
              <w:keepNext/>
              <w:spacing w:after="50" w:before="20" w:line="250" w:lineRule="auto"/>
            </w:pPr>
            <w:r>
              <w:rPr>
                <w:rFonts w:ascii="Arial" w:hAnsi="Arial"/>
                <w:b/>
                <w:color w:val="FFFFFF"/>
                <w:sz w:val="18"/>
              </w:rPr>
              <w:t>Use and interpretation</w:t>
            </w:r>
          </w:p>
        </w:tc>
      </w:tr>
      <w:tr>
        <w:trPr>
          <w:cantSplit/>
        </w:trPr>
        <w:tc>
          <w:tcPr>
            <w:tcW w:type="dxa" w:w="2160"/>
            <w:vAlign w:val="top"/>
          </w:tcPr>
          <w:p>
            <w:pPr>
              <w:keepNext w:val="0"/>
              <w:spacing w:after="50" w:before="20" w:line="250" w:lineRule="auto"/>
            </w:pPr>
            <w:r>
              <w:rPr>
                <w:rFonts w:ascii="Arial" w:hAnsi="Arial"/>
                <w:b/>
                <w:sz w:val="18"/>
              </w:rPr>
              <w:t>K43  Direct labor cost ratio</w:t>
            </w:r>
            <w:r>
              <w:rPr>
                <w:rFonts w:ascii="Arial" w:hAnsi="Arial"/>
                <w:b w:val="0"/>
                <w:sz w:val="18"/>
              </w:rPr>
              <w:br/>
              <w:t>Events: E24, E25, E16</w:t>
            </w:r>
          </w:p>
        </w:tc>
        <w:tc>
          <w:tcPr>
            <w:tcW w:type="dxa" w:w="4104"/>
            <w:vAlign w:val="top"/>
          </w:tcPr>
          <w:p>
            <w:pPr>
              <w:keepNext w:val="0"/>
              <w:spacing w:after="50" w:before="20" w:line="250" w:lineRule="auto"/>
            </w:pPr>
            <w:r>
              <w:rPr>
                <w:rFonts w:ascii="Arial" w:hAnsi="Arial"/>
                <w:sz w:val="18"/>
              </w:rPr>
              <w:t>Attributed wages, commissions and employer burden divided by net earned revenue for the same service period; show each component.</w:t>
            </w:r>
          </w:p>
        </w:tc>
        <w:tc>
          <w:tcPr>
            <w:tcW w:type="dxa" w:w="3960"/>
            <w:vAlign w:val="top"/>
          </w:tcPr>
          <w:p>
            <w:pPr>
              <w:keepNext w:val="0"/>
              <w:spacing w:after="50" w:before="20" w:line="250" w:lineRule="auto"/>
            </w:pPr>
            <w:r>
              <w:rPr>
                <w:rFonts w:ascii="Arial" w:hAnsi="Arial"/>
                <w:sz w:val="18"/>
              </w:rPr>
              <w:t>Segment: Role, location, employment model</w:t>
              <w:br/>
              <w:t>Action: Plan staffing with contribution in view.</w:t>
              <w:br/>
              <w:t>Limit: Payroll paid-date and earned-period differ. Owner labor and contractor costs need a consistent declared treatment.</w:t>
            </w:r>
          </w:p>
        </w:tc>
      </w:tr>
      <w:tr>
        <w:trPr>
          <w:cantSplit/>
        </w:trPr>
        <w:tc>
          <w:tcPr>
            <w:tcW w:type="dxa" w:w="2160"/>
            <w:vAlign w:val="top"/>
            <w:shd w:fill="F3F6F7"/>
          </w:tcPr>
          <w:p>
            <w:pPr>
              <w:keepNext w:val="0"/>
              <w:spacing w:after="50" w:before="20" w:line="250" w:lineRule="auto"/>
            </w:pPr>
            <w:r>
              <w:rPr>
                <w:rFonts w:ascii="Arial" w:hAnsi="Arial"/>
                <w:b/>
                <w:sz w:val="18"/>
              </w:rPr>
              <w:t>K44  Paid-time allocation</w:t>
            </w:r>
            <w:r>
              <w:rPr>
                <w:rFonts w:ascii="Arial" w:hAnsi="Arial"/>
                <w:b w:val="0"/>
                <w:sz w:val="18"/>
              </w:rPr>
              <w:br/>
              <w:t>Events: E24, E08</w:t>
            </w:r>
          </w:p>
        </w:tc>
        <w:tc>
          <w:tcPr>
            <w:tcW w:type="dxa" w:w="4104"/>
            <w:vAlign w:val="top"/>
            <w:shd w:fill="F3F6F7"/>
          </w:tcPr>
          <w:p>
            <w:pPr>
              <w:keepNext w:val="0"/>
              <w:spacing w:after="50" w:before="20" w:line="250" w:lineRule="auto"/>
            </w:pPr>
            <w:r>
              <w:rPr>
                <w:rFonts w:ascii="Arial" w:hAnsi="Arial"/>
                <w:sz w:val="18"/>
              </w:rPr>
              <w:t>Paid minutes split into service, preparation/cleaning, training, administration, breaks and unclassified time; productive share uses an agreed definition.</w:t>
            </w:r>
          </w:p>
        </w:tc>
        <w:tc>
          <w:tcPr>
            <w:tcW w:type="dxa" w:w="3960"/>
            <w:vAlign w:val="top"/>
            <w:shd w:fill="F3F6F7"/>
          </w:tcPr>
          <w:p>
            <w:pPr>
              <w:keepNext w:val="0"/>
              <w:spacing w:after="50" w:before="20" w:line="250" w:lineRule="auto"/>
            </w:pPr>
            <w:r>
              <w:rPr>
                <w:rFonts w:ascii="Arial" w:hAnsi="Arial"/>
                <w:sz w:val="18"/>
              </w:rPr>
              <w:t>Segment: Role, location, shift</w:t>
              <w:br/>
              <w:t>Action: Reduce avoidable friction without erasing necessary work.</w:t>
              <w:br/>
              <w:t>Limit: Unclassified time is not idle misconduct. Avoid employee surveillance; allow corrections and show data coverage.</w:t>
            </w:r>
          </w:p>
        </w:tc>
      </w:tr>
      <w:tr>
        <w:trPr>
          <w:cantSplit/>
        </w:trPr>
        <w:tc>
          <w:tcPr>
            <w:tcW w:type="dxa" w:w="2160"/>
            <w:vAlign w:val="top"/>
          </w:tcPr>
          <w:p>
            <w:pPr>
              <w:keepNext w:val="0"/>
              <w:spacing w:after="50" w:before="20" w:line="250" w:lineRule="auto"/>
            </w:pPr>
            <w:r>
              <w:rPr>
                <w:rFonts w:ascii="Arial" w:hAnsi="Arial"/>
                <w:b/>
                <w:sz w:val="18"/>
              </w:rPr>
              <w:t>K45  Provider-associated return rate</w:t>
            </w:r>
            <w:r>
              <w:rPr>
                <w:rFonts w:ascii="Arial" w:hAnsi="Arial"/>
                <w:b w:val="0"/>
                <w:sz w:val="18"/>
              </w:rPr>
              <w:br/>
              <w:t>Events: E07, E11</w:t>
            </w:r>
          </w:p>
        </w:tc>
        <w:tc>
          <w:tcPr>
            <w:tcW w:type="dxa" w:w="4104"/>
            <w:vAlign w:val="top"/>
          </w:tcPr>
          <w:p>
            <w:pPr>
              <w:keepNext w:val="0"/>
              <w:spacing w:after="50" w:before="20" w:line="250" w:lineRule="auto"/>
            </w:pPr>
            <w:r>
              <w:rPr>
                <w:rFonts w:ascii="Arial" w:hAnsi="Arial"/>
                <w:sz w:val="18"/>
              </w:rPr>
              <w:t>Mature clients returning within the chosen horizon after a provider-associated first visit divided by eligible clients of that provider cohort.</w:t>
            </w:r>
          </w:p>
        </w:tc>
        <w:tc>
          <w:tcPr>
            <w:tcW w:type="dxa" w:w="3960"/>
            <w:vAlign w:val="top"/>
          </w:tcPr>
          <w:p>
            <w:pPr>
              <w:keepNext w:val="0"/>
              <w:spacing w:after="50" w:before="20" w:line="250" w:lineRule="auto"/>
            </w:pPr>
            <w:r>
              <w:rPr>
                <w:rFonts w:ascii="Arial" w:hAnsi="Arial"/>
                <w:sz w:val="18"/>
              </w:rPr>
              <w:t>Segment: Service, tenure, location, provider</w:t>
              <w:br/>
              <w:t>Action: Identify training or continuity opportunities.</w:t>
              <w:br/>
              <w:t>Limit: Multi-provider attribution must be declared. Suppress small cohorts and adjust interpretation for service mix, leave and client preferences.</w:t>
            </w:r>
          </w:p>
        </w:tc>
      </w:tr>
      <w:tr>
        <w:trPr>
          <w:cantSplit/>
        </w:trPr>
        <w:tc>
          <w:tcPr>
            <w:tcW w:type="dxa" w:w="2160"/>
            <w:vAlign w:val="top"/>
            <w:shd w:fill="F3F6F7"/>
          </w:tcPr>
          <w:p>
            <w:pPr>
              <w:keepNext w:val="0"/>
              <w:spacing w:after="50" w:before="20" w:line="250" w:lineRule="auto"/>
            </w:pPr>
            <w:r>
              <w:rPr>
                <w:rFonts w:ascii="Arial" w:hAnsi="Arial"/>
                <w:b/>
                <w:sz w:val="18"/>
              </w:rPr>
              <w:t>K46  Overtime and schedule exceptions</w:t>
            </w:r>
            <w:r>
              <w:rPr>
                <w:rFonts w:ascii="Arial" w:hAnsi="Arial"/>
                <w:b w:val="0"/>
                <w:sz w:val="18"/>
              </w:rPr>
              <w:br/>
              <w:t>Events: E24, E09</w:t>
            </w:r>
          </w:p>
        </w:tc>
        <w:tc>
          <w:tcPr>
            <w:tcW w:type="dxa" w:w="4104"/>
            <w:vAlign w:val="top"/>
            <w:shd w:fill="F3F6F7"/>
          </w:tcPr>
          <w:p>
            <w:pPr>
              <w:keepNext w:val="0"/>
              <w:spacing w:after="50" w:before="20" w:line="250" w:lineRule="auto"/>
            </w:pPr>
            <w:r>
              <w:rPr>
                <w:rFonts w:ascii="Arial" w:hAnsi="Arial"/>
                <w:sz w:val="18"/>
              </w:rPr>
              <w:t>Compare approved time entries with configured pay-period rules; report flagged excess hours, missed records and break exceptions for review.</w:t>
            </w:r>
          </w:p>
        </w:tc>
        <w:tc>
          <w:tcPr>
            <w:tcW w:type="dxa" w:w="3960"/>
            <w:vAlign w:val="top"/>
            <w:shd w:fill="F3F6F7"/>
          </w:tcPr>
          <w:p>
            <w:pPr>
              <w:keepNext w:val="0"/>
              <w:spacing w:after="50" w:before="20" w:line="250" w:lineRule="auto"/>
            </w:pPr>
            <w:r>
              <w:rPr>
                <w:rFonts w:ascii="Arial" w:hAnsi="Arial"/>
                <w:sz w:val="18"/>
              </w:rPr>
              <w:t>Segment: Employee, role, jurisdiction configuration</w:t>
              <w:br/>
              <w:t>Action: Resolve timekeeping before payroll.</w:t>
              <w:br/>
              <w:t>Limit: Rules require HR/payroll review and local configuration. A dashboard flag is not a legal finding; do not automatically reduce pay.</w:t>
            </w:r>
          </w:p>
        </w:tc>
      </w:tr>
      <w:tr>
        <w:trPr>
          <w:cantSplit/>
        </w:trPr>
        <w:tc>
          <w:tcPr>
            <w:tcW w:type="dxa" w:w="2160"/>
            <w:vAlign w:val="top"/>
          </w:tcPr>
          <w:p>
            <w:pPr>
              <w:keepNext w:val="0"/>
              <w:spacing w:after="50" w:before="20" w:line="250" w:lineRule="auto"/>
            </w:pPr>
            <w:r>
              <w:rPr>
                <w:rFonts w:ascii="Arial" w:hAnsi="Arial"/>
                <w:b/>
                <w:sz w:val="18"/>
              </w:rPr>
              <w:t>K47  Commission reconciliation variance</w:t>
            </w:r>
            <w:r>
              <w:rPr>
                <w:rFonts w:ascii="Arial" w:hAnsi="Arial"/>
                <w:b w:val="0"/>
                <w:sz w:val="18"/>
              </w:rPr>
              <w:br/>
              <w:t>Events: E25, E16</w:t>
            </w:r>
          </w:p>
        </w:tc>
        <w:tc>
          <w:tcPr>
            <w:tcW w:type="dxa" w:w="4104"/>
            <w:vAlign w:val="top"/>
          </w:tcPr>
          <w:p>
            <w:pPr>
              <w:keepNext w:val="0"/>
              <w:spacing w:after="50" w:before="20" w:line="250" w:lineRule="auto"/>
            </w:pPr>
            <w:r>
              <w:rPr>
                <w:rFonts w:ascii="Arial" w:hAnsi="Arial"/>
                <w:sz w:val="18"/>
              </w:rPr>
              <w:t>Rule-version-calculated earned commission minus approved allocated commission for the same sales/service period; display refunds, split credit and overrides.</w:t>
            </w:r>
          </w:p>
        </w:tc>
        <w:tc>
          <w:tcPr>
            <w:tcW w:type="dxa" w:w="3960"/>
            <w:vAlign w:val="top"/>
          </w:tcPr>
          <w:p>
            <w:pPr>
              <w:keepNext w:val="0"/>
              <w:spacing w:after="50" w:before="20" w:line="250" w:lineRule="auto"/>
            </w:pPr>
            <w:r>
              <w:rPr>
                <w:rFonts w:ascii="Arial" w:hAnsi="Arial"/>
                <w:sz w:val="18"/>
              </w:rPr>
              <w:t>Segment: Employee, service/product, rule version</w:t>
              <w:br/>
              <w:t>Action: Resolve mismatches before payment.</w:t>
              <w:br/>
              <w:t>Limit: Rule changes must not rewrite history. Legal wage obligations and contractor terms need specialist review.</w:t>
            </w:r>
          </w:p>
        </w:tc>
      </w:tr>
    </w:tbl>
    <w:p>
      <w:pPr>
        <w:spacing w:after="40" w:before="0" w:line="240" w:lineRule="auto"/>
      </w:pPr>
      <w:r>
        <w:rPr>
          <w:sz w:val="4"/>
        </w:rPr>
      </w:r>
    </w:p>
    <w:p>
      <w:pPr>
        <w:pStyle w:val="Heading3"/>
      </w:pPr>
      <w:r>
        <w:t>Money and reconciliation</w:t>
      </w:r>
    </w:p>
    <w:p>
      <w:pPr>
        <w:keepNext/>
      </w:pPr>
      <w:r>
        <w:t>Accountable role: Finance / payments operations. Review cadence: Daily; month-end close. Features: F074, F091, F198, F199.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160"/>
        <w:gridCol w:w="4104"/>
        <w:gridCol w:w="3960"/>
      </w:tblGrid>
      <w:tr>
        <w:trPr>
          <w:tblHeader/>
        </w:trPr>
        <w:tc>
          <w:tcPr>
            <w:tcW w:type="dxa" w:w="2160"/>
            <w:vAlign w:val="top"/>
            <w:shd w:fill="173F50"/>
          </w:tcPr>
          <w:p>
            <w:pPr>
              <w:keepNext/>
              <w:spacing w:after="50" w:before="20" w:line="250" w:lineRule="auto"/>
            </w:pPr>
            <w:r>
              <w:rPr>
                <w:rFonts w:ascii="Arial" w:hAnsi="Arial"/>
                <w:b/>
                <w:color w:val="FFFFFF"/>
                <w:sz w:val="18"/>
              </w:rPr>
              <w:t>Metric and source</w:t>
            </w:r>
          </w:p>
        </w:tc>
        <w:tc>
          <w:tcPr>
            <w:tcW w:type="dxa" w:w="4104"/>
            <w:vAlign w:val="top"/>
            <w:shd w:fill="173F50"/>
          </w:tcPr>
          <w:p>
            <w:pPr>
              <w:keepNext/>
              <w:spacing w:after="50" w:before="20" w:line="250" w:lineRule="auto"/>
            </w:pPr>
            <w:r>
              <w:rPr>
                <w:rFonts w:ascii="Arial" w:hAnsi="Arial"/>
                <w:b/>
                <w:color w:val="FFFFFF"/>
                <w:sz w:val="18"/>
              </w:rPr>
              <w:t>Formula and population</w:t>
            </w:r>
          </w:p>
        </w:tc>
        <w:tc>
          <w:tcPr>
            <w:tcW w:type="dxa" w:w="3960"/>
            <w:vAlign w:val="top"/>
            <w:shd w:fill="173F50"/>
          </w:tcPr>
          <w:p>
            <w:pPr>
              <w:keepNext/>
              <w:spacing w:after="50" w:before="20" w:line="250" w:lineRule="auto"/>
            </w:pPr>
            <w:r>
              <w:rPr>
                <w:rFonts w:ascii="Arial" w:hAnsi="Arial"/>
                <w:b/>
                <w:color w:val="FFFFFF"/>
                <w:sz w:val="18"/>
              </w:rPr>
              <w:t>Use and interpretation</w:t>
            </w:r>
          </w:p>
        </w:tc>
      </w:tr>
      <w:tr>
        <w:trPr>
          <w:cantSplit/>
        </w:trPr>
        <w:tc>
          <w:tcPr>
            <w:tcW w:type="dxa" w:w="2160"/>
            <w:vAlign w:val="top"/>
          </w:tcPr>
          <w:p>
            <w:pPr>
              <w:keepNext w:val="0"/>
              <w:spacing w:after="50" w:before="20" w:line="250" w:lineRule="auto"/>
            </w:pPr>
            <w:r>
              <w:rPr>
                <w:rFonts w:ascii="Arial" w:hAnsi="Arial"/>
                <w:b/>
                <w:sz w:val="18"/>
              </w:rPr>
              <w:t>K48  Capture-to-settlement reconciliation</w:t>
            </w:r>
            <w:r>
              <w:rPr>
                <w:rFonts w:ascii="Arial" w:hAnsi="Arial"/>
                <w:b w:val="0"/>
                <w:sz w:val="18"/>
              </w:rPr>
              <w:br/>
              <w:t>Events: E17, E18</w:t>
            </w:r>
          </w:p>
        </w:tc>
        <w:tc>
          <w:tcPr>
            <w:tcW w:type="dxa" w:w="4104"/>
            <w:vAlign w:val="top"/>
          </w:tcPr>
          <w:p>
            <w:pPr>
              <w:keepNext w:val="0"/>
              <w:spacing w:after="50" w:before="20" w:line="250" w:lineRule="auto"/>
            </w:pPr>
            <w:r>
              <w:rPr>
                <w:rFonts w:ascii="Arial" w:hAnsi="Arial"/>
                <w:sz w:val="18"/>
              </w:rPr>
              <w:t>Successful captures due for settlement matched to settlement entries divided by captures due; show unmatched amount and age.</w:t>
            </w:r>
          </w:p>
        </w:tc>
        <w:tc>
          <w:tcPr>
            <w:tcW w:type="dxa" w:w="3960"/>
            <w:vAlign w:val="top"/>
          </w:tcPr>
          <w:p>
            <w:pPr>
              <w:keepNext w:val="0"/>
              <w:spacing w:after="50" w:before="20" w:line="250" w:lineRule="auto"/>
            </w:pPr>
            <w:r>
              <w:rPr>
                <w:rFonts w:ascii="Arial" w:hAnsi="Arial"/>
                <w:sz w:val="18"/>
              </w:rPr>
              <w:t>Segment: Processor, currency, location, date</w:t>
              <w:br/>
              <w:t>Action: Investigate missing funds or duplicate records.</w:t>
              <w:br/>
              <w:t>Limit: Authorization is not capture; pending/held funds are separate. A settlement may aggregate captures, refunds and fees.</w:t>
            </w:r>
          </w:p>
        </w:tc>
      </w:tr>
      <w:tr>
        <w:trPr>
          <w:cantSplit/>
        </w:trPr>
        <w:tc>
          <w:tcPr>
            <w:tcW w:type="dxa" w:w="2160"/>
            <w:vAlign w:val="top"/>
            <w:shd w:fill="F3F6F7"/>
          </w:tcPr>
          <w:p>
            <w:pPr>
              <w:keepNext w:val="0"/>
              <w:spacing w:after="50" w:before="20" w:line="250" w:lineRule="auto"/>
            </w:pPr>
            <w:r>
              <w:rPr>
                <w:rFonts w:ascii="Arial" w:hAnsi="Arial"/>
                <w:b/>
                <w:sz w:val="18"/>
              </w:rPr>
              <w:t>K49  Payout-to-bank reconciliation variance</w:t>
            </w:r>
            <w:r>
              <w:rPr>
                <w:rFonts w:ascii="Arial" w:hAnsi="Arial"/>
                <w:b w:val="0"/>
                <w:sz w:val="18"/>
              </w:rPr>
              <w:br/>
              <w:t>Events: E18, E19</w:t>
            </w:r>
          </w:p>
        </w:tc>
        <w:tc>
          <w:tcPr>
            <w:tcW w:type="dxa" w:w="4104"/>
            <w:vAlign w:val="top"/>
            <w:shd w:fill="F3F6F7"/>
          </w:tcPr>
          <w:p>
            <w:pPr>
              <w:keepNext w:val="0"/>
              <w:spacing w:after="50" w:before="20" w:line="250" w:lineRule="auto"/>
            </w:pPr>
            <w:r>
              <w:rPr>
                <w:rFonts w:ascii="Arial" w:hAnsi="Arial"/>
                <w:sz w:val="18"/>
              </w:rPr>
              <w:t>Expected net payout after documented fees/refunds/chargebacks/holds minus matched bank deposit, by payout ID and currency.</w:t>
            </w:r>
          </w:p>
        </w:tc>
        <w:tc>
          <w:tcPr>
            <w:tcW w:type="dxa" w:w="3960"/>
            <w:vAlign w:val="top"/>
            <w:shd w:fill="F3F6F7"/>
          </w:tcPr>
          <w:p>
            <w:pPr>
              <w:keepNext w:val="0"/>
              <w:spacing w:after="50" w:before="20" w:line="250" w:lineRule="auto"/>
            </w:pPr>
            <w:r>
              <w:rPr>
                <w:rFonts w:ascii="Arial" w:hAnsi="Arial"/>
                <w:sz w:val="18"/>
              </w:rPr>
              <w:t>Segment: Processor, bank account, payout date</w:t>
              <w:br/>
              <w:t>Action: Close each payout or route an exception.</w:t>
              <w:br/>
              <w:t>Limit: Use bank-confirmed matches rather than presumed arrival. Do not mix net payouts with gross sales or combine currencies without explicit conversion.</w:t>
            </w:r>
          </w:p>
        </w:tc>
      </w:tr>
      <w:tr>
        <w:trPr>
          <w:cantSplit/>
        </w:trPr>
        <w:tc>
          <w:tcPr>
            <w:tcW w:type="dxa" w:w="2160"/>
            <w:vAlign w:val="top"/>
          </w:tcPr>
          <w:p>
            <w:pPr>
              <w:keepNext w:val="0"/>
              <w:spacing w:after="50" w:before="20" w:line="250" w:lineRule="auto"/>
            </w:pPr>
            <w:r>
              <w:rPr>
                <w:rFonts w:ascii="Arial" w:hAnsi="Arial"/>
                <w:b/>
                <w:sz w:val="18"/>
              </w:rPr>
              <w:t>K50  Refund and dispute rates</w:t>
            </w:r>
            <w:r>
              <w:rPr>
                <w:rFonts w:ascii="Arial" w:hAnsi="Arial"/>
                <w:b w:val="0"/>
                <w:sz w:val="18"/>
              </w:rPr>
              <w:br/>
              <w:t>Events: E17, E18</w:t>
            </w:r>
          </w:p>
        </w:tc>
        <w:tc>
          <w:tcPr>
            <w:tcW w:type="dxa" w:w="4104"/>
            <w:vAlign w:val="top"/>
          </w:tcPr>
          <w:p>
            <w:pPr>
              <w:keepNext w:val="0"/>
              <w:spacing w:after="50" w:before="20" w:line="250" w:lineRule="auto"/>
            </w:pPr>
            <w:r>
              <w:rPr>
                <w:rFonts w:ascii="Arial" w:hAnsi="Arial"/>
                <w:sz w:val="18"/>
              </w:rPr>
              <w:t>Refunded/disputed count and value divided by original captured count/value for the same mature payment cohort; split open, won and lost disputes.</w:t>
            </w:r>
          </w:p>
        </w:tc>
        <w:tc>
          <w:tcPr>
            <w:tcW w:type="dxa" w:w="3960"/>
            <w:vAlign w:val="top"/>
          </w:tcPr>
          <w:p>
            <w:pPr>
              <w:keepNext w:val="0"/>
              <w:spacing w:after="50" w:before="20" w:line="250" w:lineRule="auto"/>
            </w:pPr>
            <w:r>
              <w:rPr>
                <w:rFonts w:ascii="Arial" w:hAnsi="Arial"/>
                <w:sz w:val="18"/>
              </w:rPr>
              <w:t>Segment: Service, source, tender, reason</w:t>
              <w:br/>
              <w:t>Action: Identify service or payment-process problems.</w:t>
              <w:br/>
              <w:t>Limit: Disputes arrive late; show cohort maturity and trailing operational totals separately. Refunds and chargebacks can overlap and require netting.</w:t>
            </w:r>
          </w:p>
        </w:tc>
      </w:tr>
      <w:tr>
        <w:trPr>
          <w:cantSplit/>
        </w:trPr>
        <w:tc>
          <w:tcPr>
            <w:tcW w:type="dxa" w:w="2160"/>
            <w:vAlign w:val="top"/>
            <w:shd w:fill="F3F6F7"/>
          </w:tcPr>
          <w:p>
            <w:pPr>
              <w:keepNext w:val="0"/>
              <w:spacing w:after="50" w:before="20" w:line="250" w:lineRule="auto"/>
            </w:pPr>
            <w:r>
              <w:rPr>
                <w:rFonts w:ascii="Arial" w:hAnsi="Arial"/>
                <w:b/>
                <w:sz w:val="18"/>
              </w:rPr>
              <w:t>K51  Earned receivables ageing</w:t>
            </w:r>
            <w:r>
              <w:rPr>
                <w:rFonts w:ascii="Arial" w:hAnsi="Arial"/>
                <w:b w:val="0"/>
                <w:sz w:val="18"/>
              </w:rPr>
              <w:br/>
              <w:t>Events: E15, E16, E17</w:t>
            </w:r>
          </w:p>
        </w:tc>
        <w:tc>
          <w:tcPr>
            <w:tcW w:type="dxa" w:w="4104"/>
            <w:vAlign w:val="top"/>
            <w:shd w:fill="F3F6F7"/>
          </w:tcPr>
          <w:p>
            <w:pPr>
              <w:keepNext w:val="0"/>
              <w:spacing w:after="50" w:before="20" w:line="250" w:lineRule="auto"/>
            </w:pPr>
            <w:r>
              <w:rPr>
                <w:rFonts w:ascii="Arial" w:hAnsi="Arial"/>
                <w:sz w:val="18"/>
              </w:rPr>
              <w:t>Unpaid earned invoice balances net of applied payments/credits, bucketed by days beyond due date at the reporting cutoff.</w:t>
            </w:r>
          </w:p>
        </w:tc>
        <w:tc>
          <w:tcPr>
            <w:tcW w:type="dxa" w:w="3960"/>
            <w:vAlign w:val="top"/>
            <w:shd w:fill="F3F6F7"/>
          </w:tcPr>
          <w:p>
            <w:pPr>
              <w:keepNext w:val="0"/>
              <w:spacing w:after="50" w:before="20" w:line="250" w:lineRule="auto"/>
            </w:pPr>
            <w:r>
              <w:rPr>
                <w:rFonts w:ascii="Arial" w:hAnsi="Arial"/>
                <w:sz w:val="18"/>
              </w:rPr>
              <w:t>Segment: Client, invoice, location, age bucket</w:t>
              <w:br/>
              <w:t>Action: Send appropriate reminders or review disputes.</w:t>
              <w:br/>
              <w:t>Limit: Future-service deposits and unused credits are not earned receivables. Do not auto-message clients with unresolved payment disputes.</w:t>
            </w:r>
          </w:p>
        </w:tc>
      </w:tr>
      <w:tr>
        <w:trPr>
          <w:cantSplit/>
        </w:trPr>
        <w:tc>
          <w:tcPr>
            <w:tcW w:type="dxa" w:w="2160"/>
            <w:vAlign w:val="top"/>
          </w:tcPr>
          <w:p>
            <w:pPr>
              <w:keepNext w:val="0"/>
              <w:spacing w:after="50" w:before="20" w:line="250" w:lineRule="auto"/>
            </w:pPr>
            <w:r>
              <w:rPr>
                <w:rFonts w:ascii="Arial" w:hAnsi="Arial"/>
                <w:b/>
                <w:sz w:val="18"/>
              </w:rPr>
              <w:t>K52  Unfulfilled prepaid balances</w:t>
            </w:r>
            <w:r>
              <w:rPr>
                <w:rFonts w:ascii="Arial" w:hAnsi="Arial"/>
                <w:b w:val="0"/>
                <w:sz w:val="18"/>
              </w:rPr>
              <w:br/>
              <w:t>Events: E20, E16</w:t>
            </w:r>
          </w:p>
        </w:tc>
        <w:tc>
          <w:tcPr>
            <w:tcW w:type="dxa" w:w="4104"/>
            <w:vAlign w:val="top"/>
          </w:tcPr>
          <w:p>
            <w:pPr>
              <w:keepNext w:val="0"/>
              <w:spacing w:after="50" w:before="20" w:line="250" w:lineRule="auto"/>
            </w:pPr>
            <w:r>
              <w:rPr>
                <w:rFonts w:ascii="Arial" w:hAnsi="Arial"/>
                <w:sz w:val="18"/>
              </w:rPr>
              <w:t>Opening allocated liability plus deposits/gift/package receipts less earned redemption, refunds and approved policy adjustments; split money and entitlement units.</w:t>
            </w:r>
          </w:p>
        </w:tc>
        <w:tc>
          <w:tcPr>
            <w:tcW w:type="dxa" w:w="3960"/>
            <w:vAlign w:val="top"/>
          </w:tcPr>
          <w:p>
            <w:pPr>
              <w:keepNext w:val="0"/>
              <w:spacing w:after="50" w:before="20" w:line="250" w:lineRule="auto"/>
            </w:pPr>
            <w:r>
              <w:rPr>
                <w:rFonts w:ascii="Arial" w:hAnsi="Arial"/>
                <w:sz w:val="18"/>
              </w:rPr>
              <w:t>Segment: Instrument, plan, expiry, location, currency</w:t>
              <w:br/>
              <w:t>Action: Protect redemption capacity and month-end accounting.</w:t>
              <w:br/>
              <w:t>Limit: Gift sale, deposit and package redemption must not each become revenue. Breakage/expiry recognition requires accountant-approved jurisdictional treatment.</w:t>
            </w:r>
          </w:p>
        </w:tc>
      </w:tr>
      <w:tr>
        <w:trPr>
          <w:cantSplit/>
        </w:trPr>
        <w:tc>
          <w:tcPr>
            <w:tcW w:type="dxa" w:w="2160"/>
            <w:vAlign w:val="top"/>
            <w:shd w:fill="F3F6F7"/>
          </w:tcPr>
          <w:p>
            <w:pPr>
              <w:keepNext w:val="0"/>
              <w:spacing w:after="50" w:before="20" w:line="250" w:lineRule="auto"/>
            </w:pPr>
            <w:r>
              <w:rPr>
                <w:rFonts w:ascii="Arial" w:hAnsi="Arial"/>
                <w:b/>
                <w:sz w:val="18"/>
              </w:rPr>
              <w:t>K53  Failed-payment recovery</w:t>
            </w:r>
            <w:r>
              <w:rPr>
                <w:rFonts w:ascii="Arial" w:hAnsi="Arial"/>
                <w:b w:val="0"/>
                <w:sz w:val="18"/>
              </w:rPr>
              <w:br/>
              <w:t>Events: E17, E21</w:t>
            </w:r>
          </w:p>
        </w:tc>
        <w:tc>
          <w:tcPr>
            <w:tcW w:type="dxa" w:w="4104"/>
            <w:vAlign w:val="top"/>
            <w:shd w:fill="F3F6F7"/>
          </w:tcPr>
          <w:p>
            <w:pPr>
              <w:keepNext w:val="0"/>
              <w:spacing w:after="50" w:before="20" w:line="250" w:lineRule="auto"/>
            </w:pPr>
            <w:r>
              <w:rPr>
                <w:rFonts w:ascii="Arial" w:hAnsi="Arial"/>
                <w:sz w:val="18"/>
              </w:rPr>
              <w:t>Distinct eligible failed invoices successfully paid within seven days divided by failed invoices with seven days of observation; show recovered amount.</w:t>
            </w:r>
          </w:p>
        </w:tc>
        <w:tc>
          <w:tcPr>
            <w:tcW w:type="dxa" w:w="3960"/>
            <w:vAlign w:val="top"/>
            <w:shd w:fill="F3F6F7"/>
          </w:tcPr>
          <w:p>
            <w:pPr>
              <w:keepNext w:val="0"/>
              <w:spacing w:after="50" w:before="20" w:line="250" w:lineRule="auto"/>
            </w:pPr>
            <w:r>
              <w:rPr>
                <w:rFonts w:ascii="Arial" w:hAnsi="Arial"/>
                <w:sz w:val="18"/>
              </w:rPr>
              <w:t>Segment: Failure reason, plan, retry path</w:t>
              <w:br/>
              <w:t>Action: Improve customer-led payment updates.</w:t>
              <w:br/>
              <w:t>Limit: Retries are attempts, not new invoices. Exclude deliberate cancellations and prevent repeated charges after success.</w:t>
            </w:r>
          </w:p>
        </w:tc>
      </w:tr>
    </w:tbl>
    <w:p>
      <w:pPr>
        <w:spacing w:after="40" w:before="0" w:line="240" w:lineRule="auto"/>
      </w:pPr>
      <w:r>
        <w:rPr>
          <w:sz w:val="4"/>
        </w:rPr>
      </w:r>
    </w:p>
    <w:p>
      <w:pPr>
        <w:pStyle w:val="Heading3"/>
      </w:pPr>
      <w:r>
        <w:t>SaaS adoption, reliability and AI economics</w:t>
      </w:r>
    </w:p>
    <w:p>
      <w:pPr>
        <w:keepNext/>
      </w:pPr>
      <w:r>
        <w:t>Accountable role: Product / engineering / support. Review cadence: Daily; weekly product review. Features: F112, F117, F118, F173.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160"/>
        <w:gridCol w:w="4104"/>
        <w:gridCol w:w="3960"/>
      </w:tblGrid>
      <w:tr>
        <w:trPr>
          <w:tblHeader/>
        </w:trPr>
        <w:tc>
          <w:tcPr>
            <w:tcW w:type="dxa" w:w="2160"/>
            <w:vAlign w:val="top"/>
            <w:shd w:fill="173F50"/>
          </w:tcPr>
          <w:p>
            <w:pPr>
              <w:keepNext/>
              <w:spacing w:after="50" w:before="20" w:line="250" w:lineRule="auto"/>
            </w:pPr>
            <w:r>
              <w:rPr>
                <w:rFonts w:ascii="Arial" w:hAnsi="Arial"/>
                <w:b/>
                <w:color w:val="FFFFFF"/>
                <w:sz w:val="18"/>
              </w:rPr>
              <w:t>Metric and source</w:t>
            </w:r>
          </w:p>
        </w:tc>
        <w:tc>
          <w:tcPr>
            <w:tcW w:type="dxa" w:w="4104"/>
            <w:vAlign w:val="top"/>
            <w:shd w:fill="173F50"/>
          </w:tcPr>
          <w:p>
            <w:pPr>
              <w:keepNext/>
              <w:spacing w:after="50" w:before="20" w:line="250" w:lineRule="auto"/>
            </w:pPr>
            <w:r>
              <w:rPr>
                <w:rFonts w:ascii="Arial" w:hAnsi="Arial"/>
                <w:b/>
                <w:color w:val="FFFFFF"/>
                <w:sz w:val="18"/>
              </w:rPr>
              <w:t>Formula and population</w:t>
            </w:r>
          </w:p>
        </w:tc>
        <w:tc>
          <w:tcPr>
            <w:tcW w:type="dxa" w:w="3960"/>
            <w:vAlign w:val="top"/>
            <w:shd w:fill="173F50"/>
          </w:tcPr>
          <w:p>
            <w:pPr>
              <w:keepNext/>
              <w:spacing w:after="50" w:before="20" w:line="250" w:lineRule="auto"/>
            </w:pPr>
            <w:r>
              <w:rPr>
                <w:rFonts w:ascii="Arial" w:hAnsi="Arial"/>
                <w:b/>
                <w:color w:val="FFFFFF"/>
                <w:sz w:val="18"/>
              </w:rPr>
              <w:t>Use and interpretation</w:t>
            </w:r>
          </w:p>
        </w:tc>
      </w:tr>
      <w:tr>
        <w:trPr>
          <w:cantSplit/>
        </w:trPr>
        <w:tc>
          <w:tcPr>
            <w:tcW w:type="dxa" w:w="2160"/>
            <w:vAlign w:val="top"/>
          </w:tcPr>
          <w:p>
            <w:pPr>
              <w:keepNext w:val="0"/>
              <w:spacing w:after="50" w:before="20" w:line="250" w:lineRule="auto"/>
            </w:pPr>
            <w:r>
              <w:rPr>
                <w:rFonts w:ascii="Arial" w:hAnsi="Arial"/>
                <w:b/>
                <w:sz w:val="18"/>
              </w:rPr>
              <w:t>K54  New-business activation rate</w:t>
            </w:r>
            <w:r>
              <w:rPr>
                <w:rFonts w:ascii="Arial" w:hAnsi="Arial"/>
                <w:b w:val="0"/>
                <w:sz w:val="18"/>
              </w:rPr>
              <w:br/>
              <w:t>Events: E01, E02, E07, E15</w:t>
            </w:r>
          </w:p>
        </w:tc>
        <w:tc>
          <w:tcPr>
            <w:tcW w:type="dxa" w:w="4104"/>
            <w:vAlign w:val="top"/>
          </w:tcPr>
          <w:p>
            <w:pPr>
              <w:keepNext w:val="0"/>
              <w:spacing w:after="50" w:before="20" w:line="250" w:lineRule="auto"/>
            </w:pPr>
            <w:r>
              <w:rPr>
                <w:rFonts w:ascii="Arial" w:hAnsi="Arial"/>
                <w:sz w:val="18"/>
              </w:rPr>
              <w:t>New live tenants reaching required setup, one completed real visit and a recorded checkout within 14 days divided by eligible signup cohorts aged 14 days.</w:t>
            </w:r>
          </w:p>
        </w:tc>
        <w:tc>
          <w:tcPr>
            <w:tcW w:type="dxa" w:w="3960"/>
            <w:vAlign w:val="top"/>
          </w:tcPr>
          <w:p>
            <w:pPr>
              <w:keepNext w:val="0"/>
              <w:spacing w:after="50" w:before="20" w:line="250" w:lineRule="auto"/>
            </w:pPr>
            <w:r>
              <w:rPr>
                <w:rFonts w:ascii="Arial" w:hAnsi="Arial"/>
                <w:sz w:val="18"/>
              </w:rPr>
              <w:t>Segment: Acquisition, specialty, solo/team</w:t>
              <w:br/>
              <w:t>Action: Improve onboarding where businesses stall.</w:t>
              <w:br/>
              <w:t>Limit: Sandbox visits are excluded. Manual/cash checkout may qualify; payment processor adoption must not be required if optional.</w:t>
            </w:r>
          </w:p>
        </w:tc>
      </w:tr>
      <w:tr>
        <w:trPr>
          <w:cantSplit/>
        </w:trPr>
        <w:tc>
          <w:tcPr>
            <w:tcW w:type="dxa" w:w="2160"/>
            <w:vAlign w:val="top"/>
            <w:shd w:fill="F3F6F7"/>
          </w:tcPr>
          <w:p>
            <w:pPr>
              <w:keepNext w:val="0"/>
              <w:spacing w:after="50" w:before="20" w:line="250" w:lineRule="auto"/>
            </w:pPr>
            <w:r>
              <w:rPr>
                <w:rFonts w:ascii="Arial" w:hAnsi="Arial"/>
                <w:b/>
                <w:sz w:val="18"/>
              </w:rPr>
              <w:t>K55  Time to first realized value</w:t>
            </w:r>
            <w:r>
              <w:rPr>
                <w:rFonts w:ascii="Arial" w:hAnsi="Arial"/>
                <w:b w:val="0"/>
                <w:sz w:val="18"/>
              </w:rPr>
              <w:br/>
              <w:t>Events: E01, E07, E15</w:t>
            </w:r>
          </w:p>
        </w:tc>
        <w:tc>
          <w:tcPr>
            <w:tcW w:type="dxa" w:w="4104"/>
            <w:vAlign w:val="top"/>
            <w:shd w:fill="F3F6F7"/>
          </w:tcPr>
          <w:p>
            <w:pPr>
              <w:keepNext w:val="0"/>
              <w:spacing w:after="50" w:before="20" w:line="250" w:lineRule="auto"/>
            </w:pPr>
            <w:r>
              <w:rPr>
                <w:rFonts w:ascii="Arial" w:hAnsi="Arial"/>
                <w:sz w:val="18"/>
              </w:rPr>
              <w:t>Median and 90th percentile from live signup to first completed real visit with checkout; show unactivated cohorts and elapsed age.</w:t>
            </w:r>
          </w:p>
        </w:tc>
        <w:tc>
          <w:tcPr>
            <w:tcW w:type="dxa" w:w="3960"/>
            <w:vAlign w:val="top"/>
            <w:shd w:fill="F3F6F7"/>
          </w:tcPr>
          <w:p>
            <w:pPr>
              <w:keepNext w:val="0"/>
              <w:spacing w:after="50" w:before="20" w:line="250" w:lineRule="auto"/>
            </w:pPr>
            <w:r>
              <w:rPr>
                <w:rFonts w:ascii="Arial" w:hAnsi="Arial"/>
                <w:sz w:val="18"/>
              </w:rPr>
              <w:t>Segment: Import path, specialty, business size</w:t>
              <w:br/>
              <w:t>Action: Shorten the longest onboarding bottleneck.</w:t>
              <w:br/>
              <w:t>Limit: Do not report only successful users. Appointment lead time affects the measure; show setup-ready time separately.</w:t>
            </w:r>
          </w:p>
        </w:tc>
      </w:tr>
      <w:tr>
        <w:trPr>
          <w:cantSplit/>
        </w:trPr>
        <w:tc>
          <w:tcPr>
            <w:tcW w:type="dxa" w:w="2160"/>
            <w:vAlign w:val="top"/>
          </w:tcPr>
          <w:p>
            <w:pPr>
              <w:keepNext w:val="0"/>
              <w:spacing w:after="50" w:before="20" w:line="250" w:lineRule="auto"/>
            </w:pPr>
            <w:r>
              <w:rPr>
                <w:rFonts w:ascii="Arial" w:hAnsi="Arial"/>
                <w:b/>
                <w:sz w:val="18"/>
              </w:rPr>
              <w:t>K56  Critical-task completion</w:t>
            </w:r>
            <w:r>
              <w:rPr>
                <w:rFonts w:ascii="Arial" w:hAnsi="Arial"/>
                <w:b w:val="0"/>
                <w:sz w:val="18"/>
              </w:rPr>
              <w:br/>
              <w:t>Events: E03</w:t>
            </w:r>
          </w:p>
        </w:tc>
        <w:tc>
          <w:tcPr>
            <w:tcW w:type="dxa" w:w="4104"/>
            <w:vAlign w:val="top"/>
          </w:tcPr>
          <w:p>
            <w:pPr>
              <w:keepNext w:val="0"/>
              <w:spacing w:after="50" w:before="20" w:line="250" w:lineRule="auto"/>
            </w:pPr>
            <w:r>
              <w:rPr>
                <w:rFonts w:ascii="Arial" w:hAnsi="Arial"/>
                <w:sz w:val="18"/>
              </w:rPr>
              <w:t>Intended tasks completed correctly within a task-specific window divided by eligible starts; show completion time, abandonment and repair rate.</w:t>
            </w:r>
          </w:p>
        </w:tc>
        <w:tc>
          <w:tcPr>
            <w:tcW w:type="dxa" w:w="3960"/>
            <w:vAlign w:val="top"/>
          </w:tcPr>
          <w:p>
            <w:pPr>
              <w:keepNext w:val="0"/>
              <w:spacing w:after="50" w:before="20" w:line="250" w:lineRule="auto"/>
            </w:pPr>
            <w:r>
              <w:rPr>
                <w:rFonts w:ascii="Arial" w:hAnsi="Arial"/>
                <w:sz w:val="18"/>
              </w:rPr>
              <w:t>Segment: Task, device, skill level, accessibility cohort</w:t>
              <w:br/>
              <w:t>Action: Simplify booking, checkout, document and refund tasks.</w:t>
              <w:br/>
              <w:t>Limit: A button click is not success. Validate against domain outcomes and consensual usability observation.</w:t>
            </w:r>
          </w:p>
        </w:tc>
      </w:tr>
      <w:tr>
        <w:trPr>
          <w:cantSplit/>
        </w:trPr>
        <w:tc>
          <w:tcPr>
            <w:tcW w:type="dxa" w:w="2160"/>
            <w:vAlign w:val="top"/>
            <w:shd w:fill="F3F6F7"/>
          </w:tcPr>
          <w:p>
            <w:pPr>
              <w:keepNext w:val="0"/>
              <w:spacing w:after="50" w:before="20" w:line="250" w:lineRule="auto"/>
            </w:pPr>
            <w:r>
              <w:rPr>
                <w:rFonts w:ascii="Arial" w:hAnsi="Arial"/>
                <w:b/>
                <w:sz w:val="18"/>
              </w:rPr>
              <w:t>K57  Relevant workflow adoption</w:t>
            </w:r>
            <w:r>
              <w:rPr>
                <w:rFonts w:ascii="Arial" w:hAnsi="Arial"/>
                <w:b w:val="0"/>
                <w:sz w:val="18"/>
              </w:rPr>
              <w:br/>
              <w:t>Events: E03, E01</w:t>
            </w:r>
          </w:p>
        </w:tc>
        <w:tc>
          <w:tcPr>
            <w:tcW w:type="dxa" w:w="4104"/>
            <w:vAlign w:val="top"/>
            <w:shd w:fill="F3F6F7"/>
          </w:tcPr>
          <w:p>
            <w:pPr>
              <w:keepNext w:val="0"/>
              <w:spacing w:after="50" w:before="20" w:line="250" w:lineRule="auto"/>
            </w:pPr>
            <w:r>
              <w:rPr>
                <w:rFonts w:ascii="Arial" w:hAnsi="Arial"/>
                <w:sz w:val="18"/>
              </w:rPr>
              <w:t>Weekly live tenants using each enabled relevant workflow divided by live tenants eligible for it; report returning use and successful outcomes.</w:t>
            </w:r>
          </w:p>
        </w:tc>
        <w:tc>
          <w:tcPr>
            <w:tcW w:type="dxa" w:w="3960"/>
            <w:vAlign w:val="top"/>
            <w:shd w:fill="F3F6F7"/>
          </w:tcPr>
          <w:p>
            <w:pPr>
              <w:keepNext w:val="0"/>
              <w:spacing w:after="50" w:before="20" w:line="250" w:lineRule="auto"/>
            </w:pPr>
            <w:r>
              <w:rPr>
                <w:rFonts w:ascii="Arial" w:hAnsi="Arial"/>
                <w:sz w:val="18"/>
              </w:rPr>
              <w:t>Segment: Feature eligibility, specialty, tenant tenure</w:t>
              <w:br/>
              <w:t>Action: Improve discoverability or remove unnecessary complexity.</w:t>
              <w:br/>
              <w:t>Limit: Avoid rewarding raw feature count. Unneeded modules should stay hidden, and ineligible tenants must not dilute adoption.</w:t>
            </w:r>
          </w:p>
        </w:tc>
      </w:tr>
      <w:tr>
        <w:trPr>
          <w:cantSplit/>
        </w:trPr>
        <w:tc>
          <w:tcPr>
            <w:tcW w:type="dxa" w:w="2160"/>
            <w:vAlign w:val="top"/>
          </w:tcPr>
          <w:p>
            <w:pPr>
              <w:keepNext w:val="0"/>
              <w:spacing w:after="50" w:before="20" w:line="250" w:lineRule="auto"/>
            </w:pPr>
            <w:r>
              <w:rPr>
                <w:rFonts w:ascii="Arial" w:hAnsi="Arial"/>
                <w:b/>
                <w:sz w:val="18"/>
              </w:rPr>
              <w:t>K58  SaaS customer and revenue retention</w:t>
            </w:r>
            <w:r>
              <w:rPr>
                <w:rFonts w:ascii="Arial" w:hAnsi="Arial"/>
                <w:b w:val="0"/>
                <w:sz w:val="18"/>
              </w:rPr>
              <w:br/>
              <w:t>Events: E01, E21</w:t>
            </w:r>
          </w:p>
        </w:tc>
        <w:tc>
          <w:tcPr>
            <w:tcW w:type="dxa" w:w="4104"/>
            <w:vAlign w:val="top"/>
          </w:tcPr>
          <w:p>
            <w:pPr>
              <w:keepNext w:val="0"/>
              <w:spacing w:after="50" w:before="20" w:line="250" w:lineRule="auto"/>
            </w:pPr>
            <w:r>
              <w:rPr>
                <w:rFonts w:ascii="Arial" w:hAnsi="Arial"/>
                <w:sz w:val="18"/>
              </w:rPr>
              <w:t>Logo retention equals retained starting paid tenants/starting paid tenants. NRR equals ending recurring revenue from that starting cohort/starting recurring revenue.</w:t>
            </w:r>
          </w:p>
        </w:tc>
        <w:tc>
          <w:tcPr>
            <w:tcW w:type="dxa" w:w="3960"/>
            <w:vAlign w:val="top"/>
          </w:tcPr>
          <w:p>
            <w:pPr>
              <w:keepNext w:val="0"/>
              <w:spacing w:after="50" w:before="20" w:line="250" w:lineRule="auto"/>
            </w:pPr>
            <w:r>
              <w:rPr>
                <w:rFonts w:ascii="Arial" w:hAnsi="Arial"/>
                <w:sz w:val="18"/>
              </w:rPr>
              <w:t>Segment: Signup cohort, plan, specialty, size</w:t>
              <w:br/>
              <w:t>Action: Diagnose churn and expansion quality.</w:t>
              <w:br/>
              <w:t>Limit: Exclude new tenants from NRR, separate gross retention, and distinguish contractual MRR from cash receipts or payment volume.</w:t>
            </w:r>
          </w:p>
        </w:tc>
      </w:tr>
      <w:tr>
        <w:trPr>
          <w:cantSplit/>
        </w:trPr>
        <w:tc>
          <w:tcPr>
            <w:tcW w:type="dxa" w:w="2160"/>
            <w:vAlign w:val="top"/>
            <w:shd w:fill="F3F6F7"/>
          </w:tcPr>
          <w:p>
            <w:pPr>
              <w:keepNext w:val="0"/>
              <w:spacing w:after="50" w:before="20" w:line="250" w:lineRule="auto"/>
            </w:pPr>
            <w:r>
              <w:rPr>
                <w:rFonts w:ascii="Arial" w:hAnsi="Arial"/>
                <w:b/>
                <w:sz w:val="18"/>
              </w:rPr>
              <w:t>K59  Booking correctness and latency</w:t>
            </w:r>
            <w:r>
              <w:rPr>
                <w:rFonts w:ascii="Arial" w:hAnsi="Arial"/>
                <w:b w:val="0"/>
                <w:sz w:val="18"/>
              </w:rPr>
              <w:br/>
              <w:t>Events: E03, E07</w:t>
            </w:r>
          </w:p>
        </w:tc>
        <w:tc>
          <w:tcPr>
            <w:tcW w:type="dxa" w:w="4104"/>
            <w:vAlign w:val="top"/>
            <w:shd w:fill="F3F6F7"/>
          </w:tcPr>
          <w:p>
            <w:pPr>
              <w:keepNext w:val="0"/>
              <w:spacing w:after="50" w:before="20" w:line="250" w:lineRule="auto"/>
            </w:pPr>
            <w:r>
              <w:rPr>
                <w:rFonts w:ascii="Arial" w:hAnsi="Arial"/>
                <w:sz w:val="18"/>
              </w:rPr>
              <w:t>Valid booking attempts committed once without an unintended conflict divided by valid attempts; show p50/p95 end-to-end commit time.</w:t>
            </w:r>
          </w:p>
        </w:tc>
        <w:tc>
          <w:tcPr>
            <w:tcW w:type="dxa" w:w="3960"/>
            <w:vAlign w:val="top"/>
            <w:shd w:fill="F3F6F7"/>
          </w:tcPr>
          <w:p>
            <w:pPr>
              <w:keepNext w:val="0"/>
              <w:spacing w:after="50" w:before="20" w:line="250" w:lineRule="auto"/>
            </w:pPr>
            <w:r>
              <w:rPr>
                <w:rFonts w:ascii="Arial" w:hAnsi="Arial"/>
                <w:sz w:val="18"/>
              </w:rPr>
              <w:t>Segment: Device, location load, release, integration</w:t>
              <w:br/>
              <w:t>Action: Prioritize reliability over cosmetic changes.</w:t>
              <w:br/>
              <w:t>Limit: Validation failures, intentional conflicts and infrastructure failures need separate buckets. Count duplicate or wrongly committed bookings as correctness defects.</w:t>
            </w:r>
          </w:p>
        </w:tc>
      </w:tr>
      <w:tr>
        <w:trPr>
          <w:cantSplit/>
        </w:trPr>
        <w:tc>
          <w:tcPr>
            <w:tcW w:type="dxa" w:w="2160"/>
            <w:vAlign w:val="top"/>
          </w:tcPr>
          <w:p>
            <w:pPr>
              <w:keepNext w:val="0"/>
              <w:spacing w:after="50" w:before="20" w:line="250" w:lineRule="auto"/>
            </w:pPr>
            <w:r>
              <w:rPr>
                <w:rFonts w:ascii="Arial" w:hAnsi="Arial"/>
                <w:b/>
                <w:sz w:val="18"/>
              </w:rPr>
              <w:t>K60  Scheduled-message timeliness</w:t>
            </w:r>
            <w:r>
              <w:rPr>
                <w:rFonts w:ascii="Arial" w:hAnsi="Arial"/>
                <w:b w:val="0"/>
                <w:sz w:val="18"/>
              </w:rPr>
              <w:br/>
              <w:t>Events: E13</w:t>
            </w:r>
          </w:p>
        </w:tc>
        <w:tc>
          <w:tcPr>
            <w:tcW w:type="dxa" w:w="4104"/>
            <w:vAlign w:val="top"/>
          </w:tcPr>
          <w:p>
            <w:pPr>
              <w:keepNext w:val="0"/>
              <w:spacing w:after="50" w:before="20" w:line="250" w:lineRule="auto"/>
            </w:pPr>
            <w:r>
              <w:rPr>
                <w:rFonts w:ascii="Arial" w:hAnsi="Arial"/>
                <w:sz w:val="18"/>
              </w:rPr>
              <w:t>Eligible due messages delivered within their configured delivery window divided by eligible messages due; show late and never-delivered cases.</w:t>
            </w:r>
          </w:p>
        </w:tc>
        <w:tc>
          <w:tcPr>
            <w:tcW w:type="dxa" w:w="3960"/>
            <w:vAlign w:val="top"/>
          </w:tcPr>
          <w:p>
            <w:pPr>
              <w:keepNext w:val="0"/>
              <w:spacing w:after="50" w:before="20" w:line="250" w:lineRule="auto"/>
            </w:pPr>
            <w:r>
              <w:rPr>
                <w:rFonts w:ascii="Arial" w:hAnsi="Arial"/>
                <w:sz w:val="18"/>
              </w:rPr>
              <w:t>Segment: Transactional purpose, channel, provider</w:t>
              <w:br/>
              <w:t>Action: Repair reminders before appointments are affected.</w:t>
              <w:br/>
              <w:t>Limit: Suppression is a distinct legitimate outcome, not failure. Preserve desired time and tenant time zone through reschedules and daylight-saving changes.</w:t>
            </w:r>
          </w:p>
        </w:tc>
      </w:tr>
      <w:tr>
        <w:trPr>
          <w:cantSplit/>
        </w:trPr>
        <w:tc>
          <w:tcPr>
            <w:tcW w:type="dxa" w:w="2160"/>
            <w:vAlign w:val="top"/>
            <w:shd w:fill="F3F6F7"/>
          </w:tcPr>
          <w:p>
            <w:pPr>
              <w:keepNext w:val="0"/>
              <w:spacing w:after="50" w:before="20" w:line="250" w:lineRule="auto"/>
            </w:pPr>
            <w:r>
              <w:rPr>
                <w:rFonts w:ascii="Arial" w:hAnsi="Arial"/>
                <w:b/>
                <w:sz w:val="18"/>
              </w:rPr>
              <w:t>K61  Metric and data integrity</w:t>
            </w:r>
            <w:r>
              <w:rPr>
                <w:rFonts w:ascii="Arial" w:hAnsi="Arial"/>
                <w:b w:val="0"/>
                <w:sz w:val="18"/>
              </w:rPr>
              <w:br/>
              <w:t>Events: E30, E07, E16, E17, E13</w:t>
            </w:r>
          </w:p>
        </w:tc>
        <w:tc>
          <w:tcPr>
            <w:tcW w:type="dxa" w:w="4104"/>
            <w:vAlign w:val="top"/>
            <w:shd w:fill="F3F6F7"/>
          </w:tcPr>
          <w:p>
            <w:pPr>
              <w:keepNext w:val="0"/>
              <w:spacing w:after="50" w:before="20" w:line="250" w:lineRule="auto"/>
            </w:pPr>
            <w:r>
              <w:rPr>
                <w:rFonts w:ascii="Arial" w:hAnsi="Arial"/>
                <w:sz w:val="18"/>
              </w:rPr>
              <w:t>Count unresolved ledger/event consistency checks and show their oldest age, affected tenants and event-to-dashboard freshness percentile.</w:t>
            </w:r>
          </w:p>
        </w:tc>
        <w:tc>
          <w:tcPr>
            <w:tcW w:type="dxa" w:w="3960"/>
            <w:vAlign w:val="top"/>
            <w:shd w:fill="F3F6F7"/>
          </w:tcPr>
          <w:p>
            <w:pPr>
              <w:keepNext w:val="0"/>
              <w:spacing w:after="50" w:before="20" w:line="250" w:lineRule="auto"/>
            </w:pPr>
            <w:r>
              <w:rPr>
                <w:rFonts w:ascii="Arial" w:hAnsi="Arial"/>
                <w:sz w:val="18"/>
              </w:rPr>
              <w:t>Segment: Data source, check type, release</w:t>
              <w:br/>
              <w:t>Action: Pause misleading reports and repair pipelines.</w:t>
              <w:br/>
              <w:t>Limit: A green pipeline alone does not validate definitions. Show stale-data banners and never silently replace missing amounts with zero.</w:t>
            </w:r>
          </w:p>
        </w:tc>
      </w:tr>
      <w:tr>
        <w:trPr>
          <w:cantSplit/>
        </w:trPr>
        <w:tc>
          <w:tcPr>
            <w:tcW w:type="dxa" w:w="2160"/>
            <w:vAlign w:val="top"/>
          </w:tcPr>
          <w:p>
            <w:pPr>
              <w:keepNext w:val="0"/>
              <w:spacing w:after="50" w:before="20" w:line="250" w:lineRule="auto"/>
            </w:pPr>
            <w:r>
              <w:rPr>
                <w:rFonts w:ascii="Arial" w:hAnsi="Arial"/>
                <w:b/>
                <w:sz w:val="18"/>
              </w:rPr>
              <w:t>K62  Support burden and resolution</w:t>
            </w:r>
            <w:r>
              <w:rPr>
                <w:rFonts w:ascii="Arial" w:hAnsi="Arial"/>
                <w:b w:val="0"/>
                <w:sz w:val="18"/>
              </w:rPr>
              <w:br/>
              <w:t>Events: E29, E01</w:t>
            </w:r>
          </w:p>
        </w:tc>
        <w:tc>
          <w:tcPr>
            <w:tcW w:type="dxa" w:w="4104"/>
            <w:vAlign w:val="top"/>
          </w:tcPr>
          <w:p>
            <w:pPr>
              <w:keepNext w:val="0"/>
              <w:spacing w:after="50" w:before="20" w:line="250" w:lineRule="auto"/>
            </w:pPr>
            <w:r>
              <w:rPr>
                <w:rFonts w:ascii="Arial" w:hAnsi="Arial"/>
                <w:sz w:val="18"/>
              </w:rPr>
              <w:t>New cases per 100 weekly active tenants, plus median/p95 time to durable resolution and unresolved age; track reopening within seven days.</w:t>
            </w:r>
          </w:p>
        </w:tc>
        <w:tc>
          <w:tcPr>
            <w:tcW w:type="dxa" w:w="3960"/>
            <w:vAlign w:val="top"/>
          </w:tcPr>
          <w:p>
            <w:pPr>
              <w:keepNext w:val="0"/>
              <w:spacing w:after="50" w:before="20" w:line="250" w:lineRule="auto"/>
            </w:pPr>
            <w:r>
              <w:rPr>
                <w:rFonts w:ascii="Arial" w:hAnsi="Arial"/>
                <w:sz w:val="18"/>
              </w:rPr>
              <w:t>Segment: Issue, severity, plan, release</w:t>
              <w:br/>
              <w:t>Action: Fix recurring causes and staff support appropriately.</w:t>
              <w:br/>
              <w:t>Limit: First reply is not resolution. Include stalled and reopened cases; automation must not close an issue solely because no reply arrived.</w:t>
            </w:r>
          </w:p>
        </w:tc>
      </w:tr>
      <w:tr>
        <w:trPr>
          <w:cantSplit/>
        </w:trPr>
        <w:tc>
          <w:tcPr>
            <w:tcW w:type="dxa" w:w="2160"/>
            <w:vAlign w:val="top"/>
            <w:shd w:fill="F3F6F7"/>
          </w:tcPr>
          <w:p>
            <w:pPr>
              <w:keepNext w:val="0"/>
              <w:spacing w:after="50" w:before="20" w:line="250" w:lineRule="auto"/>
            </w:pPr>
            <w:r>
              <w:rPr>
                <w:rFonts w:ascii="Arial" w:hAnsi="Arial"/>
                <w:b/>
                <w:sz w:val="18"/>
              </w:rPr>
              <w:t>K63  AI verified task success</w:t>
            </w:r>
            <w:r>
              <w:rPr>
                <w:rFonts w:ascii="Arial" w:hAnsi="Arial"/>
                <w:b w:val="0"/>
                <w:sz w:val="18"/>
              </w:rPr>
              <w:br/>
              <w:t>Events: E30, E03</w:t>
            </w:r>
          </w:p>
        </w:tc>
        <w:tc>
          <w:tcPr>
            <w:tcW w:type="dxa" w:w="4104"/>
            <w:vAlign w:val="top"/>
            <w:shd w:fill="F3F6F7"/>
          </w:tcPr>
          <w:p>
            <w:pPr>
              <w:keepNext w:val="0"/>
              <w:spacing w:after="50" w:before="20" w:line="250" w:lineRule="auto"/>
            </w:pPr>
            <w:r>
              <w:rPr>
                <w:rFonts w:ascii="Arial" w:hAnsi="Arial"/>
                <w:sz w:val="18"/>
              </w:rPr>
              <w:t>Audited AI tasks correctly completing the intended outcome without user repair divided by eligible AI attempts; show handoff and correction rates.</w:t>
            </w:r>
          </w:p>
        </w:tc>
        <w:tc>
          <w:tcPr>
            <w:tcW w:type="dxa" w:w="3960"/>
            <w:vAlign w:val="top"/>
            <w:shd w:fill="F3F6F7"/>
          </w:tcPr>
          <w:p>
            <w:pPr>
              <w:keepNext w:val="0"/>
              <w:spacing w:after="50" w:before="20" w:line="250" w:lineRule="auto"/>
            </w:pPr>
            <w:r>
              <w:rPr>
                <w:rFonts w:ascii="Arial" w:hAnsi="Arial"/>
                <w:sz w:val="18"/>
              </w:rPr>
              <w:t>Segment: Task, model/version, language, specialty</w:t>
              <w:br/>
              <w:t>Action: Keep effective assistance and redesign weak tasks.</w:t>
              <w:br/>
              <w:t>Limit: Self-reported model success is insufficient. Use domain checks plus sampled authorized review; abstention can be the correct outcome.</w:t>
            </w:r>
          </w:p>
        </w:tc>
      </w:tr>
      <w:tr>
        <w:trPr>
          <w:cantSplit/>
        </w:trPr>
        <w:tc>
          <w:tcPr>
            <w:tcW w:type="dxa" w:w="2160"/>
            <w:vAlign w:val="top"/>
          </w:tcPr>
          <w:p>
            <w:pPr>
              <w:keepNext w:val="0"/>
              <w:spacing w:after="50" w:before="20" w:line="250" w:lineRule="auto"/>
            </w:pPr>
            <w:r>
              <w:rPr>
                <w:rFonts w:ascii="Arial" w:hAnsi="Arial"/>
                <w:b/>
                <w:sz w:val="18"/>
              </w:rPr>
              <w:t>K64  AI cost per verified successful task</w:t>
            </w:r>
            <w:r>
              <w:rPr>
                <w:rFonts w:ascii="Arial" w:hAnsi="Arial"/>
                <w:b w:val="0"/>
                <w:sz w:val="18"/>
              </w:rPr>
              <w:br/>
              <w:t>Events: E30, E29</w:t>
            </w:r>
          </w:p>
        </w:tc>
        <w:tc>
          <w:tcPr>
            <w:tcW w:type="dxa" w:w="4104"/>
            <w:vAlign w:val="top"/>
          </w:tcPr>
          <w:p>
            <w:pPr>
              <w:keepNext w:val="0"/>
              <w:spacing w:after="50" w:before="20" w:line="250" w:lineRule="auto"/>
            </w:pPr>
            <w:r>
              <w:rPr>
                <w:rFonts w:ascii="Arial" w:hAnsi="Arial"/>
                <w:sz w:val="18"/>
              </w:rPr>
              <w:t>All model, search, voice, tool and attributable human-escalation cost divided by K63 verified successful tasks over the same period.</w:t>
            </w:r>
          </w:p>
        </w:tc>
        <w:tc>
          <w:tcPr>
            <w:tcW w:type="dxa" w:w="3960"/>
            <w:vAlign w:val="top"/>
          </w:tcPr>
          <w:p>
            <w:pPr>
              <w:keepNext w:val="0"/>
              <w:spacing w:after="50" w:before="20" w:line="250" w:lineRule="auto"/>
            </w:pPr>
            <w:r>
              <w:rPr>
                <w:rFonts w:ascii="Arial" w:hAnsi="Arial"/>
                <w:sz w:val="18"/>
              </w:rPr>
              <w:t>Segment: Task, model, tenant segment, fallback</w:t>
              <w:br/>
              <w:t>Action: Control cost while preserving quality.</w:t>
              <w:br/>
              <w:t>Limit: Include failed attempts/retries in cost. Separate measured provider charges from estimates and avoid treating cheap incorrect answers as savings.</w:t>
            </w:r>
          </w:p>
        </w:tc>
      </w:tr>
      <w:tr>
        <w:trPr>
          <w:cantSplit/>
        </w:trPr>
        <w:tc>
          <w:tcPr>
            <w:tcW w:type="dxa" w:w="2160"/>
            <w:vAlign w:val="top"/>
            <w:shd w:fill="F3F6F7"/>
          </w:tcPr>
          <w:p>
            <w:pPr>
              <w:keepNext w:val="0"/>
              <w:spacing w:after="50" w:before="20" w:line="250" w:lineRule="auto"/>
            </w:pPr>
            <w:r>
              <w:rPr>
                <w:rFonts w:ascii="Arial" w:hAnsi="Arial"/>
                <w:b/>
                <w:sz w:val="18"/>
              </w:rPr>
              <w:t>K65  AI action defects and reversals</w:t>
            </w:r>
            <w:r>
              <w:rPr>
                <w:rFonts w:ascii="Arial" w:hAnsi="Arial"/>
                <w:b w:val="0"/>
                <w:sz w:val="18"/>
              </w:rPr>
              <w:br/>
              <w:t>Events: E30, E07, E17, E26</w:t>
            </w:r>
          </w:p>
        </w:tc>
        <w:tc>
          <w:tcPr>
            <w:tcW w:type="dxa" w:w="4104"/>
            <w:vAlign w:val="top"/>
            <w:shd w:fill="F3F6F7"/>
          </w:tcPr>
          <w:p>
            <w:pPr>
              <w:keepNext w:val="0"/>
              <w:spacing w:after="50" w:before="20" w:line="250" w:lineRule="auto"/>
            </w:pPr>
            <w:r>
              <w:rPr>
                <w:rFonts w:ascii="Arial" w:hAnsi="Arial"/>
                <w:sz w:val="18"/>
              </w:rPr>
              <w:t>Count unauthorized, incorrect or cross-tenant committed AI actions and divide noncritical defects by committed AI mutations; separately track user-requested reversals.</w:t>
            </w:r>
          </w:p>
        </w:tc>
        <w:tc>
          <w:tcPr>
            <w:tcW w:type="dxa" w:w="3960"/>
            <w:vAlign w:val="top"/>
            <w:shd w:fill="F3F6F7"/>
          </w:tcPr>
          <w:p>
            <w:pPr>
              <w:keepNext w:val="0"/>
              <w:spacing w:after="50" w:before="20" w:line="250" w:lineRule="auto"/>
            </w:pPr>
            <w:r>
              <w:rPr>
                <w:rFonts w:ascii="Arial" w:hAnsi="Arial"/>
                <w:sz w:val="18"/>
              </w:rPr>
              <w:t>Segment: Action risk, model, release, authorization path</w:t>
              <w:br/>
              <w:t>Action: Disable affected actions and investigate immediately.</w:t>
              <w:br/>
              <w:t>Limit: Critical privacy/payment violations have zero release tolerance. Reversal is not automatically a defect; preserve redacted evidence and human authorization.</w:t>
            </w:r>
          </w:p>
        </w:tc>
      </w:tr>
    </w:tbl>
    <w:p>
      <w:pPr>
        <w:spacing w:after="40" w:before="0" w:line="240" w:lineRule="auto"/>
      </w:pPr>
      <w:r>
        <w:rPr>
          <w:sz w:val="4"/>
        </w:rPr>
      </w:r>
    </w:p>
    <w:p>
      <w:pPr>
        <w:pStyle w:val="Heading2"/>
      </w:pPr>
      <w:r>
        <w:t>7 3 Dashboards that lead to action</w:t>
      </w:r>
    </w:p>
    <w:p>
      <w:r>
        <w:rPr>
          <w:b/>
        </w:rPr>
        <w:t>Owner — Today and next 30 days:</w:t>
      </w:r>
      <w:r>
        <w:t xml:space="preserve"> Open net earned revenue, then switch to cash receipts and inspect the bridge for prepaid balances, tips, taxes and refunds. Select a gap day to see capacity constraints and an opt-in recovery audience. K01, K02, K03, K06, K11.</w:t>
      </w:r>
    </w:p>
    <w:p>
      <w:r>
        <w:rPr>
          <w:b/>
        </w:rPr>
        <w:t>Front desk — Why is this slot unavailable?:</w:t>
      </w:r>
      <w:r>
        <w:t xml:space="preserve"> Select a search with no result. See the exact provider skill, room, duration, processing or notice rule that blocked it. Propose a permitted alternative or waitlist entry without overriding policies silently. K10, K11, K12, K14, K17.</w:t>
      </w:r>
    </w:p>
    <w:p>
      <w:r>
        <w:rPr>
          <w:b/>
        </w:rPr>
        <w:t>Retention — Which clients should we contact?:</w:t>
      </w:r>
      <w:r>
        <w:t xml:space="preserve"> Choose a mature first-service cohort, inspect return timing and recorded cadence, then preview an eligible audience with opt-outs removed. Test a message with a holdout rather than assuming all later bookings were caused by it. K18, K20, K24, K28, K30.</w:t>
      </w:r>
    </w:p>
    <w:p>
      <w:r>
        <w:rPr>
          <w:b/>
        </w:rPr>
        <w:t>Staff — My day and my earnings:</w:t>
      </w:r>
      <w:r>
        <w:t xml:space="preserve"> Show only personal appointments, approved earnings and time entries. A correction request includes reason and manager approval without revealing coworkers' payroll. K19, K44, K45, K47.</w:t>
      </w:r>
    </w:p>
    <w:p>
      <w:r>
        <w:rPr>
          <w:b/>
        </w:rPr>
        <w:t>Clinical/service lead — Ready for the next visit:</w:t>
      </w:r>
      <w:r>
        <w:t xml:space="preserve"> Show missing required forms and unsigned records in a role-limited queue. Open authorized documents only when needed; public-marketing staff see permission status, not treatment details. K31, K32, K33, K34, K35.</w:t>
      </w:r>
    </w:p>
    <w:p>
      <w:r>
        <w:rPr>
          <w:b/>
        </w:rPr>
        <w:t>Finance — Explain this payout:</w:t>
      </w:r>
      <w:r>
        <w:t xml:space="preserve"> Select a bank deposit and trace to processor settlement, individual captures, fees, refunds and reserves. Unmatched entries become assigned exceptions, not unexplained differences. K48, K49, K50, K51, K52.</w:t>
      </w:r>
    </w:p>
    <w:p>
      <w:r>
        <w:rPr>
          <w:b/>
        </w:rPr>
        <w:t>Inventory — Will we have enough?:</w:t>
      </w:r>
      <w:r>
        <w:t xml:space="preserve"> Combine existing bookings, recipes, stock lots and supplier lead times. Show uncertain demand separately, preview order quantities and route clinical substitutions to an authorized reviewer. K36, K37, K38, K40, K42.</w:t>
      </w:r>
    </w:p>
    <w:p>
      <w:r>
        <w:rPr>
          <w:b/>
        </w:rPr>
        <w:t>Platform operations — Is AI helping?:</w:t>
      </w:r>
      <w:r>
        <w:t xml:space="preserve"> Compare verified task completion, corrections, human handoffs, latency and fully loaded task cost by model version. Disable unsafe action paths and inspect redacted evidence rather than relying on chat satisfaction alone. K59, K61, K62, K63, K64, K65.</w:t>
      </w:r>
    </w:p>
    <w:p>
      <w:r>
        <w:t>Permission rules are part of the dashboard: a practitioner may view their own approved earnings and correction requests without seeing colleagues’ pay; reception sees operational readiness without unrestricted private notes; owners see business aggregates; client views only expose their own authorized records. Low sample sizes must not become confident staff performance rankings.</w:t>
      </w:r>
    </w:p>
    <w:p>
      <w:pPr>
        <w:pStyle w:val="Heading2"/>
      </w:pPr>
      <w:r>
        <w:t>7 4 Canonical event dictionary</w:t>
      </w:r>
    </w:p>
    <w:p>
      <w:r>
        <w:rPr>
          <w:b/>
        </w:rPr>
        <w:t>Required envelope:</w:t>
      </w:r>
      <w:r>
        <w:t xml:space="preserve"> event_id, event_name, schema_version, tenant_id, location_id where applicable, entity_id, entity_version, occurred_at_utc, recorded_at_utc, business_timezone, actor_role, correlation_id, causation_id, source_system, live_or_sandbox, consent/purpose reference where applicable.</w:t>
      </w:r>
    </w:p>
    <w:p>
      <w:r>
        <w:rPr>
          <w:b/>
        </w:rPr>
        <w:t>Money contract:</w:t>
      </w:r>
      <w:r>
        <w:t xml:space="preserve"> All monetary events carry currency, integer amount, posting/effective date, source transaction and reversal linkage. Never aggregate currency amounts without explicit conversion.</w:t>
      </w:r>
    </w:p>
    <w:p>
      <w:r>
        <w:rPr>
          <w:b/>
        </w:rPr>
        <w:t>Authoritative writes:</w:t>
      </w:r>
      <w:r>
        <w:t xml:space="preserve"> Domain services publish committed events through a transactional outbox. Frontend telemetry measures intent and interaction, while booking/payment/document ledgers determine outcomes.</w:t>
      </w:r>
    </w:p>
    <w:p>
      <w:r>
        <w:rPr>
          <w:b/>
        </w:rPr>
        <w:t>Deduplication:</w:t>
      </w:r>
      <w:r>
        <w:t xml:space="preserve"> Support at-least-once delivery. Deduplicate by immutable producer event ID and merchant/provider idempotency key; use entity versions for ordering. Replaying an event cannot double-book, double-charge or double-count.</w:t>
      </w:r>
    </w:p>
    <w:p>
      <w:r>
        <w:rPr>
          <w:b/>
        </w:rPr>
        <w:t>Corrections:</w:t>
      </w:r>
      <w:r>
        <w:t xml:space="preserve"> Append correction/reversal events linked to originals. Version metric definitions and affected configurations; preserve historical snapshots and disclose backfills.</w:t>
      </w:r>
    </w:p>
    <w:p>
      <w:r>
        <w:rPr>
          <w:b/>
        </w:rPr>
        <w:t>Privacy:</w:t>
      </w:r>
      <w:r>
        <w:t xml:space="preserve"> General analytics receives pseudonymous tenant-scoped identifiers and coded metadata. No card data, health narratives, photos, message bodies, raw prompts or biometric data. Restricted clinical and payroll views use separate authorization.</w:t>
      </w:r>
    </w:p>
    <w:p>
      <w:r>
        <w:rPr>
          <w:b/>
        </w:rPr>
        <w:t>Isolation:</w:t>
      </w:r>
      <w:r>
        <w:t xml:space="preserve"> Exclude demo/sandbox data from live metrics. Enforce tenant and role boundaries in the semantic layer, exports and drilldowns, not only in the UI.</w:t>
      </w:r>
    </w:p>
    <w:p>
      <w:r>
        <w:rPr>
          <w:b/>
        </w:rPr>
        <w:t>Governance:</w:t>
      </w:r>
      <w:r>
        <w:t xml:space="preserve"> Each metric has an owner, definition version, denominator, data-quality status and lineage. Benchmark sharing requires separate permission, suppression and re-identification review; a minimum cell-size rule alone does not prove anonymity.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3024"/>
        <w:gridCol w:w="4464"/>
        <w:gridCol w:w="2736"/>
      </w:tblGrid>
      <w:tr>
        <w:trPr>
          <w:tblHeader/>
        </w:trPr>
        <w:tc>
          <w:tcPr>
            <w:tcW w:type="dxa" w:w="3024"/>
            <w:vAlign w:val="top"/>
            <w:shd w:fill="173F50"/>
          </w:tcPr>
          <w:p>
            <w:pPr>
              <w:keepNext/>
              <w:spacing w:after="50" w:before="20" w:line="250" w:lineRule="auto"/>
            </w:pPr>
            <w:r>
              <w:rPr>
                <w:rFonts w:ascii="Arial" w:hAnsi="Arial"/>
                <w:b/>
                <w:color w:val="FFFFFF"/>
                <w:sz w:val="18"/>
              </w:rPr>
              <w:t>Event</w:t>
            </w:r>
          </w:p>
        </w:tc>
        <w:tc>
          <w:tcPr>
            <w:tcW w:type="dxa" w:w="4464"/>
            <w:vAlign w:val="top"/>
            <w:shd w:fill="173F50"/>
          </w:tcPr>
          <w:p>
            <w:pPr>
              <w:keepNext/>
              <w:spacing w:after="50" w:before="20" w:line="250" w:lineRule="auto"/>
            </w:pPr>
            <w:r>
              <w:rPr>
                <w:rFonts w:ascii="Arial" w:hAnsi="Arial"/>
                <w:b/>
                <w:color w:val="FFFFFF"/>
                <w:sz w:val="18"/>
              </w:rPr>
              <w:t>Authoritative producer and fields</w:t>
            </w:r>
          </w:p>
        </w:tc>
        <w:tc>
          <w:tcPr>
            <w:tcW w:type="dxa" w:w="2736"/>
            <w:vAlign w:val="top"/>
            <w:shd w:fill="173F50"/>
          </w:tcPr>
          <w:p>
            <w:pPr>
              <w:keepNext/>
              <w:spacing w:after="50" w:before="20" w:line="250" w:lineRule="auto"/>
            </w:pPr>
            <w:r>
              <w:rPr>
                <w:rFonts w:ascii="Arial" w:hAnsi="Arial"/>
                <w:b/>
                <w:color w:val="FFFFFF"/>
                <w:sz w:val="18"/>
              </w:rPr>
              <w:t>Integrity and privacy</w:t>
            </w:r>
          </w:p>
        </w:tc>
      </w:tr>
      <w:tr>
        <w:trPr>
          <w:cantSplit/>
        </w:trPr>
        <w:tc>
          <w:tcPr>
            <w:tcW w:type="dxa" w:w="3024"/>
            <w:vAlign w:val="top"/>
          </w:tcPr>
          <w:p>
            <w:pPr>
              <w:keepNext w:val="0"/>
              <w:spacing w:after="50" w:before="20" w:line="250" w:lineRule="auto"/>
            </w:pPr>
            <w:r>
              <w:rPr>
                <w:rFonts w:ascii="Arial" w:hAnsi="Arial"/>
                <w:b/>
                <w:sz w:val="18"/>
              </w:rPr>
              <w:t>E01  tenant_​lifecycle_​changed</w:t>
            </w:r>
          </w:p>
        </w:tc>
        <w:tc>
          <w:tcPr>
            <w:tcW w:type="dxa" w:w="4464"/>
            <w:vAlign w:val="top"/>
          </w:tcPr>
          <w:p>
            <w:pPr>
              <w:keepNext w:val="0"/>
              <w:spacing w:after="50" w:before="20" w:line="250" w:lineRule="auto"/>
            </w:pPr>
            <w:r>
              <w:rPr>
                <w:rFonts w:ascii="Arial" w:hAnsi="Arial"/>
                <w:sz w:val="18"/>
              </w:rPr>
              <w:t>Tenant/account service</w:t>
              <w:br/>
              <w:t>tenant_id, lifecycle_state, live_or_sandbox, signup_at, plan_id, specialty</w:t>
            </w:r>
          </w:p>
        </w:tc>
        <w:tc>
          <w:tcPr>
            <w:tcW w:type="dxa" w:w="2736"/>
            <w:vAlign w:val="top"/>
          </w:tcPr>
          <w:p>
            <w:pPr>
              <w:keepNext w:val="0"/>
              <w:spacing w:after="50" w:before="20" w:line="250" w:lineRule="auto"/>
            </w:pPr>
            <w:r>
              <w:rPr>
                <w:rFonts w:ascii="Arial" w:hAnsi="Arial"/>
                <w:sz w:val="18"/>
              </w:rPr>
              <w:t>Never use client-level personal data; immutable transition ID.</w:t>
            </w:r>
          </w:p>
        </w:tc>
      </w:tr>
      <w:tr>
        <w:trPr>
          <w:cantSplit/>
        </w:trPr>
        <w:tc>
          <w:tcPr>
            <w:tcW w:type="dxa" w:w="3024"/>
            <w:vAlign w:val="top"/>
            <w:shd w:fill="F3F6F7"/>
          </w:tcPr>
          <w:p>
            <w:pPr>
              <w:keepNext w:val="0"/>
              <w:spacing w:after="50" w:before="20" w:line="250" w:lineRule="auto"/>
            </w:pPr>
            <w:r>
              <w:rPr>
                <w:rFonts w:ascii="Arial" w:hAnsi="Arial"/>
                <w:b/>
                <w:sz w:val="18"/>
              </w:rPr>
              <w:t>E02  setup_​step_​completed</w:t>
            </w:r>
          </w:p>
        </w:tc>
        <w:tc>
          <w:tcPr>
            <w:tcW w:type="dxa" w:w="4464"/>
            <w:vAlign w:val="top"/>
            <w:shd w:fill="F3F6F7"/>
          </w:tcPr>
          <w:p>
            <w:pPr>
              <w:keepNext w:val="0"/>
              <w:spacing w:after="50" w:before="20" w:line="250" w:lineRule="auto"/>
            </w:pPr>
            <w:r>
              <w:rPr>
                <w:rFonts w:ascii="Arial" w:hAnsi="Arial"/>
                <w:sz w:val="18"/>
              </w:rPr>
              <w:t>Setup service</w:t>
              <w:br/>
              <w:t>tenant_id, step_id, config_version, completion_at, blocker_code</w:t>
            </w:r>
          </w:p>
        </w:tc>
        <w:tc>
          <w:tcPr>
            <w:tcW w:type="dxa" w:w="2736"/>
            <w:vAlign w:val="top"/>
            <w:shd w:fill="F3F6F7"/>
          </w:tcPr>
          <w:p>
            <w:pPr>
              <w:keepNext w:val="0"/>
              <w:spacing w:after="50" w:before="20" w:line="250" w:lineRule="auto"/>
            </w:pPr>
            <w:r>
              <w:rPr>
                <w:rFonts w:ascii="Arial" w:hAnsi="Arial"/>
                <w:sz w:val="18"/>
              </w:rPr>
              <w:t>Completion must reflect persisted configuration; dedupe step/version.</w:t>
            </w:r>
          </w:p>
        </w:tc>
      </w:tr>
      <w:tr>
        <w:trPr>
          <w:cantSplit/>
        </w:trPr>
        <w:tc>
          <w:tcPr>
            <w:tcW w:type="dxa" w:w="3024"/>
            <w:vAlign w:val="top"/>
          </w:tcPr>
          <w:p>
            <w:pPr>
              <w:keepNext w:val="0"/>
              <w:spacing w:after="50" w:before="20" w:line="250" w:lineRule="auto"/>
            </w:pPr>
            <w:r>
              <w:rPr>
                <w:rFonts w:ascii="Arial" w:hAnsi="Arial"/>
                <w:b/>
                <w:sz w:val="18"/>
              </w:rPr>
              <w:t>E03  user_​task_​event</w:t>
            </w:r>
          </w:p>
        </w:tc>
        <w:tc>
          <w:tcPr>
            <w:tcW w:type="dxa" w:w="4464"/>
            <w:vAlign w:val="top"/>
          </w:tcPr>
          <w:p>
            <w:pPr>
              <w:keepNext w:val="0"/>
              <w:spacing w:after="50" w:before="20" w:line="250" w:lineRule="auto"/>
            </w:pPr>
            <w:r>
              <w:rPr>
                <w:rFonts w:ascii="Arial" w:hAnsi="Arial"/>
                <w:sz w:val="18"/>
              </w:rPr>
              <w:t>UI for start; domain service for final outcome</w:t>
              <w:br/>
              <w:t>task_attempt_id, task_type, phase, started_at, result_code, device_class, domain_object_id</w:t>
            </w:r>
          </w:p>
        </w:tc>
        <w:tc>
          <w:tcPr>
            <w:tcW w:type="dxa" w:w="2736"/>
            <w:vAlign w:val="top"/>
          </w:tcPr>
          <w:p>
            <w:pPr>
              <w:keepNext w:val="0"/>
              <w:spacing w:after="50" w:before="20" w:line="250" w:lineRule="auto"/>
            </w:pPr>
            <w:r>
              <w:rPr>
                <w:rFonts w:ascii="Arial" w:hAnsi="Arial"/>
                <w:sz w:val="18"/>
              </w:rPr>
              <w:t>Do not capture raw form text, recordings or passwords; join outcome by attempt.</w:t>
            </w:r>
          </w:p>
        </w:tc>
      </w:tr>
      <w:tr>
        <w:trPr>
          <w:cantSplit/>
        </w:trPr>
        <w:tc>
          <w:tcPr>
            <w:tcW w:type="dxa" w:w="3024"/>
            <w:vAlign w:val="top"/>
            <w:shd w:fill="F3F6F7"/>
          </w:tcPr>
          <w:p>
            <w:pPr>
              <w:keepNext w:val="0"/>
              <w:spacing w:after="50" w:before="20" w:line="250" w:lineRule="auto"/>
            </w:pPr>
            <w:r>
              <w:rPr>
                <w:rFonts w:ascii="Arial" w:hAnsi="Arial"/>
                <w:b/>
                <w:sz w:val="18"/>
              </w:rPr>
              <w:t>E04  booking_​flow_​event</w:t>
            </w:r>
          </w:p>
        </w:tc>
        <w:tc>
          <w:tcPr>
            <w:tcW w:type="dxa" w:w="4464"/>
            <w:vAlign w:val="top"/>
            <w:shd w:fill="F3F6F7"/>
          </w:tcPr>
          <w:p>
            <w:pPr>
              <w:keepNext w:val="0"/>
              <w:spacing w:after="50" w:before="20" w:line="250" w:lineRule="auto"/>
            </w:pPr>
            <w:r>
              <w:rPr>
                <w:rFonts w:ascii="Arial" w:hAnsi="Arial"/>
                <w:sz w:val="18"/>
              </w:rPr>
              <w:t>Booking frontend; server validates confirmation</w:t>
              <w:br/>
              <w:t>flow_id, anonymous_id, step, source_tag, started_at, device_class</w:t>
            </w:r>
          </w:p>
        </w:tc>
        <w:tc>
          <w:tcPr>
            <w:tcW w:type="dxa" w:w="2736"/>
            <w:vAlign w:val="top"/>
            <w:shd w:fill="F3F6F7"/>
          </w:tcPr>
          <w:p>
            <w:pPr>
              <w:keepNext w:val="0"/>
              <w:spacing w:after="50" w:before="20" w:line="250" w:lineRule="auto"/>
            </w:pPr>
            <w:r>
              <w:rPr>
                <w:rFonts w:ascii="Arial" w:hAnsi="Arial"/>
                <w:sz w:val="18"/>
              </w:rPr>
              <w:t>Purpose-limited identifiers; no client name, health answers or full URLs with personal queries.</w:t>
            </w:r>
          </w:p>
        </w:tc>
      </w:tr>
      <w:tr>
        <w:trPr>
          <w:cantSplit/>
        </w:trPr>
        <w:tc>
          <w:tcPr>
            <w:tcW w:type="dxa" w:w="3024"/>
            <w:vAlign w:val="top"/>
          </w:tcPr>
          <w:p>
            <w:pPr>
              <w:keepNext w:val="0"/>
              <w:spacing w:after="50" w:before="20" w:line="250" w:lineRule="auto"/>
            </w:pPr>
            <w:r>
              <w:rPr>
                <w:rFonts w:ascii="Arial" w:hAnsi="Arial"/>
                <w:b/>
                <w:sz w:val="18"/>
              </w:rPr>
              <w:t>E05  availability_​search_​completed</w:t>
            </w:r>
          </w:p>
        </w:tc>
        <w:tc>
          <w:tcPr>
            <w:tcW w:type="dxa" w:w="4464"/>
            <w:vAlign w:val="top"/>
          </w:tcPr>
          <w:p>
            <w:pPr>
              <w:keepNext w:val="0"/>
              <w:spacing w:after="50" w:before="20" w:line="250" w:lineRule="auto"/>
            </w:pPr>
            <w:r>
              <w:rPr>
                <w:rFonts w:ascii="Arial" w:hAnsi="Arial"/>
                <w:sz w:val="18"/>
              </w:rPr>
              <w:t>Availability service</w:t>
              <w:br/>
              <w:t>request_id, service_ids, requested_range, allowed_staff, result_count, reason_codes, rule_version</w:t>
            </w:r>
          </w:p>
        </w:tc>
        <w:tc>
          <w:tcPr>
            <w:tcW w:type="dxa" w:w="2736"/>
            <w:vAlign w:val="top"/>
          </w:tcPr>
          <w:p>
            <w:pPr>
              <w:keepNext w:val="0"/>
              <w:spacing w:after="50" w:before="20" w:line="250" w:lineRule="auto"/>
            </w:pPr>
            <w:r>
              <w:rPr>
                <w:rFonts w:ascii="Arial" w:hAnsi="Arial"/>
                <w:sz w:val="18"/>
              </w:rPr>
              <w:t>No raw search text needed; coarsen public analytics and suppress small slices.</w:t>
            </w:r>
          </w:p>
        </w:tc>
      </w:tr>
      <w:tr>
        <w:trPr>
          <w:cantSplit/>
        </w:trPr>
        <w:tc>
          <w:tcPr>
            <w:tcW w:type="dxa" w:w="3024"/>
            <w:vAlign w:val="top"/>
            <w:shd w:fill="F3F6F7"/>
          </w:tcPr>
          <w:p>
            <w:pPr>
              <w:keepNext w:val="0"/>
              <w:spacing w:after="50" w:before="20" w:line="250" w:lineRule="auto"/>
            </w:pPr>
            <w:r>
              <w:rPr>
                <w:rFonts w:ascii="Arial" w:hAnsi="Arial"/>
                <w:b/>
                <w:sz w:val="18"/>
              </w:rPr>
              <w:t>E06  demand_​outcome_​recorded</w:t>
            </w:r>
          </w:p>
        </w:tc>
        <w:tc>
          <w:tcPr>
            <w:tcW w:type="dxa" w:w="4464"/>
            <w:vAlign w:val="top"/>
            <w:shd w:fill="F3F6F7"/>
          </w:tcPr>
          <w:p>
            <w:pPr>
              <w:keepNext w:val="0"/>
              <w:spacing w:after="50" w:before="20" w:line="250" w:lineRule="auto"/>
            </w:pPr>
            <w:r>
              <w:rPr>
                <w:rFonts w:ascii="Arial" w:hAnsi="Arial"/>
                <w:sz w:val="18"/>
              </w:rPr>
              <w:t>Demand/waitlist service or authorized staff</w:t>
              <w:br/>
              <w:t>demand_id, linked_search_id, reason_code, preferred_window, consent_status, outcome</w:t>
            </w:r>
          </w:p>
        </w:tc>
        <w:tc>
          <w:tcPr>
            <w:tcW w:type="dxa" w:w="2736"/>
            <w:vAlign w:val="top"/>
            <w:shd w:fill="F3F6F7"/>
          </w:tcPr>
          <w:p>
            <w:pPr>
              <w:keepNext w:val="0"/>
              <w:spacing w:after="50" w:before="20" w:line="250" w:lineRule="auto"/>
            </w:pPr>
            <w:r>
              <w:rPr>
                <w:rFonts w:ascii="Arial" w:hAnsi="Arial"/>
                <w:sz w:val="18"/>
              </w:rPr>
              <w:t>One demand lifecycle; manual and digital records link rather than double-count.</w:t>
            </w:r>
          </w:p>
        </w:tc>
      </w:tr>
      <w:tr>
        <w:trPr>
          <w:cantSplit/>
        </w:trPr>
        <w:tc>
          <w:tcPr>
            <w:tcW w:type="dxa" w:w="3024"/>
            <w:vAlign w:val="top"/>
          </w:tcPr>
          <w:p>
            <w:pPr>
              <w:keepNext w:val="0"/>
              <w:spacing w:after="50" w:before="20" w:line="250" w:lineRule="auto"/>
            </w:pPr>
            <w:r>
              <w:rPr>
                <w:rFonts w:ascii="Arial" w:hAnsi="Arial"/>
                <w:b/>
                <w:sz w:val="18"/>
              </w:rPr>
              <w:t>E07  appointment_​state_​changed</w:t>
            </w:r>
          </w:p>
        </w:tc>
        <w:tc>
          <w:tcPr>
            <w:tcW w:type="dxa" w:w="4464"/>
            <w:vAlign w:val="top"/>
          </w:tcPr>
          <w:p>
            <w:pPr>
              <w:keepNext w:val="0"/>
              <w:spacing w:after="50" w:before="20" w:line="250" w:lineRule="auto"/>
            </w:pPr>
            <w:r>
              <w:rPr>
                <w:rFonts w:ascii="Arial" w:hAnsi="Arial"/>
                <w:sz w:val="18"/>
              </w:rPr>
              <w:t>Booking service</w:t>
              <w:br/>
              <w:t>appointment_id, visit_id, state_from/to, scheduled_start/end, service_ids, provider_ids, policy_version, cause</w:t>
            </w:r>
          </w:p>
        </w:tc>
        <w:tc>
          <w:tcPr>
            <w:tcW w:type="dxa" w:w="2736"/>
            <w:vAlign w:val="top"/>
          </w:tcPr>
          <w:p>
            <w:pPr>
              <w:keepNext w:val="0"/>
              <w:spacing w:after="50" w:before="20" w:line="250" w:lineRule="auto"/>
            </w:pPr>
            <w:r>
              <w:rPr>
                <w:rFonts w:ascii="Arial" w:hAnsi="Arial"/>
                <w:sz w:val="18"/>
              </w:rPr>
              <w:t>Transactional outbox after commit; aggregate version prevents out-of-order state rollback.</w:t>
            </w:r>
          </w:p>
        </w:tc>
      </w:tr>
      <w:tr>
        <w:trPr>
          <w:cantSplit/>
        </w:trPr>
        <w:tc>
          <w:tcPr>
            <w:tcW w:type="dxa" w:w="3024"/>
            <w:vAlign w:val="top"/>
            <w:shd w:fill="F3F6F7"/>
          </w:tcPr>
          <w:p>
            <w:pPr>
              <w:keepNext w:val="0"/>
              <w:spacing w:after="50" w:before="20" w:line="250" w:lineRule="auto"/>
            </w:pPr>
            <w:r>
              <w:rPr>
                <w:rFonts w:ascii="Arial" w:hAnsi="Arial"/>
                <w:b/>
                <w:sz w:val="18"/>
              </w:rPr>
              <w:t>E08  service_​phase_​recorded</w:t>
            </w:r>
          </w:p>
        </w:tc>
        <w:tc>
          <w:tcPr>
            <w:tcW w:type="dxa" w:w="4464"/>
            <w:vAlign w:val="top"/>
            <w:shd w:fill="F3F6F7"/>
          </w:tcPr>
          <w:p>
            <w:pPr>
              <w:keepNext w:val="0"/>
              <w:spacing w:after="50" w:before="20" w:line="250" w:lineRule="auto"/>
            </w:pPr>
            <w:r>
              <w:rPr>
                <w:rFonts w:ascii="Arial" w:hAnsi="Arial"/>
                <w:sz w:val="18"/>
              </w:rPr>
              <w:t>Service execution/scheduling service</w:t>
              <w:br/>
              <w:t>visit_id, phase_id, provider/resource_id, active_or_processing, start/end, actual_or_estimated</w:t>
            </w:r>
          </w:p>
        </w:tc>
        <w:tc>
          <w:tcPr>
            <w:tcW w:type="dxa" w:w="2736"/>
            <w:vAlign w:val="top"/>
            <w:shd w:fill="F3F6F7"/>
          </w:tcPr>
          <w:p>
            <w:pPr>
              <w:keepNext w:val="0"/>
              <w:spacing w:after="50" w:before="20" w:line="250" w:lineRule="auto"/>
            </w:pPr>
            <w:r>
              <w:rPr>
                <w:rFonts w:ascii="Arial" w:hAnsi="Arial"/>
                <w:sz w:val="18"/>
              </w:rPr>
              <w:t>Separate actual timing from planned estimates; missing data stays null.</w:t>
            </w:r>
          </w:p>
        </w:tc>
      </w:tr>
      <w:tr>
        <w:trPr>
          <w:cantSplit/>
        </w:trPr>
        <w:tc>
          <w:tcPr>
            <w:tcW w:type="dxa" w:w="3024"/>
            <w:vAlign w:val="top"/>
          </w:tcPr>
          <w:p>
            <w:pPr>
              <w:keepNext w:val="0"/>
              <w:spacing w:after="50" w:before="20" w:line="250" w:lineRule="auto"/>
            </w:pPr>
            <w:r>
              <w:rPr>
                <w:rFonts w:ascii="Arial" w:hAnsi="Arial"/>
                <w:b/>
                <w:sz w:val="18"/>
              </w:rPr>
              <w:t>E09  capacity_​schedule_​changed</w:t>
            </w:r>
          </w:p>
        </w:tc>
        <w:tc>
          <w:tcPr>
            <w:tcW w:type="dxa" w:w="4464"/>
            <w:vAlign w:val="top"/>
          </w:tcPr>
          <w:p>
            <w:pPr>
              <w:keepNext w:val="0"/>
              <w:spacing w:after="50" w:before="20" w:line="250" w:lineRule="auto"/>
            </w:pPr>
            <w:r>
              <w:rPr>
                <w:rFonts w:ascii="Arial" w:hAnsi="Arial"/>
                <w:sz w:val="18"/>
              </w:rPr>
              <w:t>Scheduling service</w:t>
              <w:br/>
              <w:t>provider/resource_id, location_id, availability_intervals, exclusion_reason, effective_version</w:t>
            </w:r>
          </w:p>
        </w:tc>
        <w:tc>
          <w:tcPr>
            <w:tcW w:type="dxa" w:w="2736"/>
            <w:vAlign w:val="top"/>
          </w:tcPr>
          <w:p>
            <w:pPr>
              <w:keepNext w:val="0"/>
              <w:spacing w:after="50" w:before="20" w:line="250" w:lineRule="auto"/>
            </w:pPr>
            <w:r>
              <w:rPr>
                <w:rFonts w:ascii="Arial" w:hAnsi="Arial"/>
                <w:sz w:val="18"/>
              </w:rPr>
              <w:t>Persist prior snapshots; expand recurring rules with explicit timezone and daylight-saving rules.</w:t>
            </w:r>
          </w:p>
        </w:tc>
      </w:tr>
      <w:tr>
        <w:trPr>
          <w:cantSplit/>
        </w:trPr>
        <w:tc>
          <w:tcPr>
            <w:tcW w:type="dxa" w:w="3024"/>
            <w:vAlign w:val="top"/>
            <w:shd w:fill="F3F6F7"/>
          </w:tcPr>
          <w:p>
            <w:pPr>
              <w:keepNext w:val="0"/>
              <w:spacing w:after="50" w:before="20" w:line="250" w:lineRule="auto"/>
            </w:pPr>
            <w:r>
              <w:rPr>
                <w:rFonts w:ascii="Arial" w:hAnsi="Arial"/>
                <w:b/>
                <w:sz w:val="18"/>
              </w:rPr>
              <w:t>E10  lead_​state_​changed</w:t>
            </w:r>
          </w:p>
        </w:tc>
        <w:tc>
          <w:tcPr>
            <w:tcW w:type="dxa" w:w="4464"/>
            <w:vAlign w:val="top"/>
            <w:shd w:fill="F3F6F7"/>
          </w:tcPr>
          <w:p>
            <w:pPr>
              <w:keepNext w:val="0"/>
              <w:spacing w:after="50" w:before="20" w:line="250" w:lineRule="auto"/>
            </w:pPr>
            <w:r>
              <w:rPr>
                <w:rFonts w:ascii="Arial" w:hAnsi="Arial"/>
                <w:sz w:val="18"/>
              </w:rPr>
              <w:t>CRM service</w:t>
              <w:br/>
              <w:t>lead_id, state, source_id, qualification_version, inquiry_at, linked_client_id</w:t>
            </w:r>
          </w:p>
        </w:tc>
        <w:tc>
          <w:tcPr>
            <w:tcW w:type="dxa" w:w="2736"/>
            <w:vAlign w:val="top"/>
            <w:shd w:fill="F3F6F7"/>
          </w:tcPr>
          <w:p>
            <w:pPr>
              <w:keepNext w:val="0"/>
              <w:spacing w:after="50" w:before="20" w:line="250" w:lineRule="auto"/>
            </w:pPr>
            <w:r>
              <w:rPr>
                <w:rFonts w:ascii="Arial" w:hAnsi="Arial"/>
                <w:sz w:val="18"/>
              </w:rPr>
              <w:t>Client link is tenant-scoped; do not send message content to analytics.</w:t>
            </w:r>
          </w:p>
        </w:tc>
      </w:tr>
      <w:tr>
        <w:trPr>
          <w:cantSplit/>
        </w:trPr>
        <w:tc>
          <w:tcPr>
            <w:tcW w:type="dxa" w:w="3024"/>
            <w:vAlign w:val="top"/>
          </w:tcPr>
          <w:p>
            <w:pPr>
              <w:keepNext w:val="0"/>
              <w:spacing w:after="50" w:before="20" w:line="250" w:lineRule="auto"/>
            </w:pPr>
            <w:r>
              <w:rPr>
                <w:rFonts w:ascii="Arial" w:hAnsi="Arial"/>
                <w:b/>
                <w:sz w:val="18"/>
              </w:rPr>
              <w:t>E11  client_​identity_​changed</w:t>
            </w:r>
          </w:p>
        </w:tc>
        <w:tc>
          <w:tcPr>
            <w:tcW w:type="dxa" w:w="4464"/>
            <w:vAlign w:val="top"/>
          </w:tcPr>
          <w:p>
            <w:pPr>
              <w:keepNext w:val="0"/>
              <w:spacing w:after="50" w:before="20" w:line="250" w:lineRule="auto"/>
            </w:pPr>
            <w:r>
              <w:rPr>
                <w:rFonts w:ascii="Arial" w:hAnsi="Arial"/>
                <w:sz w:val="18"/>
              </w:rPr>
              <w:t>Client identity service</w:t>
              <w:br/>
              <w:t>client_id, merge_aliases, history_completeness, first_known_visit, status</w:t>
            </w:r>
          </w:p>
        </w:tc>
        <w:tc>
          <w:tcPr>
            <w:tcW w:type="dxa" w:w="2736"/>
            <w:vAlign w:val="top"/>
          </w:tcPr>
          <w:p>
            <w:pPr>
              <w:keepNext w:val="0"/>
              <w:spacing w:after="50" w:before="20" w:line="250" w:lineRule="auto"/>
            </w:pPr>
            <w:r>
              <w:rPr>
                <w:rFonts w:ascii="Arial" w:hAnsi="Arial"/>
                <w:sz w:val="18"/>
              </w:rPr>
              <w:t>Merges are reversible/audited; never merge across tenants for marketing analytics.</w:t>
            </w:r>
          </w:p>
        </w:tc>
      </w:tr>
      <w:tr>
        <w:trPr>
          <w:cantSplit/>
        </w:trPr>
        <w:tc>
          <w:tcPr>
            <w:tcW w:type="dxa" w:w="3024"/>
            <w:vAlign w:val="top"/>
            <w:shd w:fill="F3F6F7"/>
          </w:tcPr>
          <w:p>
            <w:pPr>
              <w:keepNext w:val="0"/>
              <w:spacing w:after="50" w:before="20" w:line="250" w:lineRule="auto"/>
            </w:pPr>
            <w:r>
              <w:rPr>
                <w:rFonts w:ascii="Arial" w:hAnsi="Arial"/>
                <w:b/>
                <w:sz w:val="18"/>
              </w:rPr>
              <w:t>E12  campaign_​assigned</w:t>
            </w:r>
          </w:p>
        </w:tc>
        <w:tc>
          <w:tcPr>
            <w:tcW w:type="dxa" w:w="4464"/>
            <w:vAlign w:val="top"/>
            <w:shd w:fill="F3F6F7"/>
          </w:tcPr>
          <w:p>
            <w:pPr>
              <w:keepNext w:val="0"/>
              <w:spacing w:after="50" w:before="20" w:line="250" w:lineRule="auto"/>
            </w:pPr>
            <w:r>
              <w:rPr>
                <w:rFonts w:ascii="Arial" w:hAnsi="Arial"/>
                <w:sz w:val="18"/>
              </w:rPr>
              <w:t>Campaign/experiment service</w:t>
              <w:br/>
              <w:t>campaign_id, experiment_id, assignment_id, arm, eligibility_version, client_pseudonym, window</w:t>
            </w:r>
          </w:p>
        </w:tc>
        <w:tc>
          <w:tcPr>
            <w:tcW w:type="dxa" w:w="2736"/>
            <w:vAlign w:val="top"/>
            <w:shd w:fill="F3F6F7"/>
          </w:tcPr>
          <w:p>
            <w:pPr>
              <w:keepNext w:val="0"/>
              <w:spacing w:after="50" w:before="20" w:line="250" w:lineRule="auto"/>
            </w:pPr>
            <w:r>
              <w:rPr>
                <w:rFonts w:ascii="Arial" w:hAnsi="Arial"/>
                <w:sz w:val="18"/>
              </w:rPr>
              <w:t>Assign before exposure; immutable randomization seed/hash, consent validation and holdout rules.</w:t>
            </w:r>
          </w:p>
        </w:tc>
      </w:tr>
      <w:tr>
        <w:trPr>
          <w:cantSplit/>
        </w:trPr>
        <w:tc>
          <w:tcPr>
            <w:tcW w:type="dxa" w:w="3024"/>
            <w:vAlign w:val="top"/>
          </w:tcPr>
          <w:p>
            <w:pPr>
              <w:keepNext w:val="0"/>
              <w:spacing w:after="50" w:before="20" w:line="250" w:lineRule="auto"/>
            </w:pPr>
            <w:r>
              <w:rPr>
                <w:rFonts w:ascii="Arial" w:hAnsi="Arial"/>
                <w:b/>
                <w:sz w:val="18"/>
              </w:rPr>
              <w:t>E13  message_​state_​changed</w:t>
            </w:r>
          </w:p>
        </w:tc>
        <w:tc>
          <w:tcPr>
            <w:tcW w:type="dxa" w:w="4464"/>
            <w:vAlign w:val="top"/>
          </w:tcPr>
          <w:p>
            <w:pPr>
              <w:keepNext w:val="0"/>
              <w:spacing w:after="50" w:before="20" w:line="250" w:lineRule="auto"/>
            </w:pPr>
            <w:r>
              <w:rPr>
                <w:rFonts w:ascii="Arial" w:hAnsi="Arial"/>
                <w:sz w:val="18"/>
              </w:rPr>
              <w:t>Messaging orchestration and signed provider callbacks</w:t>
              <w:br/>
              <w:t>message_id, purpose, due_at, attempt_id, state, provider_id, delivered_at, cost</w:t>
            </w:r>
          </w:p>
        </w:tc>
        <w:tc>
          <w:tcPr>
            <w:tcW w:type="dxa" w:w="2736"/>
            <w:vAlign w:val="top"/>
          </w:tcPr>
          <w:p>
            <w:pPr>
              <w:keepNext w:val="0"/>
              <w:spacing w:after="50" w:before="20" w:line="250" w:lineRule="auto"/>
            </w:pPr>
            <w:r>
              <w:rPr>
                <w:rFonts w:ascii="Arial" w:hAnsi="Arial"/>
                <w:sz w:val="18"/>
              </w:rPr>
              <w:t>Callback ID dedupe; content remains outside analytics; acceptance differs from delivery.</w:t>
            </w:r>
          </w:p>
        </w:tc>
      </w:tr>
      <w:tr>
        <w:trPr>
          <w:cantSplit/>
        </w:trPr>
        <w:tc>
          <w:tcPr>
            <w:tcW w:type="dxa" w:w="3024"/>
            <w:vAlign w:val="top"/>
            <w:shd w:fill="F3F6F7"/>
          </w:tcPr>
          <w:p>
            <w:pPr>
              <w:keepNext w:val="0"/>
              <w:spacing w:after="50" w:before="20" w:line="250" w:lineRule="auto"/>
            </w:pPr>
            <w:r>
              <w:rPr>
                <w:rFonts w:ascii="Arial" w:hAnsi="Arial"/>
                <w:b/>
                <w:sz w:val="18"/>
              </w:rPr>
              <w:t>E14  communication_​consent_​changed</w:t>
            </w:r>
          </w:p>
        </w:tc>
        <w:tc>
          <w:tcPr>
            <w:tcW w:type="dxa" w:w="4464"/>
            <w:vAlign w:val="top"/>
            <w:shd w:fill="F3F6F7"/>
          </w:tcPr>
          <w:p>
            <w:pPr>
              <w:keepNext w:val="0"/>
              <w:spacing w:after="50" w:before="20" w:line="250" w:lineRule="auto"/>
            </w:pPr>
            <w:r>
              <w:rPr>
                <w:rFonts w:ascii="Arial" w:hAnsi="Arial"/>
                <w:sz w:val="18"/>
              </w:rPr>
              <w:t>Consent service</w:t>
              <w:br/>
              <w:t>client_id, purpose, channel, consent_state, provenance, policy_version, effective_at</w:t>
            </w:r>
          </w:p>
        </w:tc>
        <w:tc>
          <w:tcPr>
            <w:tcW w:type="dxa" w:w="2736"/>
            <w:vAlign w:val="top"/>
            <w:shd w:fill="F3F6F7"/>
          </w:tcPr>
          <w:p>
            <w:pPr>
              <w:keepNext w:val="0"/>
              <w:spacing w:after="50" w:before="20" w:line="250" w:lineRule="auto"/>
            </w:pPr>
            <w:r>
              <w:rPr>
                <w:rFonts w:ascii="Arial" w:hAnsi="Arial"/>
                <w:sz w:val="18"/>
              </w:rPr>
              <w:t>Opt-out takes immediate operational effect; analytics mirrors state, never controls sending.</w:t>
            </w:r>
          </w:p>
        </w:tc>
      </w:tr>
      <w:tr>
        <w:trPr>
          <w:cantSplit/>
        </w:trPr>
        <w:tc>
          <w:tcPr>
            <w:tcW w:type="dxa" w:w="3024"/>
            <w:vAlign w:val="top"/>
          </w:tcPr>
          <w:p>
            <w:pPr>
              <w:keepNext w:val="0"/>
              <w:spacing w:after="50" w:before="20" w:line="250" w:lineRule="auto"/>
            </w:pPr>
            <w:r>
              <w:rPr>
                <w:rFonts w:ascii="Arial" w:hAnsi="Arial"/>
                <w:b/>
                <w:sz w:val="18"/>
              </w:rPr>
              <w:t>E15  order_​posted</w:t>
            </w:r>
          </w:p>
        </w:tc>
        <w:tc>
          <w:tcPr>
            <w:tcW w:type="dxa" w:w="4464"/>
            <w:vAlign w:val="top"/>
          </w:tcPr>
          <w:p>
            <w:pPr>
              <w:keepNext w:val="0"/>
              <w:spacing w:after="50" w:before="20" w:line="250" w:lineRule="auto"/>
            </w:pPr>
            <w:r>
              <w:rPr>
                <w:rFonts w:ascii="Arial" w:hAnsi="Arial"/>
                <w:sz w:val="18"/>
              </w:rPr>
              <w:t>POS/order service</w:t>
              <w:br/>
              <w:t>order_id, visit_id, immutable_line_ids, currency, amounts, discounts, taxes, tips, tender_refs</w:t>
            </w:r>
          </w:p>
        </w:tc>
        <w:tc>
          <w:tcPr>
            <w:tcW w:type="dxa" w:w="2736"/>
            <w:vAlign w:val="top"/>
          </w:tcPr>
          <w:p>
            <w:pPr>
              <w:keepNext w:val="0"/>
              <w:spacing w:after="50" w:before="20" w:line="250" w:lineRule="auto"/>
            </w:pPr>
            <w:r>
              <w:rPr>
                <w:rFonts w:ascii="Arial" w:hAnsi="Arial"/>
                <w:sz w:val="18"/>
              </w:rPr>
              <w:t>Integer minor units; explicit correction/reversal entries instead of silent rewriting.</w:t>
            </w:r>
          </w:p>
        </w:tc>
      </w:tr>
      <w:tr>
        <w:trPr>
          <w:cantSplit/>
        </w:trPr>
        <w:tc>
          <w:tcPr>
            <w:tcW w:type="dxa" w:w="3024"/>
            <w:vAlign w:val="top"/>
            <w:shd w:fill="F3F6F7"/>
          </w:tcPr>
          <w:p>
            <w:pPr>
              <w:keepNext w:val="0"/>
              <w:spacing w:after="50" w:before="20" w:line="250" w:lineRule="auto"/>
            </w:pPr>
            <w:r>
              <w:rPr>
                <w:rFonts w:ascii="Arial" w:hAnsi="Arial"/>
                <w:b/>
                <w:sz w:val="18"/>
              </w:rPr>
              <w:t>E16  revenue_​allocation_​posted</w:t>
            </w:r>
          </w:p>
        </w:tc>
        <w:tc>
          <w:tcPr>
            <w:tcW w:type="dxa" w:w="4464"/>
            <w:vAlign w:val="top"/>
            <w:shd w:fill="F3F6F7"/>
          </w:tcPr>
          <w:p>
            <w:pPr>
              <w:keepNext w:val="0"/>
              <w:spacing w:after="50" w:before="20" w:line="250" w:lineRule="auto"/>
            </w:pPr>
            <w:r>
              <w:rPr>
                <w:rFonts w:ascii="Arial" w:hAnsi="Arial"/>
                <w:sz w:val="18"/>
              </w:rPr>
              <w:t>Revenue subledger</w:t>
              <w:br/>
              <w:t>entry_id, order_line_id, performance_ref, recognition_date, allocated_amount, reversal_ref, policy_version</w:t>
            </w:r>
          </w:p>
        </w:tc>
        <w:tc>
          <w:tcPr>
            <w:tcW w:type="dxa" w:w="2736"/>
            <w:vAlign w:val="top"/>
            <w:shd w:fill="F3F6F7"/>
          </w:tcPr>
          <w:p>
            <w:pPr>
              <w:keepNext w:val="0"/>
              <w:spacing w:after="50" w:before="20" w:line="250" w:lineRule="auto"/>
            </w:pPr>
            <w:r>
              <w:rPr>
                <w:rFonts w:ascii="Arial" w:hAnsi="Arial"/>
                <w:sz w:val="18"/>
              </w:rPr>
              <w:t>Posting must reconcile to contract allocation; accountant-approved policies and closed-period treatment.</w:t>
            </w:r>
          </w:p>
        </w:tc>
      </w:tr>
      <w:tr>
        <w:trPr>
          <w:cantSplit/>
        </w:trPr>
        <w:tc>
          <w:tcPr>
            <w:tcW w:type="dxa" w:w="3024"/>
            <w:vAlign w:val="top"/>
          </w:tcPr>
          <w:p>
            <w:pPr>
              <w:keepNext w:val="0"/>
              <w:spacing w:after="50" w:before="20" w:line="250" w:lineRule="auto"/>
            </w:pPr>
            <w:r>
              <w:rPr>
                <w:rFonts w:ascii="Arial" w:hAnsi="Arial"/>
                <w:b/>
                <w:sz w:val="18"/>
              </w:rPr>
              <w:t>E17  payment_​state_​changed</w:t>
            </w:r>
          </w:p>
        </w:tc>
        <w:tc>
          <w:tcPr>
            <w:tcW w:type="dxa" w:w="4464"/>
            <w:vAlign w:val="top"/>
          </w:tcPr>
          <w:p>
            <w:pPr>
              <w:keepNext w:val="0"/>
              <w:spacing w:after="50" w:before="20" w:line="250" w:lineRule="auto"/>
            </w:pPr>
            <w:r>
              <w:rPr>
                <w:rFonts w:ascii="Arial" w:hAnsi="Arial"/>
                <w:sz w:val="18"/>
              </w:rPr>
              <w:t>Payments service with verified PSP webhooks</w:t>
              <w:br/>
              <w:t>payment_id, attempt_id, capture/refund/dispute IDs, amount, currency, state, order_ref</w:t>
            </w:r>
          </w:p>
        </w:tc>
        <w:tc>
          <w:tcPr>
            <w:tcW w:type="dxa" w:w="2736"/>
            <w:vAlign w:val="top"/>
          </w:tcPr>
          <w:p>
            <w:pPr>
              <w:keepNext w:val="0"/>
              <w:spacing w:after="50" w:before="20" w:line="250" w:lineRule="auto"/>
            </w:pPr>
            <w:r>
              <w:rPr>
                <w:rFonts w:ascii="Arial" w:hAnsi="Arial"/>
                <w:sz w:val="18"/>
              </w:rPr>
              <w:t>No card PAN/CVV; merchant-scoped idempotency; only authoritative provider/cash-ledger confirmation records money.</w:t>
            </w:r>
          </w:p>
        </w:tc>
      </w:tr>
      <w:tr>
        <w:trPr>
          <w:cantSplit/>
        </w:trPr>
        <w:tc>
          <w:tcPr>
            <w:tcW w:type="dxa" w:w="3024"/>
            <w:vAlign w:val="top"/>
            <w:shd w:fill="F3F6F7"/>
          </w:tcPr>
          <w:p>
            <w:pPr>
              <w:keepNext w:val="0"/>
              <w:spacing w:after="50" w:before="20" w:line="250" w:lineRule="auto"/>
            </w:pPr>
            <w:r>
              <w:rPr>
                <w:rFonts w:ascii="Arial" w:hAnsi="Arial"/>
                <w:b/>
                <w:sz w:val="18"/>
              </w:rPr>
              <w:t>E18  settlement_​recorded</w:t>
            </w:r>
          </w:p>
        </w:tc>
        <w:tc>
          <w:tcPr>
            <w:tcW w:type="dxa" w:w="4464"/>
            <w:vAlign w:val="top"/>
            <w:shd w:fill="F3F6F7"/>
          </w:tcPr>
          <w:p>
            <w:pPr>
              <w:keepNext w:val="0"/>
              <w:spacing w:after="50" w:before="20" w:line="250" w:lineRule="auto"/>
            </w:pPr>
            <w:r>
              <w:rPr>
                <w:rFonts w:ascii="Arial" w:hAnsi="Arial"/>
                <w:sz w:val="18"/>
              </w:rPr>
              <w:t>Processor reconciliation importer</w:t>
              <w:br/>
              <w:t>settlement_id, payment_refs, gross, fees, refunds, holds, chargebacks, currency, net</w:t>
            </w:r>
          </w:p>
        </w:tc>
        <w:tc>
          <w:tcPr>
            <w:tcW w:type="dxa" w:w="2736"/>
            <w:vAlign w:val="top"/>
            <w:shd w:fill="F3F6F7"/>
          </w:tcPr>
          <w:p>
            <w:pPr>
              <w:keepNext w:val="0"/>
              <w:spacing w:after="50" w:before="20" w:line="250" w:lineRule="auto"/>
            </w:pPr>
            <w:r>
              <w:rPr>
                <w:rFonts w:ascii="Arial" w:hAnsi="Arial"/>
                <w:sz w:val="18"/>
              </w:rPr>
              <w:t>Match line items before aggregates; keep original provider record reference and import hash.</w:t>
            </w:r>
          </w:p>
        </w:tc>
      </w:tr>
      <w:tr>
        <w:trPr>
          <w:cantSplit/>
        </w:trPr>
        <w:tc>
          <w:tcPr>
            <w:tcW w:type="dxa" w:w="3024"/>
            <w:vAlign w:val="top"/>
          </w:tcPr>
          <w:p>
            <w:pPr>
              <w:keepNext w:val="0"/>
              <w:spacing w:after="50" w:before="20" w:line="250" w:lineRule="auto"/>
            </w:pPr>
            <w:r>
              <w:rPr>
                <w:rFonts w:ascii="Arial" w:hAnsi="Arial"/>
                <w:b/>
                <w:sz w:val="18"/>
              </w:rPr>
              <w:t>E19  payout_​bank_​match_​recorded</w:t>
            </w:r>
          </w:p>
        </w:tc>
        <w:tc>
          <w:tcPr>
            <w:tcW w:type="dxa" w:w="4464"/>
            <w:vAlign w:val="top"/>
          </w:tcPr>
          <w:p>
            <w:pPr>
              <w:keepNext w:val="0"/>
              <w:spacing w:after="50" w:before="20" w:line="250" w:lineRule="auto"/>
            </w:pPr>
            <w:r>
              <w:rPr>
                <w:rFonts w:ascii="Arial" w:hAnsi="Arial"/>
                <w:sz w:val="18"/>
              </w:rPr>
              <w:t>Reconciliation service plus authorized bank feed</w:t>
              <w:br/>
              <w:t>payout_id, bank_transaction_id, net, currency, effective_date, match_status</w:t>
            </w:r>
          </w:p>
        </w:tc>
        <w:tc>
          <w:tcPr>
            <w:tcW w:type="dxa" w:w="2736"/>
            <w:vAlign w:val="top"/>
          </w:tcPr>
          <w:p>
            <w:pPr>
              <w:keepNext w:val="0"/>
              <w:spacing w:after="50" w:before="20" w:line="250" w:lineRule="auto"/>
            </w:pPr>
            <w:r>
              <w:rPr>
                <w:rFonts w:ascii="Arial" w:hAnsi="Arial"/>
                <w:sz w:val="18"/>
              </w:rPr>
              <w:t>Masked bank identifiers; approval/audit for manual matching and rematches.</w:t>
            </w:r>
          </w:p>
        </w:tc>
      </w:tr>
      <w:tr>
        <w:trPr>
          <w:cantSplit/>
        </w:trPr>
        <w:tc>
          <w:tcPr>
            <w:tcW w:type="dxa" w:w="3024"/>
            <w:vAlign w:val="top"/>
            <w:shd w:fill="F3F6F7"/>
          </w:tcPr>
          <w:p>
            <w:pPr>
              <w:keepNext w:val="0"/>
              <w:spacing w:after="50" w:before="20" w:line="250" w:lineRule="auto"/>
            </w:pPr>
            <w:r>
              <w:rPr>
                <w:rFonts w:ascii="Arial" w:hAnsi="Arial"/>
                <w:b/>
                <w:sz w:val="18"/>
              </w:rPr>
              <w:t>E20  credit_​ledger_​entry_​posted</w:t>
            </w:r>
          </w:p>
        </w:tc>
        <w:tc>
          <w:tcPr>
            <w:tcW w:type="dxa" w:w="4464"/>
            <w:vAlign w:val="top"/>
            <w:shd w:fill="F3F6F7"/>
          </w:tcPr>
          <w:p>
            <w:pPr>
              <w:keepNext w:val="0"/>
              <w:spacing w:after="50" w:before="20" w:line="250" w:lineRule="auto"/>
            </w:pPr>
            <w:r>
              <w:rPr>
                <w:rFonts w:ascii="Arial" w:hAnsi="Arial"/>
                <w:sz w:val="18"/>
              </w:rPr>
              <w:t>Credit/liability service</w:t>
              <w:br/>
              <w:t>entry_id, instrument_id, type, money_allocation, units, currency, grant/redeem/refund, expiry, linkage</w:t>
            </w:r>
          </w:p>
        </w:tc>
        <w:tc>
          <w:tcPr>
            <w:tcW w:type="dxa" w:w="2736"/>
            <w:vAlign w:val="top"/>
            <w:shd w:fill="F3F6F7"/>
          </w:tcPr>
          <w:p>
            <w:pPr>
              <w:keepNext w:val="0"/>
              <w:spacing w:after="50" w:before="20" w:line="250" w:lineRule="auto"/>
            </w:pPr>
            <w:r>
              <w:rPr>
                <w:rFonts w:ascii="Arial" w:hAnsi="Arial"/>
                <w:sz w:val="18"/>
              </w:rPr>
              <w:t>Append-only double-entry or balanced subledger; ensure refund and redemption cannot both spend the same credit.</w:t>
            </w:r>
          </w:p>
        </w:tc>
      </w:tr>
      <w:tr>
        <w:trPr>
          <w:cantSplit/>
        </w:trPr>
        <w:tc>
          <w:tcPr>
            <w:tcW w:type="dxa" w:w="3024"/>
            <w:vAlign w:val="top"/>
          </w:tcPr>
          <w:p>
            <w:pPr>
              <w:keepNext w:val="0"/>
              <w:spacing w:after="50" w:before="20" w:line="250" w:lineRule="auto"/>
            </w:pPr>
            <w:r>
              <w:rPr>
                <w:rFonts w:ascii="Arial" w:hAnsi="Arial"/>
                <w:b/>
                <w:sz w:val="18"/>
              </w:rPr>
              <w:t>E21  subscription_​state_​changed</w:t>
            </w:r>
          </w:p>
        </w:tc>
        <w:tc>
          <w:tcPr>
            <w:tcW w:type="dxa" w:w="4464"/>
            <w:vAlign w:val="top"/>
          </w:tcPr>
          <w:p>
            <w:pPr>
              <w:keepNext w:val="0"/>
              <w:spacing w:after="50" w:before="20" w:line="250" w:lineRule="auto"/>
            </w:pPr>
            <w:r>
              <w:rPr>
                <w:rFonts w:ascii="Arial" w:hAnsi="Arial"/>
                <w:sz w:val="18"/>
              </w:rPr>
              <w:t>Membership/SaaS billing service</w:t>
              <w:br/>
              <w:t>subscription_id, subscription_kind, period, state, contracted_recurring_amount, entitlements, invoice_ref</w:t>
            </w:r>
          </w:p>
        </w:tc>
        <w:tc>
          <w:tcPr>
            <w:tcW w:type="dxa" w:w="2736"/>
            <w:vAlign w:val="top"/>
          </w:tcPr>
          <w:p>
            <w:pPr>
              <w:keepNext w:val="0"/>
              <w:spacing w:after="50" w:before="20" w:line="250" w:lineRule="auto"/>
            </w:pPr>
            <w:r>
              <w:rPr>
                <w:rFonts w:ascii="Arial" w:hAnsi="Arial"/>
                <w:sz w:val="18"/>
              </w:rPr>
              <w:t>Separate tenant SaaS subscriptions from a tenant's client memberships; state change is not revenue recognition.</w:t>
            </w:r>
          </w:p>
        </w:tc>
      </w:tr>
      <w:tr>
        <w:trPr>
          <w:cantSplit/>
        </w:trPr>
        <w:tc>
          <w:tcPr>
            <w:tcW w:type="dxa" w:w="3024"/>
            <w:vAlign w:val="top"/>
            <w:shd w:fill="F3F6F7"/>
          </w:tcPr>
          <w:p>
            <w:pPr>
              <w:keepNext w:val="0"/>
              <w:spacing w:after="50" w:before="20" w:line="250" w:lineRule="auto"/>
            </w:pPr>
            <w:r>
              <w:rPr>
                <w:rFonts w:ascii="Arial" w:hAnsi="Arial"/>
                <w:b/>
                <w:sz w:val="18"/>
              </w:rPr>
              <w:t>E22  inventory_​movement_​posted</w:t>
            </w:r>
          </w:p>
        </w:tc>
        <w:tc>
          <w:tcPr>
            <w:tcW w:type="dxa" w:w="4464"/>
            <w:vAlign w:val="top"/>
            <w:shd w:fill="F3F6F7"/>
          </w:tcPr>
          <w:p>
            <w:pPr>
              <w:keepNext w:val="0"/>
              <w:spacing w:after="50" w:before="20" w:line="250" w:lineRule="auto"/>
            </w:pPr>
            <w:r>
              <w:rPr>
                <w:rFonts w:ascii="Arial" w:hAnsi="Arial"/>
                <w:sz w:val="18"/>
              </w:rPr>
              <w:t>Inventory ledger</w:t>
              <w:br/>
              <w:t>movement_id, SKU, lot, location, units, unit_cost, reason, reservation/fulfillment_ref, service_ref</w:t>
            </w:r>
          </w:p>
        </w:tc>
        <w:tc>
          <w:tcPr>
            <w:tcW w:type="dxa" w:w="2736"/>
            <w:vAlign w:val="top"/>
            <w:shd w:fill="F3F6F7"/>
          </w:tcPr>
          <w:p>
            <w:pPr>
              <w:keepNext w:val="0"/>
              <w:spacing w:after="50" w:before="20" w:line="250" w:lineRule="auto"/>
            </w:pPr>
            <w:r>
              <w:rPr>
                <w:rFonts w:ascii="Arial" w:hAnsi="Arial"/>
                <w:sz w:val="18"/>
              </w:rPr>
              <w:t>Enforce units of measure; one consumption event per actual movement; restricted lot-level clinical linkage.</w:t>
            </w:r>
          </w:p>
        </w:tc>
      </w:tr>
      <w:tr>
        <w:trPr>
          <w:cantSplit/>
        </w:trPr>
        <w:tc>
          <w:tcPr>
            <w:tcW w:type="dxa" w:w="3024"/>
            <w:vAlign w:val="top"/>
          </w:tcPr>
          <w:p>
            <w:pPr>
              <w:keepNext w:val="0"/>
              <w:spacing w:after="50" w:before="20" w:line="250" w:lineRule="auto"/>
            </w:pPr>
            <w:r>
              <w:rPr>
                <w:rFonts w:ascii="Arial" w:hAnsi="Arial"/>
                <w:b/>
                <w:sz w:val="18"/>
              </w:rPr>
              <w:t>E23  stock_​count_​completed</w:t>
            </w:r>
          </w:p>
        </w:tc>
        <w:tc>
          <w:tcPr>
            <w:tcW w:type="dxa" w:w="4464"/>
            <w:vAlign w:val="top"/>
          </w:tcPr>
          <w:p>
            <w:pPr>
              <w:keepNext w:val="0"/>
              <w:spacing w:after="50" w:before="20" w:line="250" w:lineRule="auto"/>
            </w:pPr>
            <w:r>
              <w:rPr>
                <w:rFonts w:ascii="Arial" w:hAnsi="Arial"/>
                <w:sz w:val="18"/>
              </w:rPr>
              <w:t>Inventory count service</w:t>
              <w:br/>
              <w:t>count_id, cutoff_at, SKU/lot/location, counted_units, ledger_snapshot_ref, approved_variance</w:t>
            </w:r>
          </w:p>
        </w:tc>
        <w:tc>
          <w:tcPr>
            <w:tcW w:type="dxa" w:w="2736"/>
            <w:vAlign w:val="top"/>
          </w:tcPr>
          <w:p>
            <w:pPr>
              <w:keepNext w:val="0"/>
              <w:spacing w:after="50" w:before="20" w:line="250" w:lineRule="auto"/>
            </w:pPr>
            <w:r>
              <w:rPr>
                <w:rFonts w:ascii="Arial" w:hAnsi="Arial"/>
                <w:sz w:val="18"/>
              </w:rPr>
              <w:t>Reconcile concurrent movements and retain recounts; approval does not erase original evidence.</w:t>
            </w:r>
          </w:p>
        </w:tc>
      </w:tr>
      <w:tr>
        <w:trPr>
          <w:cantSplit/>
        </w:trPr>
        <w:tc>
          <w:tcPr>
            <w:tcW w:type="dxa" w:w="3024"/>
            <w:vAlign w:val="top"/>
            <w:shd w:fill="F3F6F7"/>
          </w:tcPr>
          <w:p>
            <w:pPr>
              <w:keepNext w:val="0"/>
              <w:spacing w:after="50" w:before="20" w:line="250" w:lineRule="auto"/>
            </w:pPr>
            <w:r>
              <w:rPr>
                <w:rFonts w:ascii="Arial" w:hAnsi="Arial"/>
                <w:b/>
                <w:sz w:val="18"/>
              </w:rPr>
              <w:t>E24  time_​entry_​changed</w:t>
            </w:r>
          </w:p>
        </w:tc>
        <w:tc>
          <w:tcPr>
            <w:tcW w:type="dxa" w:w="4464"/>
            <w:vAlign w:val="top"/>
            <w:shd w:fill="F3F6F7"/>
          </w:tcPr>
          <w:p>
            <w:pPr>
              <w:keepNext w:val="0"/>
              <w:spacing w:after="50" w:before="20" w:line="250" w:lineRule="auto"/>
            </w:pPr>
            <w:r>
              <w:rPr>
                <w:rFonts w:ascii="Arial" w:hAnsi="Arial"/>
                <w:sz w:val="18"/>
              </w:rPr>
              <w:t>Timekeeping service</w:t>
              <w:br/>
              <w:t>time_entry_id, employee_id, period, work_type, start/end, approval, correction_ref</w:t>
            </w:r>
          </w:p>
        </w:tc>
        <w:tc>
          <w:tcPr>
            <w:tcW w:type="dxa" w:w="2736"/>
            <w:vAlign w:val="top"/>
            <w:shd w:fill="F3F6F7"/>
          </w:tcPr>
          <w:p>
            <w:pPr>
              <w:keepNext w:val="0"/>
              <w:spacing w:after="50" w:before="20" w:line="250" w:lineRule="auto"/>
            </w:pPr>
            <w:r>
              <w:rPr>
                <w:rFonts w:ascii="Arial" w:hAnsi="Arial"/>
                <w:sz w:val="18"/>
              </w:rPr>
              <w:t>Restricted employee data; changes need provenance and do not silently recalculate closed payroll.</w:t>
            </w:r>
          </w:p>
        </w:tc>
      </w:tr>
      <w:tr>
        <w:trPr>
          <w:cantSplit/>
        </w:trPr>
        <w:tc>
          <w:tcPr>
            <w:tcW w:type="dxa" w:w="3024"/>
            <w:vAlign w:val="top"/>
          </w:tcPr>
          <w:p>
            <w:pPr>
              <w:keepNext w:val="0"/>
              <w:spacing w:after="50" w:before="20" w:line="250" w:lineRule="auto"/>
            </w:pPr>
            <w:r>
              <w:rPr>
                <w:rFonts w:ascii="Arial" w:hAnsi="Arial"/>
                <w:b/>
                <w:sz w:val="18"/>
              </w:rPr>
              <w:t>E25  payroll_​allocation_​posted</w:t>
            </w:r>
          </w:p>
        </w:tc>
        <w:tc>
          <w:tcPr>
            <w:tcW w:type="dxa" w:w="4464"/>
            <w:vAlign w:val="top"/>
          </w:tcPr>
          <w:p>
            <w:pPr>
              <w:keepNext w:val="0"/>
              <w:spacing w:after="50" w:before="20" w:line="250" w:lineRule="auto"/>
            </w:pPr>
            <w:r>
              <w:rPr>
                <w:rFonts w:ascii="Arial" w:hAnsi="Arial"/>
                <w:sz w:val="18"/>
              </w:rPr>
              <w:t>Payroll/commission service or reconciled partner import</w:t>
              <w:br/>
              <w:t>allocation_id, employee_id, service_period, wage/commission/burden, rule_version, split_refs</w:t>
            </w:r>
          </w:p>
        </w:tc>
        <w:tc>
          <w:tcPr>
            <w:tcW w:type="dxa" w:w="2736"/>
            <w:vAlign w:val="top"/>
          </w:tcPr>
          <w:p>
            <w:pPr>
              <w:keepNext w:val="0"/>
              <w:spacing w:after="50" w:before="20" w:line="250" w:lineRule="auto"/>
            </w:pPr>
            <w:r>
              <w:rPr>
                <w:rFonts w:ascii="Arial" w:hAnsi="Arial"/>
                <w:sz w:val="18"/>
              </w:rPr>
              <w:t>No tax IDs in analytics; separate expected, approved, submitted and paid values.</w:t>
            </w:r>
          </w:p>
        </w:tc>
      </w:tr>
      <w:tr>
        <w:trPr>
          <w:cantSplit/>
        </w:trPr>
        <w:tc>
          <w:tcPr>
            <w:tcW w:type="dxa" w:w="3024"/>
            <w:vAlign w:val="top"/>
            <w:shd w:fill="F3F6F7"/>
          </w:tcPr>
          <w:p>
            <w:pPr>
              <w:keepNext w:val="0"/>
              <w:spacing w:after="50" w:before="20" w:line="250" w:lineRule="auto"/>
            </w:pPr>
            <w:r>
              <w:rPr>
                <w:rFonts w:ascii="Arial" w:hAnsi="Arial"/>
                <w:b/>
                <w:sz w:val="18"/>
              </w:rPr>
              <w:t>E26  document_​state_​changed</w:t>
            </w:r>
          </w:p>
        </w:tc>
        <w:tc>
          <w:tcPr>
            <w:tcW w:type="dxa" w:w="4464"/>
            <w:vAlign w:val="top"/>
            <w:shd w:fill="F3F6F7"/>
          </w:tcPr>
          <w:p>
            <w:pPr>
              <w:keepNext w:val="0"/>
              <w:spacing w:after="50" w:before="20" w:line="250" w:lineRule="auto"/>
            </w:pPr>
            <w:r>
              <w:rPr>
                <w:rFonts w:ascii="Arial" w:hAnsi="Arial"/>
                <w:sz w:val="18"/>
              </w:rPr>
              <w:t>Document/signature service</w:t>
              <w:br/>
              <w:t>document_id, template_version, visit_id, required_reason, submitted/signed/rework, signer_role, timing</w:t>
            </w:r>
          </w:p>
        </w:tc>
        <w:tc>
          <w:tcPr>
            <w:tcW w:type="dxa" w:w="2736"/>
            <w:vAlign w:val="top"/>
            <w:shd w:fill="F3F6F7"/>
          </w:tcPr>
          <w:p>
            <w:pPr>
              <w:keepNext w:val="0"/>
              <w:spacing w:after="50" w:before="20" w:line="250" w:lineRule="auto"/>
            </w:pPr>
            <w:r>
              <w:rPr>
                <w:rFonts w:ascii="Arial" w:hAnsi="Arial"/>
                <w:sz w:val="18"/>
              </w:rPr>
              <w:t>No document contents in analytics; preserve all issued originals, signed or unsigned and correction chains.</w:t>
            </w:r>
          </w:p>
        </w:tc>
      </w:tr>
      <w:tr>
        <w:trPr>
          <w:cantSplit/>
        </w:trPr>
        <w:tc>
          <w:tcPr>
            <w:tcW w:type="dxa" w:w="3024"/>
            <w:vAlign w:val="top"/>
          </w:tcPr>
          <w:p>
            <w:pPr>
              <w:keepNext w:val="0"/>
              <w:spacing w:after="50" w:before="20" w:line="250" w:lineRule="auto"/>
            </w:pPr>
            <w:r>
              <w:rPr>
                <w:rFonts w:ascii="Arial" w:hAnsi="Arial"/>
                <w:b/>
                <w:sz w:val="18"/>
              </w:rPr>
              <w:t>E27  media_​authorization_​changed</w:t>
            </w:r>
          </w:p>
        </w:tc>
        <w:tc>
          <w:tcPr>
            <w:tcW w:type="dxa" w:w="4464"/>
            <w:vAlign w:val="top"/>
          </w:tcPr>
          <w:p>
            <w:pPr>
              <w:keepNext w:val="0"/>
              <w:spacing w:after="50" w:before="20" w:line="250" w:lineRule="auto"/>
            </w:pPr>
            <w:r>
              <w:rPr>
                <w:rFonts w:ascii="Arial" w:hAnsi="Arial"/>
                <w:sz w:val="18"/>
              </w:rPr>
              <w:t>Media/consent service</w:t>
              <w:br/>
              <w:t>asset_id, client_id, visit_id, purpose_grants, expiry/revocation, authorization_ref</w:t>
            </w:r>
          </w:p>
        </w:tc>
        <w:tc>
          <w:tcPr>
            <w:tcW w:type="dxa" w:w="2736"/>
            <w:vAlign w:val="top"/>
          </w:tcPr>
          <w:p>
            <w:pPr>
              <w:keepNext w:val="0"/>
              <w:spacing w:after="50" w:before="20" w:line="250" w:lineRule="auto"/>
            </w:pPr>
            <w:r>
              <w:rPr>
                <w:rFonts w:ascii="Arial" w:hAnsi="Arial"/>
                <w:sz w:val="18"/>
              </w:rPr>
              <w:t>No images or biometric vectors in general analytics; revoke downstream use while retaining required audit evidence.</w:t>
            </w:r>
          </w:p>
        </w:tc>
      </w:tr>
      <w:tr>
        <w:trPr>
          <w:cantSplit/>
        </w:trPr>
        <w:tc>
          <w:tcPr>
            <w:tcW w:type="dxa" w:w="3024"/>
            <w:vAlign w:val="top"/>
            <w:shd w:fill="F3F6F7"/>
          </w:tcPr>
          <w:p>
            <w:pPr>
              <w:keepNext w:val="0"/>
              <w:spacing w:after="50" w:before="20" w:line="250" w:lineRule="auto"/>
            </w:pPr>
            <w:r>
              <w:rPr>
                <w:rFonts w:ascii="Arial" w:hAnsi="Arial"/>
                <w:b/>
                <w:sz w:val="18"/>
              </w:rPr>
              <w:t>E28  followup_​response_​recorded</w:t>
            </w:r>
          </w:p>
        </w:tc>
        <w:tc>
          <w:tcPr>
            <w:tcW w:type="dxa" w:w="4464"/>
            <w:vAlign w:val="top"/>
            <w:shd w:fill="F3F6F7"/>
          </w:tcPr>
          <w:p>
            <w:pPr>
              <w:keepNext w:val="0"/>
              <w:spacing w:after="50" w:before="20" w:line="250" w:lineRule="auto"/>
            </w:pPr>
            <w:r>
              <w:rPr>
                <w:rFonts w:ascii="Arial" w:hAnsi="Arial"/>
                <w:sz w:val="18"/>
              </w:rPr>
              <w:t>Client follow-up service</w:t>
              <w:br/>
              <w:t>response_id, visit_id, instrument_version, timestamp, permitted coded response, concern_state</w:t>
            </w:r>
          </w:p>
        </w:tc>
        <w:tc>
          <w:tcPr>
            <w:tcW w:type="dxa" w:w="2736"/>
            <w:vAlign w:val="top"/>
            <w:shd w:fill="F3F6F7"/>
          </w:tcPr>
          <w:p>
            <w:pPr>
              <w:keepNext w:val="0"/>
              <w:spacing w:after="50" w:before="20" w:line="250" w:lineRule="auto"/>
            </w:pPr>
            <w:r>
              <w:rPr>
                <w:rFonts w:ascii="Arial" w:hAnsi="Arial"/>
                <w:sz w:val="18"/>
              </w:rPr>
              <w:t>Sensitive answers stay in authorized operational stores; aggregate only approved coded measures.</w:t>
            </w:r>
          </w:p>
        </w:tc>
      </w:tr>
      <w:tr>
        <w:trPr>
          <w:cantSplit/>
        </w:trPr>
        <w:tc>
          <w:tcPr>
            <w:tcW w:type="dxa" w:w="3024"/>
            <w:vAlign w:val="top"/>
          </w:tcPr>
          <w:p>
            <w:pPr>
              <w:keepNext w:val="0"/>
              <w:spacing w:after="50" w:before="20" w:line="250" w:lineRule="auto"/>
            </w:pPr>
            <w:r>
              <w:rPr>
                <w:rFonts w:ascii="Arial" w:hAnsi="Arial"/>
                <w:b/>
                <w:sz w:val="18"/>
              </w:rPr>
              <w:t>E29  support_​case_​state_​changed</w:t>
            </w:r>
          </w:p>
        </w:tc>
        <w:tc>
          <w:tcPr>
            <w:tcW w:type="dxa" w:w="4464"/>
            <w:vAlign w:val="top"/>
          </w:tcPr>
          <w:p>
            <w:pPr>
              <w:keepNext w:val="0"/>
              <w:spacing w:after="50" w:before="20" w:line="250" w:lineRule="auto"/>
            </w:pPr>
            <w:r>
              <w:rPr>
                <w:rFonts w:ascii="Arial" w:hAnsi="Arial"/>
                <w:sz w:val="18"/>
              </w:rPr>
              <w:t>Support service</w:t>
              <w:br/>
              <w:t>case_id, tenant_id, severity, category, opened/resolved/reopened, assignment, resolution_code</w:t>
            </w:r>
          </w:p>
        </w:tc>
        <w:tc>
          <w:tcPr>
            <w:tcW w:type="dxa" w:w="2736"/>
            <w:vAlign w:val="top"/>
          </w:tcPr>
          <w:p>
            <w:pPr>
              <w:keepNext w:val="0"/>
              <w:spacing w:after="50" w:before="20" w:line="250" w:lineRule="auto"/>
            </w:pPr>
            <w:r>
              <w:rPr>
                <w:rFonts w:ascii="Arial" w:hAnsi="Arial"/>
                <w:sz w:val="18"/>
              </w:rPr>
              <w:t>Redacted case metadata only; no copied client records, secrets or payment details.</w:t>
            </w:r>
          </w:p>
        </w:tc>
      </w:tr>
      <w:tr>
        <w:trPr>
          <w:cantSplit/>
        </w:trPr>
        <w:tc>
          <w:tcPr>
            <w:tcW w:type="dxa" w:w="3024"/>
            <w:vAlign w:val="top"/>
            <w:shd w:fill="F3F6F7"/>
          </w:tcPr>
          <w:p>
            <w:pPr>
              <w:keepNext w:val="0"/>
              <w:spacing w:after="50" w:before="20" w:line="250" w:lineRule="auto"/>
            </w:pPr>
            <w:r>
              <w:rPr>
                <w:rFonts w:ascii="Arial" w:hAnsi="Arial"/>
                <w:b/>
                <w:sz w:val="18"/>
              </w:rPr>
              <w:t>E30  automation_​attempt_​recorded</w:t>
            </w:r>
          </w:p>
        </w:tc>
        <w:tc>
          <w:tcPr>
            <w:tcW w:type="dxa" w:w="4464"/>
            <w:vAlign w:val="top"/>
            <w:shd w:fill="F3F6F7"/>
          </w:tcPr>
          <w:p>
            <w:pPr>
              <w:keepNext w:val="0"/>
              <w:spacing w:after="50" w:before="20" w:line="250" w:lineRule="auto"/>
            </w:pPr>
            <w:r>
              <w:rPr>
                <w:rFonts w:ascii="Arial" w:hAnsi="Arial"/>
                <w:sz w:val="18"/>
              </w:rPr>
              <w:t>Automation/AI gateway and independent validator</w:t>
              <w:br/>
              <w:t>attempt_id, task/action_type, model/version, authorization_ref, validation_outcome, cost, latency, escalation/reversal_ref</w:t>
            </w:r>
          </w:p>
        </w:tc>
        <w:tc>
          <w:tcPr>
            <w:tcW w:type="dxa" w:w="2736"/>
            <w:vAlign w:val="top"/>
            <w:shd w:fill="F3F6F7"/>
          </w:tcPr>
          <w:p>
            <w:pPr>
              <w:keepNext w:val="0"/>
              <w:spacing w:after="50" w:before="20" w:line="250" w:lineRule="auto"/>
            </w:pPr>
            <w:r>
              <w:rPr>
                <w:rFonts w:ascii="Arial" w:hAnsi="Arial"/>
                <w:sz w:val="18"/>
              </w:rPr>
              <w:t>Do not log raw PHI/prompts by default; event ID, tool idempotency and tenant scope are mandatory.</w:t>
            </w:r>
          </w:p>
        </w:tc>
      </w:tr>
    </w:tbl>
    <w:p>
      <w:pPr>
        <w:spacing w:after="40" w:before="0" w:line="240" w:lineRule="auto"/>
      </w:pPr>
      <w:r>
        <w:rPr>
          <w:sz w:val="4"/>
        </w:rPr>
      </w:r>
    </w:p>
    <w:p>
      <w:pPr>
        <w:pStyle w:val="Heading2"/>
      </w:pPr>
      <w:r>
        <w:t>7 5 Acceptance gates for analytics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592"/>
        <w:gridCol w:w="7632"/>
      </w:tblGrid>
      <w:tr>
        <w:trPr>
          <w:tblHeader/>
        </w:trPr>
        <w:tc>
          <w:tcPr>
            <w:tcW w:type="dxa" w:w="2592"/>
            <w:vAlign w:val="top"/>
            <w:shd w:fill="173F50"/>
          </w:tcPr>
          <w:p>
            <w:pPr>
              <w:keepNext/>
              <w:spacing w:after="50" w:before="20" w:line="250" w:lineRule="auto"/>
            </w:pPr>
            <w:r>
              <w:rPr>
                <w:rFonts w:ascii="Arial" w:hAnsi="Arial"/>
                <w:b/>
                <w:color w:val="FFFFFF"/>
                <w:sz w:val="18"/>
              </w:rPr>
              <w:t>Gate</w:t>
            </w:r>
          </w:p>
        </w:tc>
        <w:tc>
          <w:tcPr>
            <w:tcW w:type="dxa" w:w="7632"/>
            <w:vAlign w:val="top"/>
            <w:shd w:fill="173F50"/>
          </w:tcPr>
          <w:p>
            <w:pPr>
              <w:keepNext/>
              <w:spacing w:after="50" w:before="20" w:line="250" w:lineRule="auto"/>
            </w:pPr>
            <w:r>
              <w:rPr>
                <w:rFonts w:ascii="Arial" w:hAnsi="Arial"/>
                <w:b/>
                <w:color w:val="FFFFFF"/>
                <w:sz w:val="18"/>
              </w:rPr>
              <w:t>Demonstration required</w:t>
            </w:r>
          </w:p>
        </w:tc>
      </w:tr>
      <w:tr>
        <w:trPr>
          <w:cantSplit/>
        </w:trPr>
        <w:tc>
          <w:tcPr>
            <w:tcW w:type="dxa" w:w="2592"/>
            <w:vAlign w:val="top"/>
          </w:tcPr>
          <w:p>
            <w:pPr>
              <w:keepNext w:val="0"/>
              <w:spacing w:after="50" w:before="20" w:line="250" w:lineRule="auto"/>
            </w:pPr>
            <w:r>
              <w:rPr>
                <w:rFonts w:ascii="Arial" w:hAnsi="Arial"/>
                <w:b/>
                <w:sz w:val="18"/>
              </w:rPr>
              <w:t>AT01  Money conservation</w:t>
            </w:r>
          </w:p>
        </w:tc>
        <w:tc>
          <w:tcPr>
            <w:tcW w:type="dxa" w:w="7632"/>
            <w:vAlign w:val="top"/>
          </w:tcPr>
          <w:p>
            <w:pPr>
              <w:keepNext w:val="0"/>
              <w:spacing w:after="50" w:before="20" w:line="250" w:lineRule="auto"/>
            </w:pPr>
            <w:r>
              <w:rPr>
                <w:rFonts w:ascii="Arial" w:hAnsi="Arial"/>
                <w:sz w:val="18"/>
              </w:rPr>
              <w:t>A synthetic package/deposit/gift/tip/tax/refund/split-tender scenario must reconcile orders, allocations, liabilities, processor settlements and bank payouts to the minor unit. Every difference is explained.</w:t>
            </w:r>
          </w:p>
        </w:tc>
      </w:tr>
      <w:tr>
        <w:trPr>
          <w:cantSplit/>
        </w:trPr>
        <w:tc>
          <w:tcPr>
            <w:tcW w:type="dxa" w:w="2592"/>
            <w:vAlign w:val="top"/>
            <w:shd w:fill="F3F6F7"/>
          </w:tcPr>
          <w:p>
            <w:pPr>
              <w:keepNext w:val="0"/>
              <w:spacing w:after="50" w:before="20" w:line="250" w:lineRule="auto"/>
            </w:pPr>
            <w:r>
              <w:rPr>
                <w:rFonts w:ascii="Arial" w:hAnsi="Arial"/>
                <w:b/>
                <w:sz w:val="18"/>
              </w:rPr>
              <w:t>AT02  Replay and retry</w:t>
            </w:r>
          </w:p>
        </w:tc>
        <w:tc>
          <w:tcPr>
            <w:tcW w:type="dxa" w:w="7632"/>
            <w:vAlign w:val="top"/>
            <w:shd w:fill="F3F6F7"/>
          </w:tcPr>
          <w:p>
            <w:pPr>
              <w:keepNext w:val="0"/>
              <w:spacing w:after="50" w:before="20" w:line="250" w:lineRule="auto"/>
            </w:pPr>
            <w:r>
              <w:rPr>
                <w:rFonts w:ascii="Arial" w:hAnsi="Arial"/>
                <w:sz w:val="18"/>
              </w:rPr>
              <w:t>Replaying the same booking/payment/provider callback or out-of-order event leaves every total unchanged and creates no extra booking, charge or credit redemption.</w:t>
            </w:r>
          </w:p>
        </w:tc>
      </w:tr>
      <w:tr>
        <w:trPr>
          <w:cantSplit/>
        </w:trPr>
        <w:tc>
          <w:tcPr>
            <w:tcW w:type="dxa" w:w="2592"/>
            <w:vAlign w:val="top"/>
          </w:tcPr>
          <w:p>
            <w:pPr>
              <w:keepNext w:val="0"/>
              <w:spacing w:after="50" w:before="20" w:line="250" w:lineRule="auto"/>
            </w:pPr>
            <w:r>
              <w:rPr>
                <w:rFonts w:ascii="Arial" w:hAnsi="Arial"/>
                <w:b/>
                <w:sz w:val="18"/>
              </w:rPr>
              <w:t>AT03  Cohort maturity</w:t>
            </w:r>
          </w:p>
        </w:tc>
        <w:tc>
          <w:tcPr>
            <w:tcW w:type="dxa" w:w="7632"/>
            <w:vAlign w:val="top"/>
          </w:tcPr>
          <w:p>
            <w:pPr>
              <w:keepNext w:val="0"/>
              <w:spacing w:after="50" w:before="20" w:line="250" w:lineRule="auto"/>
            </w:pPr>
            <w:r>
              <w:rPr>
                <w:rFonts w:ascii="Arial" w:hAnsi="Arial"/>
                <w:sz w:val="18"/>
              </w:rPr>
              <w:t>A client observed for 29 days never enters a 30-day retention denominator; a second service within the original visit never counts as a return.</w:t>
            </w:r>
          </w:p>
        </w:tc>
      </w:tr>
      <w:tr>
        <w:trPr>
          <w:cantSplit/>
        </w:trPr>
        <w:tc>
          <w:tcPr>
            <w:tcW w:type="dxa" w:w="2592"/>
            <w:vAlign w:val="top"/>
            <w:shd w:fill="F3F6F7"/>
          </w:tcPr>
          <w:p>
            <w:pPr>
              <w:keepNext w:val="0"/>
              <w:spacing w:after="50" w:before="20" w:line="250" w:lineRule="auto"/>
            </w:pPr>
            <w:r>
              <w:rPr>
                <w:rFonts w:ascii="Arial" w:hAnsi="Arial"/>
                <w:b/>
                <w:sz w:val="18"/>
              </w:rPr>
              <w:t>AT04  Resource mathematics</w:t>
            </w:r>
          </w:p>
        </w:tc>
        <w:tc>
          <w:tcPr>
            <w:tcW w:type="dxa" w:w="7632"/>
            <w:vAlign w:val="top"/>
            <w:shd w:fill="F3F6F7"/>
          </w:tcPr>
          <w:p>
            <w:pPr>
              <w:keepNext w:val="0"/>
              <w:spacing w:after="50" w:before="20" w:line="250" w:lineRule="auto"/>
            </w:pPr>
            <w:r>
              <w:rPr>
                <w:rFonts w:ascii="Arial" w:hAnsi="Arial"/>
                <w:sz w:val="18"/>
              </w:rPr>
              <w:t>Overlapping provider intervals count once. A processing phase can leave a chair occupied while provider capacity is released. Booked and completed utilization use explicitly named denominators.</w:t>
            </w:r>
          </w:p>
        </w:tc>
      </w:tr>
      <w:tr>
        <w:trPr>
          <w:cantSplit/>
        </w:trPr>
        <w:tc>
          <w:tcPr>
            <w:tcW w:type="dxa" w:w="2592"/>
            <w:vAlign w:val="top"/>
          </w:tcPr>
          <w:p>
            <w:pPr>
              <w:keepNext w:val="0"/>
              <w:spacing w:after="50" w:before="20" w:line="250" w:lineRule="auto"/>
            </w:pPr>
            <w:r>
              <w:rPr>
                <w:rFonts w:ascii="Arial" w:hAnsi="Arial"/>
                <w:b/>
                <w:sz w:val="18"/>
              </w:rPr>
              <w:t>AT05  Period and timezone</w:t>
            </w:r>
          </w:p>
        </w:tc>
        <w:tc>
          <w:tcPr>
            <w:tcW w:type="dxa" w:w="7632"/>
            <w:vAlign w:val="top"/>
          </w:tcPr>
          <w:p>
            <w:pPr>
              <w:keepNext w:val="0"/>
              <w:spacing w:after="50" w:before="20" w:line="250" w:lineRule="auto"/>
            </w:pPr>
            <w:r>
              <w:rPr>
                <w:rFonts w:ascii="Arial" w:hAnsi="Arial"/>
                <w:sz w:val="18"/>
              </w:rPr>
              <w:t>Local midnight, daylight-saving transitions, reschedules across reporting boundaries and late refunds produce the declared cohort and ledger treatment.</w:t>
            </w:r>
          </w:p>
        </w:tc>
      </w:tr>
      <w:tr>
        <w:trPr>
          <w:cantSplit/>
        </w:trPr>
        <w:tc>
          <w:tcPr>
            <w:tcW w:type="dxa" w:w="2592"/>
            <w:vAlign w:val="top"/>
            <w:shd w:fill="F3F6F7"/>
          </w:tcPr>
          <w:p>
            <w:pPr>
              <w:keepNext w:val="0"/>
              <w:spacing w:after="50" w:before="20" w:line="250" w:lineRule="auto"/>
            </w:pPr>
            <w:r>
              <w:rPr>
                <w:rFonts w:ascii="Arial" w:hAnsi="Arial"/>
                <w:b/>
                <w:sz w:val="18"/>
              </w:rPr>
              <w:t>AT06  Role and tenant isolation</w:t>
            </w:r>
          </w:p>
        </w:tc>
        <w:tc>
          <w:tcPr>
            <w:tcW w:type="dxa" w:w="7632"/>
            <w:vAlign w:val="top"/>
            <w:shd w:fill="F3F6F7"/>
          </w:tcPr>
          <w:p>
            <w:pPr>
              <w:keepNext w:val="0"/>
              <w:spacing w:after="50" w:before="20" w:line="250" w:lineRule="auto"/>
            </w:pPr>
            <w:r>
              <w:rPr>
                <w:rFonts w:ascii="Arial" w:hAnsi="Arial"/>
                <w:sz w:val="18"/>
              </w:rPr>
              <w:t>A staff member sees only allowed own/team data. Cross-tenant access and unauthorized clinical/payroll drilldown are release blockers, including CSV and assistant queries.</w:t>
            </w:r>
          </w:p>
        </w:tc>
      </w:tr>
      <w:tr>
        <w:trPr>
          <w:cantSplit/>
        </w:trPr>
        <w:tc>
          <w:tcPr>
            <w:tcW w:type="dxa" w:w="2592"/>
            <w:vAlign w:val="top"/>
          </w:tcPr>
          <w:p>
            <w:pPr>
              <w:keepNext w:val="0"/>
              <w:spacing w:after="50" w:before="20" w:line="250" w:lineRule="auto"/>
            </w:pPr>
            <w:r>
              <w:rPr>
                <w:rFonts w:ascii="Arial" w:hAnsi="Arial"/>
                <w:b/>
                <w:sz w:val="18"/>
              </w:rPr>
              <w:t>AT07  Unknowns and freshness</w:t>
            </w:r>
          </w:p>
        </w:tc>
        <w:tc>
          <w:tcPr>
            <w:tcW w:type="dxa" w:w="7632"/>
            <w:vAlign w:val="top"/>
          </w:tcPr>
          <w:p>
            <w:pPr>
              <w:keepNext w:val="0"/>
              <w:spacing w:after="50" w:before="20" w:line="250" w:lineRule="auto"/>
            </w:pPr>
            <w:r>
              <w:rPr>
                <w:rFonts w:ascii="Arial" w:hAnsi="Arial"/>
                <w:sz w:val="18"/>
              </w:rPr>
              <w:t>Missing cost, failed import, stale settlement or incomplete history creates a visible partial/stale label; no silent zero filling or fabricated exact profitability.</w:t>
            </w:r>
          </w:p>
        </w:tc>
      </w:tr>
      <w:tr>
        <w:trPr>
          <w:cantSplit/>
        </w:trPr>
        <w:tc>
          <w:tcPr>
            <w:tcW w:type="dxa" w:w="2592"/>
            <w:vAlign w:val="top"/>
            <w:shd w:fill="F3F6F7"/>
          </w:tcPr>
          <w:p>
            <w:pPr>
              <w:keepNext w:val="0"/>
              <w:spacing w:after="50" w:before="20" w:line="250" w:lineRule="auto"/>
            </w:pPr>
            <w:r>
              <w:rPr>
                <w:rFonts w:ascii="Arial" w:hAnsi="Arial"/>
                <w:b/>
                <w:sz w:val="18"/>
              </w:rPr>
              <w:t>AT08  Action-to-result trace</w:t>
            </w:r>
          </w:p>
        </w:tc>
        <w:tc>
          <w:tcPr>
            <w:tcW w:type="dxa" w:w="7632"/>
            <w:vAlign w:val="top"/>
            <w:shd w:fill="F3F6F7"/>
          </w:tcPr>
          <w:p>
            <w:pPr>
              <w:keepNext w:val="0"/>
              <w:spacing w:after="50" w:before="20" w:line="250" w:lineRule="auto"/>
            </w:pPr>
            <w:r>
              <w:rPr>
                <w:rFonts w:ascii="Arial" w:hAnsi="Arial"/>
                <w:sz w:val="18"/>
              </w:rPr>
              <w:t>A dashboard recommendation opens its exact supporting records and proposed action. The operator sees audience, cost, required authorization and expected effect before execution.</w:t>
            </w:r>
          </w:p>
        </w:tc>
      </w:tr>
      <w:tr>
        <w:trPr>
          <w:cantSplit/>
        </w:trPr>
        <w:tc>
          <w:tcPr>
            <w:tcW w:type="dxa" w:w="2592"/>
            <w:vAlign w:val="top"/>
          </w:tcPr>
          <w:p>
            <w:pPr>
              <w:keepNext w:val="0"/>
              <w:spacing w:after="50" w:before="20" w:line="250" w:lineRule="auto"/>
            </w:pPr>
            <w:r>
              <w:rPr>
                <w:rFonts w:ascii="Arial" w:hAnsi="Arial"/>
                <w:b/>
                <w:sz w:val="18"/>
              </w:rPr>
              <w:t>AT09  Experiment validity</w:t>
            </w:r>
          </w:p>
        </w:tc>
        <w:tc>
          <w:tcPr>
            <w:tcW w:type="dxa" w:w="7632"/>
            <w:vAlign w:val="top"/>
          </w:tcPr>
          <w:p>
            <w:pPr>
              <w:keepNext w:val="0"/>
              <w:spacing w:after="50" w:before="20" w:line="250" w:lineRule="auto"/>
            </w:pPr>
            <w:r>
              <w:rPr>
                <w:rFonts w:ascii="Arial" w:hAnsi="Arial"/>
                <w:sz w:val="18"/>
              </w:rPr>
              <w:t>Assignment precedes exposure; treatment/control cannot switch retrospectively. Results show sample size, window and uncertainty; underpowered experiments remain inconclusive.</w:t>
            </w:r>
          </w:p>
        </w:tc>
      </w:tr>
      <w:tr>
        <w:trPr>
          <w:cantSplit/>
        </w:trPr>
        <w:tc>
          <w:tcPr>
            <w:tcW w:type="dxa" w:w="2592"/>
            <w:vAlign w:val="top"/>
            <w:shd w:fill="F3F6F7"/>
          </w:tcPr>
          <w:p>
            <w:pPr>
              <w:keepNext w:val="0"/>
              <w:spacing w:after="50" w:before="20" w:line="250" w:lineRule="auto"/>
            </w:pPr>
            <w:r>
              <w:rPr>
                <w:rFonts w:ascii="Arial" w:hAnsi="Arial"/>
                <w:b/>
                <w:sz w:val="18"/>
              </w:rPr>
              <w:t>AT10  AI measurement</w:t>
            </w:r>
          </w:p>
        </w:tc>
        <w:tc>
          <w:tcPr>
            <w:tcW w:type="dxa" w:w="7632"/>
            <w:vAlign w:val="top"/>
            <w:shd w:fill="F3F6F7"/>
          </w:tcPr>
          <w:p>
            <w:pPr>
              <w:keepNext w:val="0"/>
              <w:spacing w:after="50" w:before="20" w:line="250" w:lineRule="auto"/>
            </w:pPr>
            <w:r>
              <w:rPr>
                <w:rFonts w:ascii="Arial" w:hAnsi="Arial"/>
                <w:sz w:val="18"/>
              </w:rPr>
              <w:t>Success comes from independent domain checks and sampled review. All retries/fallbacks are included in costs; an incorrect cheap response never improves the successful-task denominator.</w:t>
            </w:r>
          </w:p>
        </w:tc>
      </w:tr>
      <w:tr>
        <w:trPr>
          <w:cantSplit/>
        </w:trPr>
        <w:tc>
          <w:tcPr>
            <w:tcW w:type="dxa" w:w="2592"/>
            <w:vAlign w:val="top"/>
          </w:tcPr>
          <w:p>
            <w:pPr>
              <w:keepNext w:val="0"/>
              <w:spacing w:after="50" w:before="20" w:line="250" w:lineRule="auto"/>
            </w:pPr>
            <w:r>
              <w:rPr>
                <w:rFonts w:ascii="Arial" w:hAnsi="Arial"/>
                <w:b/>
                <w:sz w:val="18"/>
              </w:rPr>
              <w:t>AT11  Usability targets</w:t>
            </w:r>
          </w:p>
        </w:tc>
        <w:tc>
          <w:tcPr>
            <w:tcW w:type="dxa" w:w="7632"/>
            <w:vAlign w:val="top"/>
          </w:tcPr>
          <w:p>
            <w:pPr>
              <w:keepNext w:val="0"/>
              <w:spacing w:after="50" w:before="20" w:line="250" w:lineRule="auto"/>
            </w:pPr>
            <w:r>
              <w:rPr>
                <w:rFonts w:ascii="Arial" w:hAnsi="Arial"/>
                <w:sz w:val="18"/>
              </w:rPr>
              <w:t>Set explicit test-device and task goals before usability studies. Measure booking, rebooking, checkout, document completion and refund tasks with real operators; targets are proposed goals, not achieved performance claims.</w:t>
            </w:r>
          </w:p>
        </w:tc>
      </w:tr>
      <w:tr>
        <w:trPr>
          <w:cantSplit/>
        </w:trPr>
        <w:tc>
          <w:tcPr>
            <w:tcW w:type="dxa" w:w="2592"/>
            <w:vAlign w:val="top"/>
            <w:shd w:fill="F3F6F7"/>
          </w:tcPr>
          <w:p>
            <w:pPr>
              <w:keepNext w:val="0"/>
              <w:spacing w:after="50" w:before="20" w:line="250" w:lineRule="auto"/>
            </w:pPr>
            <w:r>
              <w:rPr>
                <w:rFonts w:ascii="Arial" w:hAnsi="Arial"/>
                <w:b/>
                <w:sz w:val="18"/>
              </w:rPr>
              <w:t>AT12  Financial and clinical release gates</w:t>
            </w:r>
          </w:p>
        </w:tc>
        <w:tc>
          <w:tcPr>
            <w:tcW w:type="dxa" w:w="7632"/>
            <w:vAlign w:val="top"/>
            <w:shd w:fill="F3F6F7"/>
          </w:tcPr>
          <w:p>
            <w:pPr>
              <w:keepNext w:val="0"/>
              <w:spacing w:after="50" w:before="20" w:line="250" w:lineRule="auto"/>
            </w:pPr>
            <w:r>
              <w:rPr>
                <w:rFonts w:ascii="Arial" w:hAnsi="Arial"/>
                <w:sz w:val="18"/>
              </w:rPr>
              <w:t>Accountant/payroll reviewers approve financial definitions and mappings. Licensed clinical reviewers approve clinical measures and escalation rules before medical workflows launch.</w:t>
            </w:r>
          </w:p>
        </w:tc>
      </w:tr>
    </w:tbl>
    <w:p>
      <w:bookmarkStart w:id="9" w:name="people"/>
      <w:pPr>
        <w:pStyle w:val="Heading1"/>
        <w:pageBreakBefore/>
      </w:pPr>
      <w:r>
        <w:t>8 Recruitment and partner requirements</w:t>
      </w:r>
      <w:bookmarkEnd w:id="9"/>
    </w:p>
    <w:p>
      <w:r>
        <w:t>Recruitment flags distinguish contractors or advisers, approved commercial partners and recruited external networks. Payment, messaging and payroll relationships must be established before their live workflows launch. [R02, R03, R05] No people were contacted or recruited for this report.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448"/>
        <w:gridCol w:w="4176"/>
        <w:gridCol w:w="3600"/>
      </w:tblGrid>
      <w:tr>
        <w:trPr>
          <w:tblHeader/>
        </w:trPr>
        <w:tc>
          <w:tcPr>
            <w:tcW w:type="dxa" w:w="2448"/>
            <w:vAlign w:val="top"/>
            <w:shd w:fill="173F50"/>
          </w:tcPr>
          <w:p>
            <w:pPr>
              <w:keepNext/>
              <w:spacing w:after="50" w:before="20" w:line="250" w:lineRule="auto"/>
            </w:pPr>
            <w:r>
              <w:rPr>
                <w:rFonts w:ascii="Arial" w:hAnsi="Arial"/>
                <w:b/>
                <w:color w:val="FFFFFF"/>
                <w:sz w:val="18"/>
              </w:rPr>
              <w:t>Code and role</w:t>
            </w:r>
          </w:p>
        </w:tc>
        <w:tc>
          <w:tcPr>
            <w:tcW w:type="dxa" w:w="4176"/>
            <w:vAlign w:val="top"/>
            <w:shd w:fill="173F50"/>
          </w:tcPr>
          <w:p>
            <w:pPr>
              <w:keepNext/>
              <w:spacing w:after="50" w:before="20" w:line="250" w:lineRule="auto"/>
            </w:pPr>
            <w:r>
              <w:rPr>
                <w:rFonts w:ascii="Arial" w:hAnsi="Arial"/>
                <w:b/>
                <w:color w:val="FFFFFF"/>
                <w:sz w:val="18"/>
              </w:rPr>
              <w:t>Who is needed</w:t>
            </w:r>
          </w:p>
        </w:tc>
        <w:tc>
          <w:tcPr>
            <w:tcW w:type="dxa" w:w="3600"/>
            <w:vAlign w:val="top"/>
            <w:shd w:fill="173F50"/>
          </w:tcPr>
          <w:p>
            <w:pPr>
              <w:keepNext/>
              <w:spacing w:after="50" w:before="20" w:line="250" w:lineRule="auto"/>
            </w:pPr>
            <w:r>
              <w:rPr>
                <w:rFonts w:ascii="Arial" w:hAnsi="Arial"/>
                <w:b/>
                <w:color w:val="FFFFFF"/>
                <w:sz w:val="18"/>
              </w:rPr>
              <w:t>When and operating implication</w:t>
            </w:r>
          </w:p>
        </w:tc>
      </w:tr>
      <w:tr>
        <w:trPr>
          <w:cantSplit/>
        </w:trPr>
        <w:tc>
          <w:tcPr>
            <w:tcW w:type="dxa" w:w="2448"/>
            <w:vAlign w:val="top"/>
          </w:tcPr>
          <w:p>
            <w:pPr>
              <w:keepNext w:val="0"/>
              <w:spacing w:after="50" w:before="20" w:line="250" w:lineRule="auto"/>
            </w:pPr>
            <w:r>
              <w:rPr>
                <w:rFonts w:ascii="Arial" w:hAnsi="Arial"/>
                <w:b/>
                <w:sz w:val="18"/>
              </w:rPr>
              <w:t>CORE  Core product team</w:t>
            </w:r>
          </w:p>
        </w:tc>
        <w:tc>
          <w:tcPr>
            <w:tcW w:type="dxa" w:w="4176"/>
            <w:vAlign w:val="top"/>
          </w:tcPr>
          <w:p>
            <w:pPr>
              <w:keepNext w:val="0"/>
              <w:spacing w:after="50" w:before="20" w:line="250" w:lineRule="auto"/>
            </w:pPr>
            <w:r>
              <w:rPr>
                <w:rFonts w:ascii="Arial" w:hAnsi="Arial"/>
                <w:sz w:val="18"/>
              </w:rPr>
              <w:t>Product designer and engineers with QA ownership. No separate profession or network must be recruited for the feature.</w:t>
            </w:r>
          </w:p>
        </w:tc>
        <w:tc>
          <w:tcPr>
            <w:tcW w:type="dxa" w:w="3600"/>
            <w:vAlign w:val="top"/>
          </w:tcPr>
          <w:p>
            <w:pPr>
              <w:keepNext w:val="0"/>
              <w:spacing w:after="50" w:before="20" w:line="250" w:lineRule="auto"/>
            </w:pPr>
            <w:r>
              <w:rPr>
                <w:rFonts w:ascii="Arial" w:hAnsi="Arial"/>
                <w:sz w:val="18"/>
              </w:rPr>
              <w:t>All features need the core team; this label does not mean no labor.</w:t>
            </w:r>
          </w:p>
        </w:tc>
      </w:tr>
      <w:tr>
        <w:trPr>
          <w:cantSplit/>
        </w:trPr>
        <w:tc>
          <w:tcPr>
            <w:tcW w:type="dxa" w:w="2448"/>
            <w:vAlign w:val="top"/>
            <w:shd w:fill="F3F6F7"/>
          </w:tcPr>
          <w:p>
            <w:pPr>
              <w:keepNext w:val="0"/>
              <w:spacing w:after="50" w:before="20" w:line="250" w:lineRule="auto"/>
            </w:pPr>
            <w:r>
              <w:rPr>
                <w:rFonts w:ascii="Arial" w:hAnsi="Arial"/>
                <w:b/>
                <w:sz w:val="18"/>
              </w:rPr>
              <w:t>UX  Usability and accessibility</w:t>
            </w:r>
          </w:p>
        </w:tc>
        <w:tc>
          <w:tcPr>
            <w:tcW w:type="dxa" w:w="4176"/>
            <w:vAlign w:val="top"/>
            <w:shd w:fill="F3F6F7"/>
          </w:tcPr>
          <w:p>
            <w:pPr>
              <w:keepNext w:val="0"/>
              <w:spacing w:after="50" w:before="20" w:line="250" w:lineRule="auto"/>
            </w:pPr>
            <w:r>
              <w:rPr>
                <w:rFonts w:ascii="Arial" w:hAnsi="Arial"/>
                <w:sz w:val="18"/>
              </w:rPr>
              <w:t>An experienced product designer, accessibility specialist and representative paid test participants.</w:t>
            </w:r>
          </w:p>
        </w:tc>
        <w:tc>
          <w:tcPr>
            <w:tcW w:type="dxa" w:w="3600"/>
            <w:vAlign w:val="top"/>
            <w:shd w:fill="F3F6F7"/>
          </w:tcPr>
          <w:p>
            <w:pPr>
              <w:keepNext w:val="0"/>
              <w:spacing w:after="50" w:before="20" w:line="250" w:lineRule="auto"/>
            </w:pPr>
            <w:r>
              <w:rPr>
                <w:rFonts w:ascii="Arial" w:hAnsi="Arial"/>
                <w:sz w:val="18"/>
              </w:rPr>
              <w:t>Before the first pilot; include clients with low digital confidence and disabled users.</w:t>
            </w:r>
          </w:p>
        </w:tc>
      </w:tr>
      <w:tr>
        <w:trPr>
          <w:cantSplit/>
        </w:trPr>
        <w:tc>
          <w:tcPr>
            <w:tcW w:type="dxa" w:w="2448"/>
            <w:vAlign w:val="top"/>
          </w:tcPr>
          <w:p>
            <w:pPr>
              <w:keepNext w:val="0"/>
              <w:spacing w:after="50" w:before="20" w:line="250" w:lineRule="auto"/>
            </w:pPr>
            <w:r>
              <w:rPr>
                <w:rFonts w:ascii="Arial" w:hAnsi="Arial"/>
                <w:b/>
                <w:sz w:val="18"/>
              </w:rPr>
              <w:t>DES  Brand and template design</w:t>
            </w:r>
          </w:p>
        </w:tc>
        <w:tc>
          <w:tcPr>
            <w:tcW w:type="dxa" w:w="4176"/>
            <w:vAlign w:val="top"/>
          </w:tcPr>
          <w:p>
            <w:pPr>
              <w:keepNext w:val="0"/>
              <w:spacing w:after="50" w:before="20" w:line="250" w:lineRule="auto"/>
            </w:pPr>
            <w:r>
              <w:rPr>
                <w:rFonts w:ascii="Arial" w:hAnsi="Arial"/>
                <w:sz w:val="18"/>
              </w:rPr>
              <w:t>Contract visual designer or licensed template creator.</w:t>
            </w:r>
          </w:p>
        </w:tc>
        <w:tc>
          <w:tcPr>
            <w:tcW w:type="dxa" w:w="3600"/>
            <w:vAlign w:val="top"/>
          </w:tcPr>
          <w:p>
            <w:pPr>
              <w:keepNext w:val="0"/>
              <w:spacing w:after="50" w:before="20" w:line="250" w:lineRule="auto"/>
            </w:pPr>
            <w:r>
              <w:rPr>
                <w:rFonts w:ascii="Arial" w:hAnsi="Arial"/>
                <w:sz w:val="18"/>
              </w:rPr>
              <w:t>Before shipping the branded template library; ongoing curation can be fractional.</w:t>
            </w:r>
          </w:p>
        </w:tc>
      </w:tr>
      <w:tr>
        <w:trPr>
          <w:cantSplit/>
        </w:trPr>
        <w:tc>
          <w:tcPr>
            <w:tcW w:type="dxa" w:w="2448"/>
            <w:vAlign w:val="top"/>
            <w:shd w:fill="F3F6F7"/>
          </w:tcPr>
          <w:p>
            <w:pPr>
              <w:keepNext w:val="0"/>
              <w:spacing w:after="50" w:before="20" w:line="250" w:lineRule="auto"/>
            </w:pPr>
            <w:r>
              <w:rPr>
                <w:rFonts w:ascii="Arial" w:hAnsi="Arial"/>
                <w:b/>
                <w:sz w:val="18"/>
              </w:rPr>
              <w:t>LEG  Legal and privacy review</w:t>
            </w:r>
          </w:p>
        </w:tc>
        <w:tc>
          <w:tcPr>
            <w:tcW w:type="dxa" w:w="4176"/>
            <w:vAlign w:val="top"/>
            <w:shd w:fill="F3F6F7"/>
          </w:tcPr>
          <w:p>
            <w:pPr>
              <w:keepNext w:val="0"/>
              <w:spacing w:after="50" w:before="20" w:line="250" w:lineRule="auto"/>
            </w:pPr>
            <w:r>
              <w:rPr>
                <w:rFonts w:ascii="Arial" w:hAnsi="Arial"/>
                <w:sz w:val="18"/>
              </w:rPr>
              <w:t>Counsel familiar with contracts, consumer billing, privacy and relevant state rules.</w:t>
            </w:r>
          </w:p>
        </w:tc>
        <w:tc>
          <w:tcPr>
            <w:tcW w:type="dxa" w:w="3600"/>
            <w:vAlign w:val="top"/>
            <w:shd w:fill="F3F6F7"/>
          </w:tcPr>
          <w:p>
            <w:pPr>
              <w:keepNext w:val="0"/>
              <w:spacing w:after="50" w:before="20" w:line="250" w:lineRule="auto"/>
            </w:pPr>
            <w:r>
              <w:rPr>
                <w:rFonts w:ascii="Arial" w:hAnsi="Arial"/>
                <w:sz w:val="18"/>
              </w:rPr>
              <w:t>Before publishing policies, signatures, clinical records, messaging and renter workflows.</w:t>
            </w:r>
          </w:p>
        </w:tc>
      </w:tr>
      <w:tr>
        <w:trPr>
          <w:cantSplit/>
        </w:trPr>
        <w:tc>
          <w:tcPr>
            <w:tcW w:type="dxa" w:w="2448"/>
            <w:vAlign w:val="top"/>
          </w:tcPr>
          <w:p>
            <w:pPr>
              <w:keepNext w:val="0"/>
              <w:spacing w:after="50" w:before="20" w:line="250" w:lineRule="auto"/>
            </w:pPr>
            <w:r>
              <w:rPr>
                <w:rFonts w:ascii="Arial" w:hAnsi="Arial"/>
                <w:b/>
                <w:sz w:val="18"/>
              </w:rPr>
              <w:t>CLIN  Qualified service or clinical expertise</w:t>
            </w:r>
          </w:p>
        </w:tc>
        <w:tc>
          <w:tcPr>
            <w:tcW w:type="dxa" w:w="4176"/>
            <w:vAlign w:val="top"/>
          </w:tcPr>
          <w:p>
            <w:pPr>
              <w:keepNext w:val="0"/>
              <w:spacing w:after="50" w:before="20" w:line="250" w:lineRule="auto"/>
            </w:pPr>
            <w:r>
              <w:rPr>
                <w:rFonts w:ascii="Arial" w:hAnsi="Arial"/>
                <w:sz w:val="18"/>
              </w:rPr>
              <w:t>Licensed estheticians or relevant beauty professionals for service content; licensed medical clinicians for medical workflows.</w:t>
            </w:r>
          </w:p>
        </w:tc>
        <w:tc>
          <w:tcPr>
            <w:tcW w:type="dxa" w:w="3600"/>
            <w:vAlign w:val="top"/>
          </w:tcPr>
          <w:p>
            <w:pPr>
              <w:keepNext w:val="0"/>
              <w:spacing w:after="50" w:before="20" w:line="250" w:lineRule="auto"/>
            </w:pPr>
            <w:r>
              <w:rPr>
                <w:rFonts w:ascii="Arial" w:hAnsi="Arial"/>
                <w:sz w:val="18"/>
              </w:rPr>
              <w:t>Before approving service rules, treatment templates or medical features. An esthetician does not substitute for a prescriber.</w:t>
            </w:r>
          </w:p>
        </w:tc>
      </w:tr>
      <w:tr>
        <w:trPr>
          <w:cantSplit/>
        </w:trPr>
        <w:tc>
          <w:tcPr>
            <w:tcW w:type="dxa" w:w="2448"/>
            <w:vAlign w:val="top"/>
            <w:shd w:fill="F3F6F7"/>
          </w:tcPr>
          <w:p>
            <w:pPr>
              <w:keepNext w:val="0"/>
              <w:spacing w:after="50" w:before="20" w:line="250" w:lineRule="auto"/>
            </w:pPr>
            <w:r>
              <w:rPr>
                <w:rFonts w:ascii="Arial" w:hAnsi="Arial"/>
                <w:b/>
                <w:sz w:val="18"/>
              </w:rPr>
              <w:t>FIN  Accounting and payroll expertise</w:t>
            </w:r>
          </w:p>
        </w:tc>
        <w:tc>
          <w:tcPr>
            <w:tcW w:type="dxa" w:w="4176"/>
            <w:vAlign w:val="top"/>
            <w:shd w:fill="F3F6F7"/>
          </w:tcPr>
          <w:p>
            <w:pPr>
              <w:keepNext w:val="0"/>
              <w:spacing w:after="50" w:before="20" w:line="250" w:lineRule="auto"/>
            </w:pPr>
            <w:r>
              <w:rPr>
                <w:rFonts w:ascii="Arial" w:hAnsi="Arial"/>
                <w:sz w:val="18"/>
              </w:rPr>
              <w:t>CPA/bookkeeper and payroll specialist for ledger, recognition, commissions, tips and tax mapping.</w:t>
            </w:r>
          </w:p>
        </w:tc>
        <w:tc>
          <w:tcPr>
            <w:tcW w:type="dxa" w:w="3600"/>
            <w:vAlign w:val="top"/>
            <w:shd w:fill="F3F6F7"/>
          </w:tcPr>
          <w:p>
            <w:pPr>
              <w:keepNext w:val="0"/>
              <w:spacing w:after="50" w:before="20" w:line="250" w:lineRule="auto"/>
            </w:pPr>
            <w:r>
              <w:rPr>
                <w:rFonts w:ascii="Arial" w:hAnsi="Arial"/>
                <w:sz w:val="18"/>
              </w:rPr>
              <w:t>Before taking live money or exporting payroll. Contract expertise is sufficient initially.</w:t>
            </w:r>
          </w:p>
        </w:tc>
      </w:tr>
      <w:tr>
        <w:trPr>
          <w:cantSplit/>
        </w:trPr>
        <w:tc>
          <w:tcPr>
            <w:tcW w:type="dxa" w:w="2448"/>
            <w:vAlign w:val="top"/>
          </w:tcPr>
          <w:p>
            <w:pPr>
              <w:keepNext w:val="0"/>
              <w:spacing w:after="50" w:before="20" w:line="250" w:lineRule="auto"/>
            </w:pPr>
            <w:r>
              <w:rPr>
                <w:rFonts w:ascii="Arial" w:hAnsi="Arial"/>
                <w:b/>
                <w:sz w:val="18"/>
              </w:rPr>
              <w:t>PAY  Payment and risk partnership</w:t>
            </w:r>
          </w:p>
        </w:tc>
        <w:tc>
          <w:tcPr>
            <w:tcW w:type="dxa" w:w="4176"/>
            <w:vAlign w:val="top"/>
          </w:tcPr>
          <w:p>
            <w:pPr>
              <w:keepNext w:val="0"/>
              <w:spacing w:after="50" w:before="20" w:line="250" w:lineRule="auto"/>
            </w:pPr>
            <w:r>
              <w:rPr>
                <w:rFonts w:ascii="Arial" w:hAnsi="Arial"/>
                <w:sz w:val="18"/>
              </w:rPr>
              <w:t>Processor/platform account partner plus someone accountable for reconciliation, disputes and merchant onboarding.</w:t>
            </w:r>
          </w:p>
        </w:tc>
        <w:tc>
          <w:tcPr>
            <w:tcW w:type="dxa" w:w="3600"/>
            <w:vAlign w:val="top"/>
          </w:tcPr>
          <w:p>
            <w:pPr>
              <w:keepNext w:val="0"/>
              <w:spacing w:after="50" w:before="20" w:line="250" w:lineRule="auto"/>
            </w:pPr>
            <w:r>
              <w:rPr>
                <w:rFonts w:ascii="Arial" w:hAnsi="Arial"/>
                <w:sz w:val="18"/>
              </w:rPr>
              <w:t>Before payment launch. An API integration does not remove risk and support obligations.</w:t>
            </w:r>
          </w:p>
        </w:tc>
      </w:tr>
      <w:tr>
        <w:trPr>
          <w:cantSplit/>
        </w:trPr>
        <w:tc>
          <w:tcPr>
            <w:tcW w:type="dxa" w:w="2448"/>
            <w:vAlign w:val="top"/>
            <w:shd w:fill="F3F6F7"/>
          </w:tcPr>
          <w:p>
            <w:pPr>
              <w:keepNext w:val="0"/>
              <w:spacing w:after="50" w:before="20" w:line="250" w:lineRule="auto"/>
            </w:pPr>
            <w:r>
              <w:rPr>
                <w:rFonts w:ascii="Arial" w:hAnsi="Arial"/>
                <w:b/>
                <w:sz w:val="18"/>
              </w:rPr>
              <w:t>MSG  Messaging and telephony operations</w:t>
            </w:r>
          </w:p>
        </w:tc>
        <w:tc>
          <w:tcPr>
            <w:tcW w:type="dxa" w:w="4176"/>
            <w:vAlign w:val="top"/>
            <w:shd w:fill="F3F6F7"/>
          </w:tcPr>
          <w:p>
            <w:pPr>
              <w:keepNext w:val="0"/>
              <w:spacing w:after="50" w:before="20" w:line="250" w:lineRule="auto"/>
            </w:pPr>
            <w:r>
              <w:rPr>
                <w:rFonts w:ascii="Arial" w:hAnsi="Arial"/>
                <w:sz w:val="18"/>
              </w:rPr>
              <w:t>Email/SMS/voice provider and deliverability owner.</w:t>
            </w:r>
          </w:p>
        </w:tc>
        <w:tc>
          <w:tcPr>
            <w:tcW w:type="dxa" w:w="3600"/>
            <w:vAlign w:val="top"/>
            <w:shd w:fill="F3F6F7"/>
          </w:tcPr>
          <w:p>
            <w:pPr>
              <w:keepNext w:val="0"/>
              <w:spacing w:after="50" w:before="20" w:line="250" w:lineRule="auto"/>
            </w:pPr>
            <w:r>
              <w:rPr>
                <w:rFonts w:ascii="Arial" w:hAnsi="Arial"/>
                <w:sz w:val="18"/>
              </w:rPr>
              <w:t>Before live automated messages; maintain consent, sender registration and escalation.</w:t>
            </w:r>
          </w:p>
        </w:tc>
      </w:tr>
      <w:tr>
        <w:trPr>
          <w:cantSplit/>
        </w:trPr>
        <w:tc>
          <w:tcPr>
            <w:tcW w:type="dxa" w:w="2448"/>
            <w:vAlign w:val="top"/>
          </w:tcPr>
          <w:p>
            <w:pPr>
              <w:keepNext w:val="0"/>
              <w:spacing w:after="50" w:before="20" w:line="250" w:lineRule="auto"/>
            </w:pPr>
            <w:r>
              <w:rPr>
                <w:rFonts w:ascii="Arial" w:hAnsi="Arial"/>
                <w:b/>
                <w:sz w:val="18"/>
              </w:rPr>
              <w:t>MIG  Migration support</w:t>
            </w:r>
          </w:p>
        </w:tc>
        <w:tc>
          <w:tcPr>
            <w:tcW w:type="dxa" w:w="4176"/>
            <w:vAlign w:val="top"/>
          </w:tcPr>
          <w:p>
            <w:pPr>
              <w:keepNext w:val="0"/>
              <w:spacing w:after="50" w:before="20" w:line="250" w:lineRule="auto"/>
            </w:pPr>
            <w:r>
              <w:rPr>
                <w:rFonts w:ascii="Arial" w:hAnsi="Arial"/>
                <w:sz w:val="18"/>
              </w:rPr>
              <w:t>A specialist or trained operator who can map exports, reconcile records and supervise cutovers.</w:t>
            </w:r>
          </w:p>
        </w:tc>
        <w:tc>
          <w:tcPr>
            <w:tcW w:type="dxa" w:w="3600"/>
            <w:vAlign w:val="top"/>
          </w:tcPr>
          <w:p>
            <w:pPr>
              <w:keepNext w:val="0"/>
              <w:spacing w:after="50" w:before="20" w:line="250" w:lineRule="auto"/>
            </w:pPr>
            <w:r>
              <w:rPr>
                <w:rFonts w:ascii="Arial" w:hAnsi="Arial"/>
                <w:sz w:val="18"/>
              </w:rPr>
              <w:t>Before the first businesses migrate. A self-service importer alone will not cover every vendor format.</w:t>
            </w:r>
          </w:p>
        </w:tc>
      </w:tr>
      <w:tr>
        <w:trPr>
          <w:cantSplit/>
        </w:trPr>
        <w:tc>
          <w:tcPr>
            <w:tcW w:type="dxa" w:w="2448"/>
            <w:vAlign w:val="top"/>
            <w:shd w:fill="F3F6F7"/>
          </w:tcPr>
          <w:p>
            <w:pPr>
              <w:keepNext w:val="0"/>
              <w:spacing w:after="50" w:before="20" w:line="250" w:lineRule="auto"/>
            </w:pPr>
            <w:r>
              <w:rPr>
                <w:rFonts w:ascii="Arial" w:hAnsi="Arial"/>
                <w:b/>
                <w:sz w:val="18"/>
              </w:rPr>
              <w:t>OPS  Human service and reliability operations</w:t>
            </w:r>
          </w:p>
        </w:tc>
        <w:tc>
          <w:tcPr>
            <w:tcW w:type="dxa" w:w="4176"/>
            <w:vAlign w:val="top"/>
            <w:shd w:fill="F3F6F7"/>
          </w:tcPr>
          <w:p>
            <w:pPr>
              <w:keepNext w:val="0"/>
              <w:spacing w:after="50" w:before="20" w:line="250" w:lineRule="auto"/>
            </w:pPr>
            <w:r>
              <w:rPr>
                <w:rFonts w:ascii="Arial" w:hAnsi="Arial"/>
                <w:sz w:val="18"/>
              </w:rPr>
              <w:t>Named support agents, incident owner and rotation appropriate to promised coverage.</w:t>
            </w:r>
          </w:p>
        </w:tc>
        <w:tc>
          <w:tcPr>
            <w:tcW w:type="dxa" w:w="3600"/>
            <w:vAlign w:val="top"/>
            <w:shd w:fill="F3F6F7"/>
          </w:tcPr>
          <w:p>
            <w:pPr>
              <w:keepNext w:val="0"/>
              <w:spacing w:after="50" w:before="20" w:line="250" w:lineRule="auto"/>
            </w:pPr>
            <w:r>
              <w:rPr>
                <w:rFonts w:ascii="Arial" w:hAnsi="Arial"/>
                <w:sz w:val="18"/>
              </w:rPr>
              <w:t>Before promising support hours or service guarantees. Start with defined hours instead of fictional 24/7 coverage.</w:t>
            </w:r>
          </w:p>
        </w:tc>
      </w:tr>
      <w:tr>
        <w:trPr>
          <w:cantSplit/>
        </w:trPr>
        <w:tc>
          <w:tcPr>
            <w:tcW w:type="dxa" w:w="2448"/>
            <w:vAlign w:val="top"/>
          </w:tcPr>
          <w:p>
            <w:pPr>
              <w:keepNext w:val="0"/>
              <w:spacing w:after="50" w:before="20" w:line="250" w:lineRule="auto"/>
            </w:pPr>
            <w:r>
              <w:rPr>
                <w:rFonts w:ascii="Arial" w:hAnsi="Arial"/>
                <w:b/>
                <w:sz w:val="18"/>
              </w:rPr>
              <w:t>SEC  Security and privacy engineering</w:t>
            </w:r>
          </w:p>
        </w:tc>
        <w:tc>
          <w:tcPr>
            <w:tcW w:type="dxa" w:w="4176"/>
            <w:vAlign w:val="top"/>
          </w:tcPr>
          <w:p>
            <w:pPr>
              <w:keepNext w:val="0"/>
              <w:spacing w:after="50" w:before="20" w:line="250" w:lineRule="auto"/>
            </w:pPr>
            <w:r>
              <w:rPr>
                <w:rFonts w:ascii="Arial" w:hAnsi="Arial"/>
                <w:sz w:val="18"/>
              </w:rPr>
              <w:t>Experienced security engineer and independent testing support.</w:t>
            </w:r>
          </w:p>
        </w:tc>
        <w:tc>
          <w:tcPr>
            <w:tcW w:type="dxa" w:w="3600"/>
            <w:vAlign w:val="top"/>
          </w:tcPr>
          <w:p>
            <w:pPr>
              <w:keepNext w:val="0"/>
              <w:spacing w:after="50" w:before="20" w:line="250" w:lineRule="auto"/>
            </w:pPr>
            <w:r>
              <w:rPr>
                <w:rFonts w:ascii="Arial" w:hAnsi="Arial"/>
                <w:sz w:val="18"/>
              </w:rPr>
              <w:t>Design from the start; review before handling sensitive records and financial actions.</w:t>
            </w:r>
          </w:p>
        </w:tc>
      </w:tr>
      <w:tr>
        <w:trPr>
          <w:cantSplit/>
        </w:trPr>
        <w:tc>
          <w:tcPr>
            <w:tcW w:type="dxa" w:w="2448"/>
            <w:vAlign w:val="top"/>
            <w:shd w:fill="F3F6F7"/>
          </w:tcPr>
          <w:p>
            <w:pPr>
              <w:keepNext w:val="0"/>
              <w:spacing w:after="50" w:before="20" w:line="250" w:lineRule="auto"/>
            </w:pPr>
            <w:r>
              <w:rPr>
                <w:rFonts w:ascii="Arial" w:hAnsi="Arial"/>
                <w:b/>
                <w:sz w:val="18"/>
              </w:rPr>
              <w:t>DATA  Analytics and experimentation</w:t>
            </w:r>
          </w:p>
        </w:tc>
        <w:tc>
          <w:tcPr>
            <w:tcW w:type="dxa" w:w="4176"/>
            <w:vAlign w:val="top"/>
            <w:shd w:fill="F3F6F7"/>
          </w:tcPr>
          <w:p>
            <w:pPr>
              <w:keepNext w:val="0"/>
              <w:spacing w:after="50" w:before="20" w:line="250" w:lineRule="auto"/>
            </w:pPr>
            <w:r>
              <w:rPr>
                <w:rFonts w:ascii="Arial" w:hAnsi="Arial"/>
                <w:sz w:val="18"/>
              </w:rPr>
              <w:t>Analytics engineer or data scientist with metric and model evaluation experience.</w:t>
            </w:r>
          </w:p>
        </w:tc>
        <w:tc>
          <w:tcPr>
            <w:tcW w:type="dxa" w:w="3600"/>
            <w:vAlign w:val="top"/>
            <w:shd w:fill="F3F6F7"/>
          </w:tcPr>
          <w:p>
            <w:pPr>
              <w:keepNext w:val="0"/>
              <w:spacing w:after="50" w:before="20" w:line="250" w:lineRule="auto"/>
            </w:pPr>
            <w:r>
              <w:rPr>
                <w:rFonts w:ascii="Arial" w:hAnsi="Arial"/>
                <w:sz w:val="18"/>
              </w:rPr>
              <w:t>Start metric ownership at foundation; add specialist modeling only when useful data exist.</w:t>
            </w:r>
          </w:p>
        </w:tc>
      </w:tr>
      <w:tr>
        <w:trPr>
          <w:cantSplit/>
        </w:trPr>
        <w:tc>
          <w:tcPr>
            <w:tcW w:type="dxa" w:w="2448"/>
            <w:vAlign w:val="top"/>
          </w:tcPr>
          <w:p>
            <w:pPr>
              <w:keepNext w:val="0"/>
              <w:spacing w:after="50" w:before="20" w:line="250" w:lineRule="auto"/>
            </w:pPr>
            <w:r>
              <w:rPr>
                <w:rFonts w:ascii="Arial" w:hAnsi="Arial"/>
                <w:b/>
                <w:sz w:val="18"/>
              </w:rPr>
              <w:t>AI  Applied AI engineering</w:t>
            </w:r>
          </w:p>
        </w:tc>
        <w:tc>
          <w:tcPr>
            <w:tcW w:type="dxa" w:w="4176"/>
            <w:vAlign w:val="top"/>
          </w:tcPr>
          <w:p>
            <w:pPr>
              <w:keepNext w:val="0"/>
              <w:spacing w:after="50" w:before="20" w:line="250" w:lineRule="auto"/>
            </w:pPr>
            <w:r>
              <w:rPr>
                <w:rFonts w:ascii="Arial" w:hAnsi="Arial"/>
                <w:sz w:val="18"/>
              </w:rPr>
              <w:t>Engineer experienced in evaluated tool use, uncertain outputs, prompt injection and cost controls.</w:t>
            </w:r>
          </w:p>
        </w:tc>
        <w:tc>
          <w:tcPr>
            <w:tcW w:type="dxa" w:w="3600"/>
            <w:vAlign w:val="top"/>
          </w:tcPr>
          <w:p>
            <w:pPr>
              <w:keepNext w:val="0"/>
              <w:spacing w:after="50" w:before="20" w:line="250" w:lineRule="auto"/>
            </w:pPr>
            <w:r>
              <w:rPr>
                <w:rFonts w:ascii="Arial" w:hAnsi="Arial"/>
                <w:sz w:val="18"/>
              </w:rPr>
              <w:t>Before transactional assistants or clinical drafts; maintain a representative evaluation set.</w:t>
            </w:r>
          </w:p>
        </w:tc>
      </w:tr>
      <w:tr>
        <w:trPr>
          <w:cantSplit/>
        </w:trPr>
        <w:tc>
          <w:tcPr>
            <w:tcW w:type="dxa" w:w="2448"/>
            <w:vAlign w:val="top"/>
            <w:shd w:fill="F3F6F7"/>
          </w:tcPr>
          <w:p>
            <w:pPr>
              <w:keepNext w:val="0"/>
              <w:spacing w:after="50" w:before="20" w:line="250" w:lineRule="auto"/>
            </w:pPr>
            <w:r>
              <w:rPr>
                <w:rFonts w:ascii="Arial" w:hAnsi="Arial"/>
                <w:b/>
                <w:sz w:val="18"/>
              </w:rPr>
              <w:t>PART  External commercial or platform partner</w:t>
            </w:r>
          </w:p>
        </w:tc>
        <w:tc>
          <w:tcPr>
            <w:tcW w:type="dxa" w:w="4176"/>
            <w:vAlign w:val="top"/>
            <w:shd w:fill="F3F6F7"/>
          </w:tcPr>
          <w:p>
            <w:pPr>
              <w:keepNext w:val="0"/>
              <w:spacing w:after="50" w:before="20" w:line="250" w:lineRule="auto"/>
            </w:pPr>
            <w:r>
              <w:rPr>
                <w:rFonts w:ascii="Arial" w:hAnsi="Arial"/>
                <w:sz w:val="18"/>
              </w:rPr>
              <w:t>Approved API, payment, payroll, map, distributor, device, store or other integration partner.</w:t>
            </w:r>
          </w:p>
        </w:tc>
        <w:tc>
          <w:tcPr>
            <w:tcW w:type="dxa" w:w="3600"/>
            <w:vAlign w:val="top"/>
            <w:shd w:fill="F3F6F7"/>
          </w:tcPr>
          <w:p>
            <w:pPr>
              <w:keepNext w:val="0"/>
              <w:spacing w:after="50" w:before="20" w:line="250" w:lineRule="auto"/>
            </w:pPr>
            <w:r>
              <w:rPr>
                <w:rFonts w:ascii="Arial" w:hAnsi="Arial"/>
                <w:sz w:val="18"/>
              </w:rPr>
              <w:t>Access and contractual permission must be confirmed before promising the feature.</w:t>
            </w:r>
          </w:p>
        </w:tc>
      </w:tr>
      <w:tr>
        <w:trPr>
          <w:cantSplit/>
        </w:trPr>
        <w:tc>
          <w:tcPr>
            <w:tcW w:type="dxa" w:w="2448"/>
            <w:vAlign w:val="top"/>
          </w:tcPr>
          <w:p>
            <w:pPr>
              <w:keepNext w:val="0"/>
              <w:spacing w:after="50" w:before="20" w:line="250" w:lineRule="auto"/>
            </w:pPr>
            <w:r>
              <w:rPr>
                <w:rFonts w:ascii="Arial" w:hAnsi="Arial"/>
                <w:b/>
                <w:sz w:val="18"/>
              </w:rPr>
              <w:t>NET  Recruit an external network</w:t>
            </w:r>
          </w:p>
        </w:tc>
        <w:tc>
          <w:tcPr>
            <w:tcW w:type="dxa" w:w="4176"/>
            <w:vAlign w:val="top"/>
          </w:tcPr>
          <w:p>
            <w:pPr>
              <w:keepNext w:val="0"/>
              <w:spacing w:after="50" w:before="20" w:line="250" w:lineRule="auto"/>
            </w:pPr>
            <w:r>
              <w:rPr>
                <w:rFonts w:ascii="Arial" w:hAnsi="Arial"/>
                <w:sz w:val="18"/>
              </w:rPr>
              <w:t>Customers, providers, template creators, clinicians, substitutes or suppliers, depending on the row.</w:t>
            </w:r>
          </w:p>
        </w:tc>
        <w:tc>
          <w:tcPr>
            <w:tcW w:type="dxa" w:w="3600"/>
            <w:vAlign w:val="top"/>
          </w:tcPr>
          <w:p>
            <w:pPr>
              <w:keepNext w:val="0"/>
              <w:spacing w:after="50" w:before="20" w:line="250" w:lineRule="auto"/>
            </w:pPr>
            <w:r>
              <w:rPr>
                <w:rFonts w:ascii="Arial" w:hAnsi="Arial"/>
                <w:sz w:val="18"/>
              </w:rPr>
              <w:t>This is an additional operating business with acquisition, quality and dispute costs.</w:t>
            </w:r>
          </w:p>
        </w:tc>
      </w:tr>
      <w:tr>
        <w:trPr>
          <w:cantSplit/>
        </w:trPr>
        <w:tc>
          <w:tcPr>
            <w:tcW w:type="dxa" w:w="2448"/>
            <w:vAlign w:val="top"/>
            <w:shd w:fill="F3F6F7"/>
          </w:tcPr>
          <w:p>
            <w:pPr>
              <w:keepNext w:val="0"/>
              <w:spacing w:after="50" w:before="20" w:line="250" w:lineRule="auto"/>
            </w:pPr>
            <w:r>
              <w:rPr>
                <w:rFonts w:ascii="Arial" w:hAnsi="Arial"/>
                <w:b/>
                <w:sz w:val="18"/>
              </w:rPr>
              <w:t>LANG  Language review</w:t>
            </w:r>
          </w:p>
        </w:tc>
        <w:tc>
          <w:tcPr>
            <w:tcW w:type="dxa" w:w="4176"/>
            <w:vAlign w:val="top"/>
            <w:shd w:fill="F3F6F7"/>
          </w:tcPr>
          <w:p>
            <w:pPr>
              <w:keepNext w:val="0"/>
              <w:spacing w:after="50" w:before="20" w:line="250" w:lineRule="auto"/>
            </w:pPr>
            <w:r>
              <w:rPr>
                <w:rFonts w:ascii="Arial" w:hAnsi="Arial"/>
                <w:sz w:val="18"/>
              </w:rPr>
              <w:t>Qualified translators and local reviewers for policies and service content.</w:t>
            </w:r>
          </w:p>
        </w:tc>
        <w:tc>
          <w:tcPr>
            <w:tcW w:type="dxa" w:w="3600"/>
            <w:vAlign w:val="top"/>
            <w:shd w:fill="F3F6F7"/>
          </w:tcPr>
          <w:p>
            <w:pPr>
              <w:keepNext w:val="0"/>
              <w:spacing w:after="50" w:before="20" w:line="250" w:lineRule="auto"/>
            </w:pPr>
            <w:r>
              <w:rPr>
                <w:rFonts w:ascii="Arial" w:hAnsi="Arial"/>
                <w:sz w:val="18"/>
              </w:rPr>
              <w:t>Before enabling a supported language for consequential documents.</w:t>
            </w:r>
          </w:p>
        </w:tc>
      </w:tr>
    </w:tbl>
    <w:p>
      <w:pPr>
        <w:spacing w:after="40" w:before="0" w:line="240" w:lineRule="auto"/>
      </w:pPr>
      <w:r>
        <w:rPr>
          <w:sz w:val="4"/>
        </w:rPr>
      </w:r>
    </w:p>
    <w:p>
      <w:pPr>
        <w:pStyle w:val="Heading2"/>
      </w:pPr>
      <w:r>
        <w:t>8 1 A practical initial team</w:t>
      </w:r>
    </w:p>
    <w:p>
      <w:r>
        <w:t>Initially cover product/design, transactional backend and accessible interfaces, QA/reliability, support, migration and template editing. Contract qualified accounting, payments, legal/privacy and security expertise where needed; compensate representative research participants. These are functions, not a fixed headcount. A qualified person may cover several.</w:t>
      </w:r>
    </w:p>
    <w:p>
      <w:r>
        <w:t>Migration and support must exist before live switching; promise actual coverage hours. Self-service design needs no delivery network. A managed design service or creator marketplace needs recruited capacity.</w:t>
      </w:r>
    </w:p>
    <w:p>
      <w:pPr>
        <w:pStyle w:val="Heading2"/>
      </w:pPr>
      <w:r>
        <w:t>8 2 Features that create an additional operating business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232"/>
        <w:gridCol w:w="4320"/>
        <w:gridCol w:w="3672"/>
      </w:tblGrid>
      <w:tr>
        <w:trPr>
          <w:tblHeader/>
        </w:trPr>
        <w:tc>
          <w:tcPr>
            <w:tcW w:type="dxa" w:w="2232"/>
            <w:vAlign w:val="top"/>
            <w:shd w:fill="173F50"/>
          </w:tcPr>
          <w:p>
            <w:pPr>
              <w:keepNext/>
              <w:spacing w:after="50" w:before="20" w:line="250" w:lineRule="auto"/>
            </w:pPr>
            <w:r>
              <w:rPr>
                <w:rFonts w:ascii="Arial" w:hAnsi="Arial"/>
                <w:b/>
                <w:color w:val="FFFFFF"/>
                <w:sz w:val="18"/>
              </w:rPr>
              <w:t>Feature cluster</w:t>
            </w:r>
          </w:p>
        </w:tc>
        <w:tc>
          <w:tcPr>
            <w:tcW w:type="dxa" w:w="4320"/>
            <w:vAlign w:val="top"/>
            <w:shd w:fill="173F50"/>
          </w:tcPr>
          <w:p>
            <w:pPr>
              <w:keepNext/>
              <w:spacing w:after="50" w:before="20" w:line="250" w:lineRule="auto"/>
            </w:pPr>
            <w:r>
              <w:rPr>
                <w:rFonts w:ascii="Arial" w:hAnsi="Arial"/>
                <w:b/>
                <w:color w:val="FFFFFF"/>
                <w:sz w:val="18"/>
              </w:rPr>
              <w:t>Additional requirement</w:t>
            </w:r>
          </w:p>
        </w:tc>
        <w:tc>
          <w:tcPr>
            <w:tcW w:type="dxa" w:w="3672"/>
            <w:vAlign w:val="top"/>
            <w:shd w:fill="173F50"/>
          </w:tcPr>
          <w:p>
            <w:pPr>
              <w:keepNext/>
              <w:spacing w:after="50" w:before="20" w:line="250" w:lineRule="auto"/>
            </w:pPr>
            <w:r>
              <w:rPr>
                <w:rFonts w:ascii="Arial" w:hAnsi="Arial"/>
                <w:b/>
                <w:color w:val="FFFFFF"/>
                <w:sz w:val="18"/>
              </w:rPr>
              <w:t>Decision before building</w:t>
            </w:r>
          </w:p>
        </w:tc>
      </w:tr>
      <w:tr>
        <w:trPr>
          <w:cantSplit/>
        </w:trPr>
        <w:tc>
          <w:tcPr>
            <w:tcW w:type="dxa" w:w="2232"/>
            <w:vAlign w:val="top"/>
          </w:tcPr>
          <w:p>
            <w:pPr>
              <w:keepNext w:val="0"/>
              <w:spacing w:after="50" w:before="20" w:line="250" w:lineRule="auto"/>
            </w:pPr>
            <w:r>
              <w:rPr>
                <w:rFonts w:ascii="Arial" w:hAnsi="Arial"/>
                <w:sz w:val="18"/>
              </w:rPr>
              <w:t>F156 expert templates</w:t>
            </w:r>
          </w:p>
        </w:tc>
        <w:tc>
          <w:tcPr>
            <w:tcW w:type="dxa" w:w="4320"/>
            <w:vAlign w:val="top"/>
          </w:tcPr>
          <w:p>
            <w:pPr>
              <w:keepNext w:val="0"/>
              <w:spacing w:after="50" w:before="20" w:line="250" w:lineRule="auto"/>
            </w:pPr>
            <w:r>
              <w:rPr>
                <w:rFonts w:ascii="Arial" w:hAnsi="Arial"/>
                <w:sz w:val="18"/>
              </w:rPr>
              <w:t>Recruit creators/reviewers; manage licensing, updates and quality.</w:t>
            </w:r>
          </w:p>
        </w:tc>
        <w:tc>
          <w:tcPr>
            <w:tcW w:type="dxa" w:w="3672"/>
            <w:vAlign w:val="top"/>
          </w:tcPr>
          <w:p>
            <w:pPr>
              <w:keepNext w:val="0"/>
              <w:spacing w:after="50" w:before="20" w:line="250" w:lineRule="auto"/>
            </w:pPr>
            <w:r>
              <w:rPr>
                <w:rFonts w:ascii="Arial" w:hAnsi="Arial"/>
                <w:sz w:val="18"/>
              </w:rPr>
              <w:t>Can a curated in-house library prove demand first?</w:t>
            </w:r>
          </w:p>
        </w:tc>
      </w:tr>
      <w:tr>
        <w:trPr>
          <w:cantSplit/>
        </w:trPr>
        <w:tc>
          <w:tcPr>
            <w:tcW w:type="dxa" w:w="2232"/>
            <w:vAlign w:val="top"/>
            <w:shd w:fill="F3F6F7"/>
          </w:tcPr>
          <w:p>
            <w:pPr>
              <w:keepNext w:val="0"/>
              <w:spacing w:after="50" w:before="20" w:line="250" w:lineRule="auto"/>
            </w:pPr>
            <w:r>
              <w:rPr>
                <w:rFonts w:ascii="Arial" w:hAnsi="Arial"/>
                <w:sz w:val="18"/>
              </w:rPr>
              <w:t>F157 care exchange</w:t>
            </w:r>
          </w:p>
        </w:tc>
        <w:tc>
          <w:tcPr>
            <w:tcW w:type="dxa" w:w="4320"/>
            <w:vAlign w:val="top"/>
            <w:shd w:fill="F3F6F7"/>
          </w:tcPr>
          <w:p>
            <w:pPr>
              <w:keepNext w:val="0"/>
              <w:spacing w:after="50" w:before="20" w:line="250" w:lineRule="auto"/>
            </w:pPr>
            <w:r>
              <w:rPr>
                <w:rFonts w:ascii="Arial" w:hAnsi="Arial"/>
                <w:sz w:val="18"/>
              </w:rPr>
              <w:t>Basic export/share needs no network. Interoperable exchange needs willing receiving businesses and integration agreements.</w:t>
            </w:r>
          </w:p>
        </w:tc>
        <w:tc>
          <w:tcPr>
            <w:tcW w:type="dxa" w:w="3672"/>
            <w:vAlign w:val="top"/>
            <w:shd w:fill="F3F6F7"/>
          </w:tcPr>
          <w:p>
            <w:pPr>
              <w:keepNext w:val="0"/>
              <w:spacing w:after="50" w:before="20" w:line="250" w:lineRule="auto"/>
            </w:pPr>
            <w:r>
              <w:rPr>
                <w:rFonts w:ascii="Arial" w:hAnsi="Arial"/>
                <w:sz w:val="18"/>
              </w:rPr>
              <w:t>Is a client-controlled file/link enough for the first useful version?</w:t>
            </w:r>
          </w:p>
        </w:tc>
      </w:tr>
      <w:tr>
        <w:trPr>
          <w:cantSplit/>
        </w:trPr>
        <w:tc>
          <w:tcPr>
            <w:tcW w:type="dxa" w:w="2232"/>
            <w:vAlign w:val="top"/>
          </w:tcPr>
          <w:p>
            <w:pPr>
              <w:keepNext w:val="0"/>
              <w:spacing w:after="50" w:before="20" w:line="250" w:lineRule="auto"/>
            </w:pPr>
            <w:r>
              <w:rPr>
                <w:rFonts w:ascii="Arial" w:hAnsi="Arial"/>
                <w:sz w:val="18"/>
              </w:rPr>
              <w:t>F164 and F180 coverage</w:t>
            </w:r>
          </w:p>
        </w:tc>
        <w:tc>
          <w:tcPr>
            <w:tcW w:type="dxa" w:w="4320"/>
            <w:vAlign w:val="top"/>
          </w:tcPr>
          <w:p>
            <w:pPr>
              <w:keepNext w:val="0"/>
              <w:spacing w:after="50" w:before="20" w:line="250" w:lineRule="auto"/>
            </w:pPr>
            <w:r>
              <w:rPr>
                <w:rFonts w:ascii="Arial" w:hAnsi="Arial"/>
                <w:sz w:val="18"/>
              </w:rPr>
              <w:t>Internal swaps need workflow; sourced substitutes require recruitment, eligibility checks, incidents and disputes.</w:t>
            </w:r>
          </w:p>
        </w:tc>
        <w:tc>
          <w:tcPr>
            <w:tcW w:type="dxa" w:w="3672"/>
            <w:vAlign w:val="top"/>
          </w:tcPr>
          <w:p>
            <w:pPr>
              <w:keepNext w:val="0"/>
              <w:spacing w:after="50" w:before="20" w:line="250" w:lineRule="auto"/>
            </w:pPr>
            <w:r>
              <w:rPr>
                <w:rFonts w:ascii="Arial" w:hAnsi="Arial"/>
                <w:sz w:val="18"/>
              </w:rPr>
              <w:t>Is the company actually promising available labor?</w:t>
            </w:r>
          </w:p>
        </w:tc>
      </w:tr>
      <w:tr>
        <w:trPr>
          <w:cantSplit/>
        </w:trPr>
        <w:tc>
          <w:tcPr>
            <w:tcW w:type="dxa" w:w="2232"/>
            <w:vAlign w:val="top"/>
            <w:shd w:fill="F3F6F7"/>
          </w:tcPr>
          <w:p>
            <w:pPr>
              <w:keepNext w:val="0"/>
              <w:spacing w:after="50" w:before="20" w:line="250" w:lineRule="auto"/>
            </w:pPr>
            <w:r>
              <w:rPr>
                <w:rFonts w:ascii="Arial" w:hAnsi="Arial"/>
                <w:sz w:val="18"/>
              </w:rPr>
              <w:t>F171 facility sharing</w:t>
            </w:r>
          </w:p>
        </w:tc>
        <w:tc>
          <w:tcPr>
            <w:tcW w:type="dxa" w:w="4320"/>
            <w:vAlign w:val="top"/>
            <w:shd w:fill="F3F6F7"/>
          </w:tcPr>
          <w:p>
            <w:pPr>
              <w:keepNext w:val="0"/>
              <w:spacing w:after="50" w:before="20" w:line="250" w:lineRule="auto"/>
            </w:pPr>
            <w:r>
              <w:rPr>
                <w:rFonts w:ascii="Arial" w:hAnsi="Arial"/>
                <w:sz w:val="18"/>
              </w:rPr>
              <w:t>Recruit vetted locations/operators and own reservations, access, damage and disputes.</w:t>
            </w:r>
          </w:p>
        </w:tc>
        <w:tc>
          <w:tcPr>
            <w:tcW w:type="dxa" w:w="3672"/>
            <w:vAlign w:val="top"/>
            <w:shd w:fill="F3F6F7"/>
          </w:tcPr>
          <w:p>
            <w:pPr>
              <w:keepNext w:val="0"/>
              <w:spacing w:after="50" w:before="20" w:line="250" w:lineRule="auto"/>
            </w:pPr>
            <w:r>
              <w:rPr>
                <w:rFonts w:ascii="Arial" w:hAnsi="Arial"/>
                <w:sz w:val="18"/>
              </w:rPr>
              <w:t>Is there sufficient local supply and repeat demand?</w:t>
            </w:r>
          </w:p>
        </w:tc>
      </w:tr>
      <w:tr>
        <w:trPr>
          <w:cantSplit/>
        </w:trPr>
        <w:tc>
          <w:tcPr>
            <w:tcW w:type="dxa" w:w="2232"/>
            <w:vAlign w:val="top"/>
          </w:tcPr>
          <w:p>
            <w:pPr>
              <w:keepNext w:val="0"/>
              <w:spacing w:after="50" w:before="20" w:line="250" w:lineRule="auto"/>
            </w:pPr>
            <w:r>
              <w:rPr>
                <w:rFonts w:ascii="Arial" w:hAnsi="Arial"/>
                <w:sz w:val="18"/>
              </w:rPr>
              <w:t>F175 clinical network</w:t>
            </w:r>
          </w:p>
        </w:tc>
        <w:tc>
          <w:tcPr>
            <w:tcW w:type="dxa" w:w="4320"/>
            <w:vAlign w:val="top"/>
          </w:tcPr>
          <w:p>
            <w:pPr>
              <w:keepNext w:val="0"/>
              <w:spacing w:after="50" w:before="20" w:line="250" w:lineRule="auto"/>
            </w:pPr>
            <w:r>
              <w:rPr>
                <w:rFonts w:ascii="Arial" w:hAnsi="Arial"/>
                <w:sz w:val="18"/>
              </w:rPr>
              <w:t>Credentialed clinicians and accountable clinical operations, with supported geographic coverage.</w:t>
            </w:r>
          </w:p>
        </w:tc>
        <w:tc>
          <w:tcPr>
            <w:tcW w:type="dxa" w:w="3672"/>
            <w:vAlign w:val="top"/>
          </w:tcPr>
          <w:p>
            <w:pPr>
              <w:keepNext w:val="0"/>
              <w:spacing w:after="50" w:before="20" w:line="250" w:lineRule="auto"/>
            </w:pPr>
            <w:r>
              <w:rPr>
                <w:rFonts w:ascii="Arial" w:hAnsi="Arial"/>
                <w:sz w:val="18"/>
              </w:rPr>
              <w:t>Validate the care model and professional responsibilities before software expansion.</w:t>
            </w:r>
          </w:p>
        </w:tc>
      </w:tr>
      <w:tr>
        <w:trPr>
          <w:cantSplit/>
        </w:trPr>
        <w:tc>
          <w:tcPr>
            <w:tcW w:type="dxa" w:w="2232"/>
            <w:vAlign w:val="top"/>
            <w:shd w:fill="F3F6F7"/>
          </w:tcPr>
          <w:p>
            <w:pPr>
              <w:keepNext w:val="0"/>
              <w:spacing w:after="50" w:before="20" w:line="250" w:lineRule="auto"/>
            </w:pPr>
            <w:r>
              <w:rPr>
                <w:rFonts w:ascii="Arial" w:hAnsi="Arial"/>
                <w:sz w:val="18"/>
              </w:rPr>
              <w:t>F177 discovery marketplace</w:t>
            </w:r>
          </w:p>
        </w:tc>
        <w:tc>
          <w:tcPr>
            <w:tcW w:type="dxa" w:w="4320"/>
            <w:vAlign w:val="top"/>
            <w:shd w:fill="F3F6F7"/>
          </w:tcPr>
          <w:p>
            <w:pPr>
              <w:keepNext w:val="0"/>
              <w:spacing w:after="50" w:before="20" w:line="250" w:lineRule="auto"/>
            </w:pPr>
            <w:r>
              <w:rPr>
                <w:rFonts w:ascii="Arial" w:hAnsi="Arial"/>
                <w:sz w:val="18"/>
              </w:rPr>
              <w:t>Recruit both businesses and consumers; manage local liquidity, attribution and trust.</w:t>
            </w:r>
          </w:p>
        </w:tc>
        <w:tc>
          <w:tcPr>
            <w:tcW w:type="dxa" w:w="3672"/>
            <w:vAlign w:val="top"/>
            <w:shd w:fill="F3F6F7"/>
          </w:tcPr>
          <w:p>
            <w:pPr>
              <w:keepNext w:val="0"/>
              <w:spacing w:after="50" w:before="20" w:line="250" w:lineRule="auto"/>
            </w:pPr>
            <w:r>
              <w:rPr>
                <w:rFonts w:ascii="Arial" w:hAnsi="Arial"/>
                <w:sz w:val="18"/>
              </w:rPr>
              <w:t>Prove a repeatable local distribution advantage separately from SaaS.</w:t>
            </w:r>
          </w:p>
        </w:tc>
      </w:tr>
      <w:tr>
        <w:trPr>
          <w:cantSplit/>
        </w:trPr>
        <w:tc>
          <w:tcPr>
            <w:tcW w:type="dxa" w:w="2232"/>
            <w:vAlign w:val="top"/>
          </w:tcPr>
          <w:p>
            <w:pPr>
              <w:keepNext w:val="0"/>
              <w:spacing w:after="50" w:before="20" w:line="250" w:lineRule="auto"/>
            </w:pPr>
            <w:r>
              <w:rPr>
                <w:rFonts w:ascii="Arial" w:hAnsi="Arial"/>
                <w:sz w:val="18"/>
              </w:rPr>
              <w:t>F178 F179 finance or protection</w:t>
            </w:r>
          </w:p>
        </w:tc>
        <w:tc>
          <w:tcPr>
            <w:tcW w:type="dxa" w:w="4320"/>
            <w:vAlign w:val="top"/>
          </w:tcPr>
          <w:p>
            <w:pPr>
              <w:keepNext w:val="0"/>
              <w:spacing w:after="50" w:before="20" w:line="250" w:lineRule="auto"/>
            </w:pPr>
            <w:r>
              <w:rPr>
                <w:rFonts w:ascii="Arial" w:hAnsi="Arial"/>
                <w:sz w:val="18"/>
              </w:rPr>
              <w:t>Approved finance/underwriting partners, risk operations and funded contractual commitments.</w:t>
            </w:r>
          </w:p>
        </w:tc>
        <w:tc>
          <w:tcPr>
            <w:tcW w:type="dxa" w:w="3672"/>
            <w:vAlign w:val="top"/>
          </w:tcPr>
          <w:p>
            <w:pPr>
              <w:keepNext w:val="0"/>
              <w:spacing w:after="50" w:before="20" w:line="250" w:lineRule="auto"/>
            </w:pPr>
            <w:r>
              <w:rPr>
                <w:rFonts w:ascii="Arial" w:hAnsi="Arial"/>
                <w:sz w:val="18"/>
              </w:rPr>
              <w:t>Confirm partner economics and allocation of losses before making promises.</w:t>
            </w:r>
          </w:p>
        </w:tc>
      </w:tr>
      <w:tr>
        <w:trPr>
          <w:cantSplit/>
        </w:trPr>
        <w:tc>
          <w:tcPr>
            <w:tcW w:type="dxa" w:w="2232"/>
            <w:vAlign w:val="top"/>
            <w:shd w:fill="F3F6F7"/>
          </w:tcPr>
          <w:p>
            <w:pPr>
              <w:keepNext w:val="0"/>
              <w:spacing w:after="50" w:before="20" w:line="250" w:lineRule="auto"/>
            </w:pPr>
            <w:r>
              <w:rPr>
                <w:rFonts w:ascii="Arial" w:hAnsi="Arial"/>
                <w:sz w:val="18"/>
              </w:rPr>
              <w:t>F181 purchasing network</w:t>
            </w:r>
          </w:p>
        </w:tc>
        <w:tc>
          <w:tcPr>
            <w:tcW w:type="dxa" w:w="4320"/>
            <w:vAlign w:val="top"/>
            <w:shd w:fill="F3F6F7"/>
          </w:tcPr>
          <w:p>
            <w:pPr>
              <w:keepNext w:val="0"/>
              <w:spacing w:after="50" w:before="20" w:line="250" w:lineRule="auto"/>
            </w:pPr>
            <w:r>
              <w:rPr>
                <w:rFonts w:ascii="Arial" w:hAnsi="Arial"/>
                <w:sz w:val="18"/>
              </w:rPr>
              <w:t>Recruit suppliers and participating businesses; manage fulfillment, returns and commercial terms.</w:t>
            </w:r>
          </w:p>
        </w:tc>
        <w:tc>
          <w:tcPr>
            <w:tcW w:type="dxa" w:w="3672"/>
            <w:vAlign w:val="top"/>
            <w:shd w:fill="F3F6F7"/>
          </w:tcPr>
          <w:p>
            <w:pPr>
              <w:keepNext w:val="0"/>
              <w:spacing w:after="50" w:before="20" w:line="250" w:lineRule="auto"/>
            </w:pPr>
            <w:r>
              <w:rPr>
                <w:rFonts w:ascii="Arial" w:hAnsi="Arial"/>
                <w:sz w:val="18"/>
              </w:rPr>
              <w:t>Do net savings survive shipping, waste and operational costs?</w:t>
            </w:r>
          </w:p>
        </w:tc>
      </w:tr>
      <w:tr>
        <w:trPr>
          <w:cantSplit/>
        </w:trPr>
        <w:tc>
          <w:tcPr>
            <w:tcW w:type="dxa" w:w="2232"/>
            <w:vAlign w:val="top"/>
          </w:tcPr>
          <w:p>
            <w:pPr>
              <w:keepNext w:val="0"/>
              <w:spacing w:after="50" w:before="20" w:line="250" w:lineRule="auto"/>
            </w:pPr>
            <w:r>
              <w:rPr>
                <w:rFonts w:ascii="Arial" w:hAnsi="Arial"/>
                <w:sz w:val="18"/>
              </w:rPr>
              <w:t>F182 peer benchmarks</w:t>
            </w:r>
          </w:p>
        </w:tc>
        <w:tc>
          <w:tcPr>
            <w:tcW w:type="dxa" w:w="4320"/>
            <w:vAlign w:val="top"/>
          </w:tcPr>
          <w:p>
            <w:pPr>
              <w:keepNext w:val="0"/>
              <w:spacing w:after="50" w:before="20" w:line="250" w:lineRule="auto"/>
            </w:pPr>
            <w:r>
              <w:rPr>
                <w:rFonts w:ascii="Arial" w:hAnsi="Arial"/>
                <w:sz w:val="18"/>
              </w:rPr>
              <w:t>Enough consenting independent businesses and privacy/analytics review.</w:t>
            </w:r>
          </w:p>
        </w:tc>
        <w:tc>
          <w:tcPr>
            <w:tcW w:type="dxa" w:w="3672"/>
            <w:vAlign w:val="top"/>
          </w:tcPr>
          <w:p>
            <w:pPr>
              <w:keepNext w:val="0"/>
              <w:spacing w:after="50" w:before="20" w:line="250" w:lineRule="auto"/>
            </w:pPr>
            <w:r>
              <w:rPr>
                <w:rFonts w:ascii="Arial" w:hAnsi="Arial"/>
                <w:sz w:val="18"/>
              </w:rPr>
              <w:t>Can useful comparisons be published without unacceptable inference risk?</w:t>
            </w:r>
          </w:p>
        </w:tc>
      </w:tr>
      <w:tr>
        <w:trPr>
          <w:cantSplit/>
        </w:trPr>
        <w:tc>
          <w:tcPr>
            <w:tcW w:type="dxa" w:w="2232"/>
            <w:vAlign w:val="top"/>
            <w:shd w:fill="F3F6F7"/>
          </w:tcPr>
          <w:p>
            <w:pPr>
              <w:keepNext w:val="0"/>
              <w:spacing w:after="50" w:before="20" w:line="250" w:lineRule="auto"/>
            </w:pPr>
            <w:r>
              <w:rPr>
                <w:rFonts w:ascii="Arial" w:hAnsi="Arial"/>
                <w:sz w:val="18"/>
              </w:rPr>
              <w:t>F185 hardware</w:t>
            </w:r>
          </w:p>
        </w:tc>
        <w:tc>
          <w:tcPr>
            <w:tcW w:type="dxa" w:w="4320"/>
            <w:vAlign w:val="top"/>
            <w:shd w:fill="F3F6F7"/>
          </w:tcPr>
          <w:p>
            <w:pPr>
              <w:keepNext w:val="0"/>
              <w:spacing w:after="50" w:before="20" w:line="250" w:lineRule="auto"/>
            </w:pPr>
            <w:r>
              <w:rPr>
                <w:rFonts w:ascii="Arial" w:hAnsi="Arial"/>
                <w:sz w:val="18"/>
              </w:rPr>
              <w:t>Hardware engineering, certification, manufacturing and device support.</w:t>
            </w:r>
          </w:p>
        </w:tc>
        <w:tc>
          <w:tcPr>
            <w:tcW w:type="dxa" w:w="3672"/>
            <w:vAlign w:val="top"/>
            <w:shd w:fill="F3F6F7"/>
          </w:tcPr>
          <w:p>
            <w:pPr>
              <w:keepNext w:val="0"/>
              <w:spacing w:after="50" w:before="20" w:line="250" w:lineRule="auto"/>
            </w:pPr>
            <w:r>
              <w:rPr>
                <w:rFonts w:ascii="Arial" w:hAnsi="Arial"/>
                <w:sz w:val="18"/>
              </w:rPr>
              <w:t>Demonstrate why approved partner devices cannot satisfy the actual need.</w:t>
            </w:r>
          </w:p>
        </w:tc>
      </w:tr>
    </w:tbl>
    <w:p>
      <w:bookmarkStart w:id="10" w:name="sequence"/>
      <w:pPr>
        <w:pStyle w:val="Heading1"/>
        <w:pageBreakBefore/>
      </w:pPr>
      <w:r>
        <w:t>9 Build sequence and validation</w:t>
      </w:r>
      <w:bookmarkEnd w:id="10"/>
    </w:p>
    <w:p>
      <w:r>
        <w:t>Difficulty ordering answers “what is easier to build?” Release sequencing answers “what must work together first?” A functioning money and booking core is harder than a brand kit but must exist before clients depend on it. The roadmap below is a proposed sequence with exit conditions, not calendar estimates.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016"/>
        <w:gridCol w:w="4392"/>
        <w:gridCol w:w="3816"/>
      </w:tblGrid>
      <w:tr>
        <w:trPr>
          <w:tblHeader/>
        </w:trPr>
        <w:tc>
          <w:tcPr>
            <w:tcW w:type="dxa" w:w="2016"/>
            <w:vAlign w:val="top"/>
            <w:shd w:fill="173F50"/>
          </w:tcPr>
          <w:p>
            <w:pPr>
              <w:keepNext/>
              <w:spacing w:after="50" w:before="20" w:line="250" w:lineRule="auto"/>
            </w:pPr>
            <w:r>
              <w:rPr>
                <w:rFonts w:ascii="Arial" w:hAnsi="Arial"/>
                <w:b/>
                <w:color w:val="FFFFFF"/>
                <w:sz w:val="18"/>
              </w:rPr>
              <w:t>Stage</w:t>
            </w:r>
          </w:p>
        </w:tc>
        <w:tc>
          <w:tcPr>
            <w:tcW w:type="dxa" w:w="4392"/>
            <w:vAlign w:val="top"/>
            <w:shd w:fill="173F50"/>
          </w:tcPr>
          <w:p>
            <w:pPr>
              <w:keepNext/>
              <w:spacing w:after="50" w:before="20" w:line="250" w:lineRule="auto"/>
            </w:pPr>
            <w:r>
              <w:rPr>
                <w:rFonts w:ascii="Arial" w:hAnsi="Arial"/>
                <w:b/>
                <w:color w:val="FFFFFF"/>
                <w:sz w:val="18"/>
              </w:rPr>
              <w:t>Scope</w:t>
            </w:r>
          </w:p>
        </w:tc>
        <w:tc>
          <w:tcPr>
            <w:tcW w:type="dxa" w:w="3816"/>
            <w:vAlign w:val="top"/>
            <w:shd w:fill="173F50"/>
          </w:tcPr>
          <w:p>
            <w:pPr>
              <w:keepNext/>
              <w:spacing w:after="50" w:before="20" w:line="250" w:lineRule="auto"/>
            </w:pPr>
            <w:r>
              <w:rPr>
                <w:rFonts w:ascii="Arial" w:hAnsi="Arial"/>
                <w:b/>
                <w:color w:val="FFFFFF"/>
                <w:sz w:val="18"/>
              </w:rPr>
              <w:t>Exit condition</w:t>
            </w:r>
          </w:p>
        </w:tc>
      </w:tr>
      <w:tr>
        <w:trPr>
          <w:cantSplit/>
        </w:trPr>
        <w:tc>
          <w:tcPr>
            <w:tcW w:type="dxa" w:w="2016"/>
            <w:vAlign w:val="top"/>
          </w:tcPr>
          <w:p>
            <w:pPr>
              <w:keepNext w:val="0"/>
              <w:spacing w:after="50" w:before="20" w:line="250" w:lineRule="auto"/>
            </w:pPr>
            <w:r>
              <w:rPr>
                <w:rFonts w:ascii="Arial" w:hAnsi="Arial"/>
                <w:sz w:val="18"/>
              </w:rPr>
              <w:t>0  Validate the promise</w:t>
            </w:r>
          </w:p>
        </w:tc>
        <w:tc>
          <w:tcPr>
            <w:tcW w:type="dxa" w:w="4392"/>
            <w:vAlign w:val="top"/>
          </w:tcPr>
          <w:p>
            <w:pPr>
              <w:keepNext w:val="0"/>
              <w:spacing w:after="50" w:before="20" w:line="250" w:lineRule="auto"/>
            </w:pPr>
            <w:r>
              <w:rPr>
                <w:rFonts w:ascii="Arial" w:hAnsi="Arial"/>
                <w:sz w:val="18"/>
              </w:rPr>
              <w:t>Recruit representative owners, receptionists, practitioners and clients. Test brand setup, service choice, documents and a daily exception queue with realistic prototypes.</w:t>
            </w:r>
          </w:p>
        </w:tc>
        <w:tc>
          <w:tcPr>
            <w:tcW w:type="dxa" w:w="3816"/>
            <w:vAlign w:val="top"/>
          </w:tcPr>
          <w:p>
            <w:pPr>
              <w:keepNext w:val="0"/>
              <w:spacing w:after="50" w:before="20" w:line="250" w:lineRule="auto"/>
            </w:pPr>
            <w:r>
              <w:rPr>
                <w:rFonts w:ascii="Arial" w:hAnsi="Arial"/>
                <w:sz w:val="18"/>
              </w:rPr>
              <w:t>Clients complete the task, owners understand the outcome, and unresolved uncertainty is recorded before costly integrations.</w:t>
            </w:r>
          </w:p>
        </w:tc>
      </w:tr>
      <w:tr>
        <w:trPr>
          <w:cantSplit/>
        </w:trPr>
        <w:tc>
          <w:tcPr>
            <w:tcW w:type="dxa" w:w="2016"/>
            <w:vAlign w:val="top"/>
            <w:shd w:fill="F3F6F7"/>
          </w:tcPr>
          <w:p>
            <w:pPr>
              <w:keepNext w:val="0"/>
              <w:spacing w:after="50" w:before="20" w:line="250" w:lineRule="auto"/>
            </w:pPr>
            <w:r>
              <w:rPr>
                <w:rFonts w:ascii="Arial" w:hAnsi="Arial"/>
                <w:sz w:val="18"/>
              </w:rPr>
              <w:t>1  Establish the foundations</w:t>
            </w:r>
          </w:p>
        </w:tc>
        <w:tc>
          <w:tcPr>
            <w:tcW w:type="dxa" w:w="4392"/>
            <w:vAlign w:val="top"/>
            <w:shd w:fill="F3F6F7"/>
          </w:tcPr>
          <w:p>
            <w:pPr>
              <w:keepNext w:val="0"/>
              <w:spacing w:after="50" w:before="20" w:line="250" w:lineRule="auto"/>
            </w:pPr>
            <w:r>
              <w:rPr>
                <w:rFonts w:ascii="Arial" w:hAnsi="Arial"/>
                <w:sz w:val="18"/>
              </w:rPr>
              <w:t>F073 F074 F075 F111 F112 F117 F118 F159. Build tenant isolation, atomic booking, traceable money, consent, metrics and recovery.</w:t>
            </w:r>
          </w:p>
        </w:tc>
        <w:tc>
          <w:tcPr>
            <w:tcW w:type="dxa" w:w="3816"/>
            <w:vAlign w:val="top"/>
            <w:shd w:fill="F3F6F7"/>
          </w:tcPr>
          <w:p>
            <w:pPr>
              <w:keepNext w:val="0"/>
              <w:spacing w:after="50" w:before="20" w:line="250" w:lineRule="auto"/>
            </w:pPr>
            <w:r>
              <w:rPr>
                <w:rFonts w:ascii="Arial" w:hAnsi="Arial"/>
                <w:sz w:val="18"/>
              </w:rPr>
              <w:t>Concurrent booking and payment retry scenarios pass; access isolation and restore are demonstrated; support ownership exists.</w:t>
            </w:r>
          </w:p>
        </w:tc>
      </w:tr>
      <w:tr>
        <w:trPr>
          <w:cantSplit/>
        </w:trPr>
        <w:tc>
          <w:tcPr>
            <w:tcW w:type="dxa" w:w="2016"/>
            <w:vAlign w:val="top"/>
          </w:tcPr>
          <w:p>
            <w:pPr>
              <w:keepNext w:val="0"/>
              <w:spacing w:after="50" w:before="20" w:line="250" w:lineRule="auto"/>
            </w:pPr>
            <w:r>
              <w:rPr>
                <w:rFonts w:ascii="Arial" w:hAnsi="Arial"/>
                <w:sz w:val="18"/>
              </w:rPr>
              <w:t>2  Run a narrow paid pilot</w:t>
            </w:r>
          </w:p>
        </w:tc>
        <w:tc>
          <w:tcPr>
            <w:tcW w:type="dxa" w:w="4392"/>
            <w:vAlign w:val="top"/>
          </w:tcPr>
          <w:p>
            <w:pPr>
              <w:keepNext w:val="0"/>
              <w:spacing w:after="50" w:before="20" w:line="250" w:lineRule="auto"/>
            </w:pPr>
            <w:r>
              <w:rPr>
                <w:rFonts w:ascii="Arial" w:hAnsi="Arial"/>
                <w:sz w:val="18"/>
              </w:rPr>
              <w:t>A branded site and guest booking; one-location catalog/calendar; client records and approved forms; deposits, checkout, invoices and receipts; reminders; daily close; import/exit; essential analytics.</w:t>
            </w:r>
          </w:p>
        </w:tc>
        <w:tc>
          <w:tcPr>
            <w:tcW w:type="dxa" w:w="3816"/>
            <w:vAlign w:val="top"/>
          </w:tcPr>
          <w:p>
            <w:pPr>
              <w:keepNext w:val="0"/>
              <w:spacing w:after="50" w:before="20" w:line="250" w:lineRule="auto"/>
            </w:pPr>
            <w:r>
              <w:rPr>
                <w:rFonts w:ascii="Arial" w:hAnsi="Arial"/>
                <w:sz w:val="18"/>
              </w:rPr>
              <w:t>Each migrated business can fulfill every active obligation. Core tasks succeed with real clients, and balances reconcile. Pick necessary launch candidates rather than all L rows.</w:t>
            </w:r>
          </w:p>
        </w:tc>
      </w:tr>
      <w:tr>
        <w:trPr>
          <w:cantSplit/>
        </w:trPr>
        <w:tc>
          <w:tcPr>
            <w:tcW w:type="dxa" w:w="2016"/>
            <w:vAlign w:val="top"/>
            <w:shd w:fill="F3F6F7"/>
          </w:tcPr>
          <w:p>
            <w:pPr>
              <w:keepNext w:val="0"/>
              <w:spacing w:after="50" w:before="20" w:line="250" w:lineRule="auto"/>
            </w:pPr>
            <w:r>
              <w:rPr>
                <w:rFonts w:ascii="Arial" w:hAnsi="Arial"/>
                <w:sz w:val="18"/>
              </w:rPr>
              <w:t>3  Improve retention and operations</w:t>
            </w:r>
          </w:p>
        </w:tc>
        <w:tc>
          <w:tcPr>
            <w:tcW w:type="dxa" w:w="4392"/>
            <w:vAlign w:val="top"/>
            <w:shd w:fill="F3F6F7"/>
          </w:tcPr>
          <w:p>
            <w:pPr>
              <w:keepNext w:val="0"/>
              <w:spacing w:after="50" w:before="20" w:line="250" w:lineRule="auto"/>
            </w:pPr>
            <w:r>
              <w:rPr>
                <w:rFonts w:ascii="Arial" w:hAnsi="Arial"/>
                <w:sz w:val="18"/>
              </w:rPr>
              <w:t>Waitlist recovery, structured campaign consent, membership/package/gift obligations where supported, deeper inventory, team controls, branded document packs and action dashboards.</w:t>
            </w:r>
          </w:p>
        </w:tc>
        <w:tc>
          <w:tcPr>
            <w:tcW w:type="dxa" w:w="3816"/>
            <w:vAlign w:val="top"/>
            <w:shd w:fill="F3F6F7"/>
          </w:tcPr>
          <w:p>
            <w:pPr>
              <w:keepNext w:val="0"/>
              <w:spacing w:after="50" w:before="20" w:line="250" w:lineRule="auto"/>
            </w:pPr>
            <w:r>
              <w:rPr>
                <w:rFonts w:ascii="Arial" w:hAnsi="Arial"/>
                <w:sz w:val="18"/>
              </w:rPr>
              <w:t>Measured benefit exceeds friction and support cost. Record causality limits and customer adoption by eligible cohort.</w:t>
            </w:r>
          </w:p>
        </w:tc>
      </w:tr>
      <w:tr>
        <w:trPr>
          <w:cantSplit/>
        </w:trPr>
        <w:tc>
          <w:tcPr>
            <w:tcW w:type="dxa" w:w="2016"/>
            <w:vAlign w:val="top"/>
          </w:tcPr>
          <w:p>
            <w:pPr>
              <w:keepNext w:val="0"/>
              <w:spacing w:after="50" w:before="20" w:line="250" w:lineRule="auto"/>
            </w:pPr>
            <w:r>
              <w:rPr>
                <w:rFonts w:ascii="Arial" w:hAnsi="Arial"/>
                <w:sz w:val="18"/>
              </w:rPr>
              <w:t>4  Add specialty and scale</w:t>
            </w:r>
          </w:p>
        </w:tc>
        <w:tc>
          <w:tcPr>
            <w:tcW w:type="dxa" w:w="4392"/>
            <w:vAlign w:val="top"/>
          </w:tcPr>
          <w:p>
            <w:pPr>
              <w:keepNext w:val="0"/>
              <w:spacing w:after="50" w:before="20" w:line="250" w:lineRule="auto"/>
            </w:pPr>
            <w:r>
              <w:rPr>
                <w:rFonts w:ascii="Arial" w:hAnsi="Arial"/>
                <w:sz w:val="18"/>
              </w:rPr>
              <w:t>Renter separation, multi-location, payroll partners, advanced events, clinical charting with appropriate experts, evaluated assistants and predictive tools.</w:t>
            </w:r>
          </w:p>
        </w:tc>
        <w:tc>
          <w:tcPr>
            <w:tcW w:type="dxa" w:w="3816"/>
            <w:vAlign w:val="top"/>
          </w:tcPr>
          <w:p>
            <w:pPr>
              <w:keepNext w:val="0"/>
              <w:spacing w:after="50" w:before="20" w:line="250" w:lineRule="auto"/>
            </w:pPr>
            <w:r>
              <w:rPr>
                <w:rFonts w:ascii="Arial" w:hAnsi="Arial"/>
                <w:sz w:val="18"/>
              </w:rPr>
              <w:t>Commercial access and specialist review complete; operational ownership and regression coverage are proven for the new scope.</w:t>
            </w:r>
          </w:p>
        </w:tc>
      </w:tr>
      <w:tr>
        <w:trPr>
          <w:cantSplit/>
        </w:trPr>
        <w:tc>
          <w:tcPr>
            <w:tcW w:type="dxa" w:w="2016"/>
            <w:vAlign w:val="top"/>
            <w:shd w:fill="F3F6F7"/>
          </w:tcPr>
          <w:p>
            <w:pPr>
              <w:keepNext w:val="0"/>
              <w:spacing w:after="50" w:before="20" w:line="250" w:lineRule="auto"/>
            </w:pPr>
            <w:r>
              <w:rPr>
                <w:rFonts w:ascii="Arial" w:hAnsi="Arial"/>
                <w:sz w:val="18"/>
              </w:rPr>
              <w:t>5  Validate separate businesses</w:t>
            </w:r>
          </w:p>
        </w:tc>
        <w:tc>
          <w:tcPr>
            <w:tcW w:type="dxa" w:w="4392"/>
            <w:vAlign w:val="top"/>
            <w:shd w:fill="F3F6F7"/>
          </w:tcPr>
          <w:p>
            <w:pPr>
              <w:keepNext w:val="0"/>
              <w:spacing w:after="50" w:before="20" w:line="250" w:lineRule="auto"/>
            </w:pPr>
            <w:r>
              <w:rPr>
                <w:rFonts w:ascii="Arial" w:hAnsi="Arial"/>
                <w:sz w:val="18"/>
              </w:rPr>
              <w:t>Discovery, staffing, collective purchasing, financial protection, clinical networks, peer data products or custom hardware.</w:t>
            </w:r>
          </w:p>
        </w:tc>
        <w:tc>
          <w:tcPr>
            <w:tcW w:type="dxa" w:w="3816"/>
            <w:vAlign w:val="top"/>
            <w:shd w:fill="F3F6F7"/>
          </w:tcPr>
          <w:p>
            <w:pPr>
              <w:keepNext w:val="0"/>
              <w:spacing w:after="50" w:before="20" w:line="250" w:lineRule="auto"/>
            </w:pPr>
            <w:r>
              <w:rPr>
                <w:rFonts w:ascii="Arial" w:hAnsi="Arial"/>
                <w:sz w:val="18"/>
              </w:rPr>
              <w:t>Independent demand, supply, unit economics and operating responsibilities justify investment. Keep unproven bets outside the core launch.</w:t>
            </w:r>
          </w:p>
        </w:tc>
      </w:tr>
    </w:tbl>
    <w:p>
      <w:pPr>
        <w:spacing w:after="40" w:before="0" w:line="240" w:lineRule="auto"/>
      </w:pPr>
      <w:r>
        <w:rPr>
          <w:sz w:val="4"/>
        </w:rPr>
      </w:r>
    </w:p>
    <w:p>
      <w:pPr>
        <w:pStyle w:val="Heading2"/>
      </w:pPr>
      <w:r>
        <w:t>9 1 Five low cost validation experiments</w:t>
      </w:r>
    </w:p>
    <w:p>
      <w:r>
        <w:t>All thresholds below are proposed design gates. No experiment has been run, and small usability samples cannot establish market size or an industry conversion benchmark. A failed gate is useful evidence to narrow or change the design.</w:t>
      </w:r>
    </w:p>
    <w:p>
      <w:pPr>
        <w:pStyle w:val="Heading3"/>
      </w:pPr>
      <w:r>
        <w:t>V01 Client choice under constraints</w:t>
      </w:r>
    </w:p>
    <w:p>
      <w:r>
        <w:t>Use a clickable 10–12-screen prototype and 12 representative prospective clients; ask each to book one unfamiliar service, one hard-deadline visit and one budget-limited visit. Include people with low digital confidence.</w:t>
      </w:r>
    </w:p>
    <w:p>
      <w:r>
        <w:rPr>
          <w:b/>
        </w:rPr>
        <w:t>Keep cost low:</w:t>
      </w:r>
      <w:r>
        <w:t xml:space="preserve"> No scheduler integration or payment processing; use fixed synthetic availability and prices.</w:t>
      </w:r>
    </w:p>
    <w:p>
      <w:r>
        <w:rPr>
          <w:b/>
        </w:rPr>
        <w:t>Proposed gate:</w:t>
      </w:r>
      <w:r>
        <w:t xml:space="preserve"> at least 10/12 choose a correct feasible option for all three tasks without facilitator help; median task completion under 3 minutes; zero hidden-price or missed-deadline selections. Otherwise simplify the flow.</w:t>
      </w:r>
    </w:p>
    <w:p>
      <w:r>
        <w:t>Measure: Completion, correction, time, misunderstanding and preference for exact-time versus flexible choice. Features: F022, F107, F193, F194.</w:t>
      </w:r>
    </w:p>
    <w:p>
      <w:r>
        <w:t>Targets are proposed design gates, not industry benchmarks; 12 participants cannot estimate market demand.</w:t>
      </w:r>
    </w:p>
    <w:p>
      <w:pPr>
        <w:pStyle w:val="Heading3"/>
      </w:pPr>
      <w:r>
        <w:t>V02 Brand and document launch</w:t>
      </w:r>
    </w:p>
    <w:p>
      <w:r>
        <w:t>Give eight business owners a small working template generator or guided prototype with their authorized brand details; have each prepare a booking page plus intake, estimate and aftercare outputs.</w:t>
      </w:r>
    </w:p>
    <w:p>
      <w:r>
        <w:rPr>
          <w:b/>
        </w:rPr>
        <w:t>Keep cost low:</w:t>
      </w:r>
      <w:r>
        <w:t xml:space="preserve"> Start with three curated design systems and approved sample wording, not generative design or a full website builder.</w:t>
      </w:r>
    </w:p>
    <w:p>
      <w:r>
        <w:rPr>
          <w:b/>
        </w:rPr>
        <w:t>Proposed gate:</w:t>
      </w:r>
      <w:r>
        <w:t xml:space="preserve"> at least 6/8 finish the pack in 30 minutes with no design help and no more than two revision rounds; every output uses consistent price/contact/policy facts; zero edits to any issued artifact, signed or unsigned.</w:t>
      </w:r>
    </w:p>
    <w:p>
      <w:r>
        <w:t>Measure: Time, help requests, edit count, consistency defects and unprompted willingness to use the pack. Features: F001, F036, F106.</w:t>
      </w:r>
    </w:p>
    <w:p>
      <w:r>
        <w:t>Quality approval alone does not establish willingness to pay.</w:t>
      </w:r>
    </w:p>
    <w:p>
      <w:pPr>
        <w:pStyle w:val="Heading3"/>
      </w:pPr>
      <w:r>
        <w:t>V03 Daily exception queue plus assisted completion</w:t>
      </w:r>
    </w:p>
    <w:p>
      <w:r>
        <w:t>Test six owners/front-desk workers on ten scripted issues in a lightweight prototype, including a client with no email/smartphone, an incomplete form, a failed deposit and a missing receipt.</w:t>
      </w:r>
    </w:p>
    <w:p>
      <w:r>
        <w:rPr>
          <w:b/>
        </w:rPr>
        <w:t>Keep cost low:</w:t>
      </w:r>
      <w:r>
        <w:t xml:space="preserve"> Use fictional clients and manually triggered states; no SMS or live charges.</w:t>
      </w:r>
    </w:p>
    <w:p>
      <w:r>
        <w:rPr>
          <w:b/>
        </w:rPr>
        <w:t>Proposed gate:</w:t>
      </w:r>
      <w:r>
        <w:t xml:space="preserve"> 5/6 resolve at least 9/10 correctly within 15 minutes; zero fabricated signatures, double charges or disclosure errors; each unfinished issue has an owner and next step.</w:t>
      </w:r>
    </w:p>
    <w:p>
      <w:r>
        <w:t>Measure: Correct resolution, navigation steps, time and unresolved-state understanding. Features: F015, F018, F058, F126, F195.</w:t>
      </w:r>
    </w:p>
    <w:p>
      <w:r>
        <w:t>Safety-critical failures fail the gate even if average speed improves.</w:t>
      </w:r>
    </w:p>
    <w:p>
      <w:pPr>
        <w:pStyle w:val="Heading3"/>
      </w:pPr>
      <w:r>
        <w:t>V04 Migration confidence and task learning</w:t>
      </w:r>
    </w:p>
    <w:p>
      <w:r>
        <w:t>With three businesses, use consented redacted exports or realistic synthetic equivalents; produce a mapping/reconciliation report and let a new staff user perform five demo tasks after short practice.</w:t>
      </w:r>
    </w:p>
    <w:p>
      <w:r>
        <w:rPr>
          <w:b/>
        </w:rPr>
        <w:t>Keep cost low:</w:t>
      </w:r>
      <w:r>
        <w:t xml:space="preserve"> Manual mapping and a simple importer first; no production cutover or automatic payment-token transfer.</w:t>
      </w:r>
    </w:p>
    <w:p>
      <w:r>
        <w:rPr>
          <w:b/>
        </w:rPr>
        <w:t>Proposed gate:</w:t>
      </w:r>
      <w:r>
        <w:t xml:space="preserve"> all future appointments and opening balances reconcile exactly, at least 99% of supported required fields map correctly, and every unsupported field is named. At least 80% of tested staff complete 4/5 tasks unaided; no demo action reaches live systems.</w:t>
      </w:r>
    </w:p>
    <w:p>
      <w:r>
        <w:t>Measure: Reconciliation, owner comprehension of exceptions, task correctness and support minutes. Features: F104, F105, F119, F196.</w:t>
      </w:r>
    </w:p>
    <w:p>
      <w:r>
        <w:t>These are engineering/usability gates, not proof that all vendors can be migrated.</w:t>
      </w:r>
    </w:p>
    <w:p>
      <w:pPr>
        <w:pStyle w:val="Heading3"/>
      </w:pPr>
      <w:r>
        <w:t>V05 Lost-demand recovery and a better working week</w:t>
      </w:r>
    </w:p>
    <w:p>
      <w:r>
        <w:t>Run a two-week concierge pilot in three consenting businesses. Record explicit unserved requests and permission, manually make compatible offers, and create one alternative schedule protecting a selected break or half-day without changing promised visits.</w:t>
      </w:r>
    </w:p>
    <w:p>
      <w:r>
        <w:rPr>
          <w:b/>
        </w:rPr>
        <w:t>Keep cost low:</w:t>
      </w:r>
      <w:r>
        <w:t xml:space="preserve"> Use a spreadsheet and existing communication channels; only merchant-approved contacts, no new predictive engine.</w:t>
      </w:r>
    </w:p>
    <w:p>
      <w:r>
        <w:rPr>
          <w:b/>
        </w:rPr>
        <w:t>Proposed gate:</w:t>
      </w:r>
      <w:r>
        <w:t xml:space="preserve"> collect at least 15 explicit requests across the pilot; at least 3 become completed appointments with positive measured contribution; no irrelevant or unconsented offers; at least 2/3 owners accept a feasible time-off scenario meeting their declared contribution floor. If fewer requests occur, demand test is inconclusive, not a failure.</w:t>
      </w:r>
    </w:p>
    <w:p>
      <w:r>
        <w:t>Measure: Completed recovery, direct contribution, staff minutes per recovery, preserved time, client complaints and owner acceptance. Features: F081, F136, F143, F151, F192.</w:t>
      </w:r>
    </w:p>
    <w:p>
      <w:r>
        <w:t>No causal uplift claim from this small uncontrolled pilot; use a later holdout or phased comparison if volume supports it.</w:t>
      </w:r>
    </w:p>
    <w:p>
      <w:pPr>
        <w:pStyle w:val="Heading2"/>
      </w:pPr>
      <w:r>
        <w:t>9 2 Decisions to make before estimating delivery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880"/>
        <w:gridCol w:w="7344"/>
      </w:tblGrid>
      <w:tr>
        <w:trPr>
          <w:tblHeader/>
        </w:trPr>
        <w:tc>
          <w:tcPr>
            <w:tcW w:type="dxa" w:w="2880"/>
            <w:vAlign w:val="top"/>
            <w:shd w:fill="173F50"/>
          </w:tcPr>
          <w:p>
            <w:pPr>
              <w:keepNext/>
              <w:spacing w:after="50" w:before="20" w:line="250" w:lineRule="auto"/>
            </w:pPr>
            <w:r>
              <w:rPr>
                <w:rFonts w:ascii="Arial" w:hAnsi="Arial"/>
                <w:b/>
                <w:color w:val="FFFFFF"/>
                <w:sz w:val="18"/>
              </w:rPr>
              <w:t>Decision</w:t>
            </w:r>
          </w:p>
        </w:tc>
        <w:tc>
          <w:tcPr>
            <w:tcW w:type="dxa" w:w="7344"/>
            <w:vAlign w:val="top"/>
            <w:shd w:fill="173F50"/>
          </w:tcPr>
          <w:p>
            <w:pPr>
              <w:keepNext/>
              <w:spacing w:after="50" w:before="20" w:line="250" w:lineRule="auto"/>
            </w:pPr>
            <w:r>
              <w:rPr>
                <w:rFonts w:ascii="Arial" w:hAnsi="Arial"/>
                <w:b/>
                <w:color w:val="FFFFFF"/>
                <w:sz w:val="18"/>
              </w:rPr>
              <w:t>Why it changes scope</w:t>
            </w:r>
          </w:p>
        </w:tc>
      </w:tr>
      <w:tr>
        <w:trPr>
          <w:cantSplit/>
        </w:trPr>
        <w:tc>
          <w:tcPr>
            <w:tcW w:type="dxa" w:w="2880"/>
            <w:vAlign w:val="top"/>
          </w:tcPr>
          <w:p>
            <w:pPr>
              <w:keepNext w:val="0"/>
              <w:spacing w:after="50" w:before="20" w:line="250" w:lineRule="auto"/>
            </w:pPr>
            <w:r>
              <w:rPr>
                <w:rFonts w:ascii="Arial" w:hAnsi="Arial"/>
                <w:sz w:val="18"/>
              </w:rPr>
              <w:t>First specialty and geography</w:t>
            </w:r>
          </w:p>
        </w:tc>
        <w:tc>
          <w:tcPr>
            <w:tcW w:type="dxa" w:w="7344"/>
            <w:vAlign w:val="top"/>
          </w:tcPr>
          <w:p>
            <w:pPr>
              <w:keepNext w:val="0"/>
              <w:spacing w:after="50" w:before="20" w:line="250" w:lineRule="auto"/>
            </w:pPr>
            <w:r>
              <w:rPr>
                <w:rFonts w:ascii="Arial" w:hAnsi="Arial"/>
                <w:sz w:val="18"/>
              </w:rPr>
              <w:t>Determines service rules, language, tax, payments and whether clinical obligations arise.</w:t>
            </w:r>
          </w:p>
        </w:tc>
      </w:tr>
      <w:tr>
        <w:trPr>
          <w:cantSplit/>
        </w:trPr>
        <w:tc>
          <w:tcPr>
            <w:tcW w:type="dxa" w:w="2880"/>
            <w:vAlign w:val="top"/>
            <w:shd w:fill="F3F6F7"/>
          </w:tcPr>
          <w:p>
            <w:pPr>
              <w:keepNext w:val="0"/>
              <w:spacing w:after="50" w:before="20" w:line="250" w:lineRule="auto"/>
            </w:pPr>
            <w:r>
              <w:rPr>
                <w:rFonts w:ascii="Arial" w:hAnsi="Arial"/>
                <w:sz w:val="18"/>
              </w:rPr>
              <w:t>Solo business or team first</w:t>
            </w:r>
          </w:p>
        </w:tc>
        <w:tc>
          <w:tcPr>
            <w:tcW w:type="dxa" w:w="7344"/>
            <w:vAlign w:val="top"/>
            <w:shd w:fill="F3F6F7"/>
          </w:tcPr>
          <w:p>
            <w:pPr>
              <w:keepNext w:val="0"/>
              <w:spacing w:after="50" w:before="20" w:line="250" w:lineRule="auto"/>
            </w:pPr>
            <w:r>
              <w:rPr>
                <w:rFonts w:ascii="Arial" w:hAnsi="Arial"/>
                <w:sz w:val="18"/>
              </w:rPr>
              <w:t>Changes scheduling, access, commissions, shared client records and payroll needs.</w:t>
            </w:r>
          </w:p>
        </w:tc>
      </w:tr>
      <w:tr>
        <w:trPr>
          <w:cantSplit/>
        </w:trPr>
        <w:tc>
          <w:tcPr>
            <w:tcW w:type="dxa" w:w="2880"/>
            <w:vAlign w:val="top"/>
          </w:tcPr>
          <w:p>
            <w:pPr>
              <w:keepNext w:val="0"/>
              <w:spacing w:after="50" w:before="20" w:line="250" w:lineRule="auto"/>
            </w:pPr>
            <w:r>
              <w:rPr>
                <w:rFonts w:ascii="Arial" w:hAnsi="Arial"/>
                <w:sz w:val="18"/>
              </w:rPr>
              <w:t>Treatment of existing liabilities</w:t>
            </w:r>
          </w:p>
        </w:tc>
        <w:tc>
          <w:tcPr>
            <w:tcW w:type="dxa" w:w="7344"/>
            <w:vAlign w:val="top"/>
          </w:tcPr>
          <w:p>
            <w:pPr>
              <w:keepNext w:val="0"/>
              <w:spacing w:after="50" w:before="20" w:line="250" w:lineRule="auto"/>
            </w:pPr>
            <w:r>
              <w:rPr>
                <w:rFonts w:ascii="Arial" w:hAnsi="Arial"/>
                <w:sz w:val="18"/>
              </w:rPr>
              <w:t>Controls which gift cards, packages, memberships and credits must be supported on migration day.</w:t>
            </w:r>
          </w:p>
        </w:tc>
      </w:tr>
      <w:tr>
        <w:trPr>
          <w:cantSplit/>
        </w:trPr>
        <w:tc>
          <w:tcPr>
            <w:tcW w:type="dxa" w:w="2880"/>
            <w:vAlign w:val="top"/>
            <w:shd w:fill="F3F6F7"/>
          </w:tcPr>
          <w:p>
            <w:pPr>
              <w:keepNext w:val="0"/>
              <w:spacing w:after="50" w:before="20" w:line="250" w:lineRule="auto"/>
            </w:pPr>
            <w:r>
              <w:rPr>
                <w:rFonts w:ascii="Arial" w:hAnsi="Arial"/>
                <w:sz w:val="18"/>
              </w:rPr>
              <w:t>Hosted commerce or independent merchants</w:t>
            </w:r>
          </w:p>
        </w:tc>
        <w:tc>
          <w:tcPr>
            <w:tcW w:type="dxa" w:w="7344"/>
            <w:vAlign w:val="top"/>
            <w:shd w:fill="F3F6F7"/>
          </w:tcPr>
          <w:p>
            <w:pPr>
              <w:keepNext w:val="0"/>
              <w:spacing w:after="50" w:before="20" w:line="250" w:lineRule="auto"/>
            </w:pPr>
            <w:r>
              <w:rPr>
                <w:rFonts w:ascii="Arial" w:hAnsi="Arial"/>
                <w:sz w:val="18"/>
              </w:rPr>
              <w:t>Determines payment architecture, onboarding and payout responsibilities for booth renters.</w:t>
            </w:r>
          </w:p>
        </w:tc>
      </w:tr>
      <w:tr>
        <w:trPr>
          <w:cantSplit/>
        </w:trPr>
        <w:tc>
          <w:tcPr>
            <w:tcW w:type="dxa" w:w="2880"/>
            <w:vAlign w:val="top"/>
          </w:tcPr>
          <w:p>
            <w:pPr>
              <w:keepNext w:val="0"/>
              <w:spacing w:after="50" w:before="20" w:line="250" w:lineRule="auto"/>
            </w:pPr>
            <w:r>
              <w:rPr>
                <w:rFonts w:ascii="Arial" w:hAnsi="Arial"/>
                <w:sz w:val="18"/>
              </w:rPr>
              <w:t>Template publishing model</w:t>
            </w:r>
          </w:p>
        </w:tc>
        <w:tc>
          <w:tcPr>
            <w:tcW w:type="dxa" w:w="7344"/>
            <w:vAlign w:val="top"/>
          </w:tcPr>
          <w:p>
            <w:pPr>
              <w:keepNext w:val="0"/>
              <w:spacing w:after="50" w:before="20" w:line="250" w:lineRule="auto"/>
            </w:pPr>
            <w:r>
              <w:rPr>
                <w:rFonts w:ascii="Arial" w:hAnsi="Arial"/>
                <w:sz w:val="18"/>
              </w:rPr>
              <w:t>Distinguishes self-service software, a curated reviewed library and a recruited human design service.</w:t>
            </w:r>
          </w:p>
        </w:tc>
      </w:tr>
      <w:tr>
        <w:trPr>
          <w:cantSplit/>
        </w:trPr>
        <w:tc>
          <w:tcPr>
            <w:tcW w:type="dxa" w:w="2880"/>
            <w:vAlign w:val="top"/>
            <w:shd w:fill="F3F6F7"/>
          </w:tcPr>
          <w:p>
            <w:pPr>
              <w:keepNext w:val="0"/>
              <w:spacing w:after="50" w:before="20" w:line="250" w:lineRule="auto"/>
            </w:pPr>
            <w:r>
              <w:rPr>
                <w:rFonts w:ascii="Arial" w:hAnsi="Arial"/>
                <w:sz w:val="18"/>
              </w:rPr>
              <w:t>Support promise and migration offer</w:t>
            </w:r>
          </w:p>
        </w:tc>
        <w:tc>
          <w:tcPr>
            <w:tcW w:type="dxa" w:w="7344"/>
            <w:vAlign w:val="top"/>
            <w:shd w:fill="F3F6F7"/>
          </w:tcPr>
          <w:p>
            <w:pPr>
              <w:keepNext w:val="0"/>
              <w:spacing w:after="50" w:before="20" w:line="250" w:lineRule="auto"/>
            </w:pPr>
            <w:r>
              <w:rPr>
                <w:rFonts w:ascii="Arial" w:hAnsi="Arial"/>
                <w:sz w:val="18"/>
              </w:rPr>
              <w:t>Defines staffing and operating cost as well as the implementation surface.</w:t>
            </w:r>
          </w:p>
        </w:tc>
      </w:tr>
      <w:tr>
        <w:trPr>
          <w:cantSplit/>
        </w:trPr>
        <w:tc>
          <w:tcPr>
            <w:tcW w:type="dxa" w:w="2880"/>
            <w:vAlign w:val="top"/>
          </w:tcPr>
          <w:p>
            <w:pPr>
              <w:keepNext w:val="0"/>
              <w:spacing w:after="50" w:before="20" w:line="250" w:lineRule="auto"/>
            </w:pPr>
            <w:r>
              <w:rPr>
                <w:rFonts w:ascii="Arial" w:hAnsi="Arial"/>
                <w:sz w:val="18"/>
              </w:rPr>
              <w:t>Direct booking or distribution business</w:t>
            </w:r>
          </w:p>
        </w:tc>
        <w:tc>
          <w:tcPr>
            <w:tcW w:type="dxa" w:w="7344"/>
            <w:vAlign w:val="top"/>
          </w:tcPr>
          <w:p>
            <w:pPr>
              <w:keepNext w:val="0"/>
              <w:spacing w:after="50" w:before="20" w:line="250" w:lineRule="auto"/>
            </w:pPr>
            <w:r>
              <w:rPr>
                <w:rFonts w:ascii="Arial" w:hAnsi="Arial"/>
                <w:sz w:val="18"/>
              </w:rPr>
              <w:t>A marketplace is a separate supply-and-demand undertaking; it is not required for excellent direct booking.</w:t>
            </w:r>
          </w:p>
        </w:tc>
      </w:tr>
      <w:tr>
        <w:trPr>
          <w:cantSplit/>
        </w:trPr>
        <w:tc>
          <w:tcPr>
            <w:tcW w:type="dxa" w:w="2880"/>
            <w:vAlign w:val="top"/>
            <w:shd w:fill="F3F6F7"/>
          </w:tcPr>
          <w:p>
            <w:pPr>
              <w:keepNext w:val="0"/>
              <w:spacing w:after="50" w:before="20" w:line="250" w:lineRule="auto"/>
            </w:pPr>
            <w:r>
              <w:rPr>
                <w:rFonts w:ascii="Arial" w:hAnsi="Arial"/>
                <w:sz w:val="18"/>
              </w:rPr>
              <w:t>Core product economics</w:t>
            </w:r>
          </w:p>
        </w:tc>
        <w:tc>
          <w:tcPr>
            <w:tcW w:type="dxa" w:w="7344"/>
            <w:vAlign w:val="top"/>
            <w:shd w:fill="F3F6F7"/>
          </w:tcPr>
          <w:p>
            <w:pPr>
              <w:keepNext w:val="0"/>
              <w:spacing w:after="50" w:before="20" w:line="250" w:lineRule="auto"/>
            </w:pPr>
            <w:r>
              <w:rPr>
                <w:rFonts w:ascii="Arial" w:hAnsi="Arial"/>
                <w:sz w:val="18"/>
              </w:rPr>
              <w:t>Model subscription, usage, infrastructure, payments-related costs, acquisition, onboarding and support before choosing a free tier.</w:t>
            </w:r>
          </w:p>
        </w:tc>
      </w:tr>
    </w:tbl>
    <w:p>
      <w:bookmarkStart w:id="11" w:name="workbook"/>
      <w:pPr>
        <w:pStyle w:val="Heading1"/>
        <w:pageBreakBefore/>
      </w:pPr>
      <w:r>
        <w:t>10 Workbook reconciliation</w:t>
      </w:r>
      <w:bookmarkEnd w:id="11"/>
    </w:p>
    <w:p>
      <w:r>
        <w:t>Source input: gloss genius clone.xlsx. All seven sheets were inspected. The four idea-bearing sheets contain 111 rows: 67 Feature Matrix, 13 Complaints, 19 Unexpected Wins and 12 Adjacent Industries. Every row is mapped below to retained, expanded or deliberately deferred scope. Pricing and Reviews by App contribute another 28 context rows. The Sources sheet is retained as provenance, while the linked references in Chapter 11 identify the evidence used in this report.</w:t>
      </w:r>
    </w:p>
    <w:p>
      <w:r>
        <w:t>The workbook is a valuable starting point, but its old Yes/No cells, approximate complaint counts and quoted prices are not automatically current facts. This report preserves ideas while correcting or qualifying the evidence. Original source labels are not silently converted into independent verification.</w:t>
      </w:r>
    </w:p>
    <w:p>
      <w:pPr>
        <w:pStyle w:val="Heading2"/>
      </w:pPr>
      <w:r>
        <w:t>10 1 Material corrections and additions</w:t>
      </w:r>
    </w:p>
    <w:p>
      <w:pPr>
        <w:pStyle w:val="ListBullet"/>
      </w:pPr>
      <w:r>
        <w:t>Workbook approximate complaint mention counts (~18, ~16, etc.) lack a reproducible sample/coding protocol. Preserve themes, not claimed prevalence or rank certainty.</w:t>
      </w:r>
    </w:p>
    <w:p>
      <w:pPr>
        <w:pStyle w:val="ListBullet"/>
      </w:pPr>
      <w:r>
        <w:t>Ratings mix vendors, professionals, consumers, invited reviews, spontaneous complaints and differing sample sizes. Do not create a cross-platform satisfaction league table from them.</w:t>
      </w:r>
    </w:p>
    <w:p>
      <w:pPr>
        <w:pStyle w:val="ListBullet"/>
      </w:pPr>
      <w:r>
        <w:t>A competitor cell marked No or an old missing-feature quote does not prove current absence. Current official pages override historical claims when clear.</w:t>
      </w:r>
    </w:p>
    <w:p>
      <w:pPr>
        <w:pStyle w:val="ListBullet"/>
      </w:pPr>
      <w:r>
        <w:t>Distinguish advertised functionality, hands-on verified behavior, individual reported friction and original product hypotheses.</w:t>
      </w:r>
    </w:p>
    <w:p>
      <w:pPr>
        <w:pStyle w:val="ListBullet"/>
      </w:pPr>
      <w:r>
        <w:t>No-login booking is not trivial end to end: identity, private records, payments, abuse handling and slot concurrency still require engineering.</w:t>
      </w:r>
    </w:p>
    <w:p>
      <w:pPr>
        <w:pStyle w:val="ListBullet"/>
      </w:pPr>
      <w:r>
        <w:t>A no-show card or signed waiver does not guarantee collection or a dispute win.</w:t>
      </w:r>
    </w:p>
    <w:p>
      <w:pPr>
        <w:pStyle w:val="ListBullet"/>
      </w:pPr>
      <w:r>
        <w:t>Do not claim free migration is the number-one switching barrier, or a feature is popular/causal, without comparative research. Preserve migration as a credible interview/test hypothesis.</w:t>
      </w:r>
    </w:p>
    <w:p>
      <w:pPr>
        <w:pStyle w:val="ListBullet"/>
      </w:pPr>
      <w:r>
        <w:t>Pet-health expiry logic inspires readiness tracking but cannot establish clinical contraindications or universal patch-test intervals for people.</w:t>
      </w:r>
    </w:p>
    <w:p>
      <w:pPr>
        <w:pStyle w:val="ListBullet"/>
      </w:pPr>
      <w:r>
        <w:t>Off-peak discounts can cannibalize full-price demand. Price floors alone cannot prove they never undercut regular customers.</w:t>
      </w:r>
    </w:p>
    <w:p>
      <w:pPr>
        <w:pStyle w:val="ListBullet"/>
      </w:pPr>
      <w:r>
        <w:t>Staffed phone support, done-for-you design, clinical services, finance protection and marketplaces need people/partners or recruitment; a software handoff is not an outsourced staffed service.</w:t>
      </w:r>
    </w:p>
    <w:p>
      <w:pPr>
        <w:pStyle w:val="ListBullet"/>
      </w:pPr>
      <w:r>
        <w:t>Client buy now, pay later: Added F186; distinct from merchant working capital F178.</w:t>
      </w:r>
    </w:p>
    <w:p>
      <w:pPr>
        <w:pStyle w:val="ListBullet"/>
      </w:pPr>
      <w:r>
        <w:t>Optional card-fee offset/surcharge: Added F187; conditional on applicable rules, processor support and transparent disclosure.</w:t>
      </w:r>
    </w:p>
    <w:p>
      <w:pPr>
        <w:pStyle w:val="ListBullet"/>
      </w:pPr>
      <w:r>
        <w:t>Reserve with Google and native social Book actions: Added F188; generic links alone were insufficient.</w:t>
      </w:r>
    </w:p>
    <w:p>
      <w:pPr>
        <w:pStyle w:val="ListBullet"/>
      </w:pPr>
      <w:r>
        <w:t>Free/volume-capped entry and transparent client/acquisition fees: Added F189; economic option to test, not guaranteed winning pricing.</w:t>
      </w:r>
    </w:p>
    <w:p>
      <w:pPr>
        <w:pStyle w:val="ListBullet"/>
      </w:pPr>
      <w:r>
        <w:t>Month-to-month/self-service cancel/downgrade and historical access: Added F190; complements export F119.</w:t>
      </w:r>
    </w:p>
    <w:p>
      <w:pPr>
        <w:pStyle w:val="ListBullet"/>
      </w:pPr>
      <w:r>
        <w:t>Dedicated SMS marketing campaign workflow: Added F191; email builder alone did not cover it.</w:t>
      </w:r>
    </w:p>
    <w:p>
      <w:pPr>
        <w:pStyle w:val="ListBullet"/>
      </w:pPr>
      <w:r>
        <w:t>Guest booking without account or app: F075 explicitly expanded; optional F031 portal remains separate.</w:t>
      </w:r>
    </w:p>
    <w:p>
      <w:pPr>
        <w:pStyle w:val="ListBullet"/>
      </w:pPr>
      <w:r>
        <w:t>Express owner-initiated booking confirmation: Mapped to F075/F084/F107; root notified to make client confirmation/card link explicit.</w:t>
      </w:r>
    </w:p>
    <w:p>
      <w:pPr>
        <w:pStyle w:val="ListBullet"/>
      </w:pPr>
      <w:r>
        <w:t>Client-phone checkout of remaining balance: Mapped to F085/F107; root notified to make hosted balance-payment link explicit.</w:t>
      </w:r>
    </w:p>
    <w:p>
      <w:pPr>
        <w:pStyle w:val="ListBullet"/>
      </w:pPr>
      <w:r>
        <w:t>Final audit additions: F198 recurring booth/chair rent and F199 invoice/receivables management. Inventory stocktakes, cash drawer movements, corrective appointments and practitioner price/duration overrides were made explicit.</w:t>
      </w:r>
    </w:p>
    <w:p>
      <w:pPr>
        <w:pStyle w:val="Heading2"/>
      </w:pPr>
      <w:r>
        <w:t>10 2 Complete row mapping</w:t>
      </w:r>
    </w:p>
    <w:p>
      <w:pPr>
        <w:pStyle w:val="Heading3"/>
      </w:pPr>
      <w:r>
        <w:t>Feature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576"/>
        <w:gridCol w:w="4320"/>
        <w:gridCol w:w="5328"/>
      </w:tblGrid>
      <w:tr>
        <w:trPr>
          <w:tblHeader/>
        </w:trPr>
        <w:tc>
          <w:tcPr>
            <w:tcW w:type="dxa" w:w="576"/>
            <w:vAlign w:val="top"/>
            <w:shd w:fill="173F50"/>
          </w:tcPr>
          <w:p>
            <w:pPr>
              <w:keepNext/>
              <w:spacing w:after="50" w:before="20" w:line="250" w:lineRule="auto"/>
            </w:pPr>
            <w:r>
              <w:rPr>
                <w:rFonts w:ascii="Arial" w:hAnsi="Arial"/>
                <w:b/>
                <w:color w:val="FFFFFF"/>
                <w:sz w:val="18"/>
              </w:rPr>
              <w:t>Row</w:t>
            </w:r>
          </w:p>
        </w:tc>
        <w:tc>
          <w:tcPr>
            <w:tcW w:type="dxa" w:w="4320"/>
            <w:vAlign w:val="top"/>
            <w:shd w:fill="173F50"/>
          </w:tcPr>
          <w:p>
            <w:pPr>
              <w:keepNext/>
              <w:spacing w:after="50" w:before="20" w:line="250" w:lineRule="auto"/>
            </w:pPr>
            <w:r>
              <w:rPr>
                <w:rFonts w:ascii="Arial" w:hAnsi="Arial"/>
                <w:b/>
                <w:color w:val="FFFFFF"/>
                <w:sz w:val="18"/>
              </w:rPr>
              <w:t>Original idea</w:t>
            </w:r>
          </w:p>
        </w:tc>
        <w:tc>
          <w:tcPr>
            <w:tcW w:type="dxa" w:w="5328"/>
            <w:vAlign w:val="top"/>
            <w:shd w:fill="173F50"/>
          </w:tcPr>
          <w:p>
            <w:pPr>
              <w:keepNext/>
              <w:spacing w:after="50" w:before="20" w:line="250" w:lineRule="auto"/>
            </w:pPr>
            <w:r>
              <w:rPr>
                <w:rFonts w:ascii="Arial" w:hAnsi="Arial"/>
                <w:b/>
                <w:color w:val="FFFFFF"/>
                <w:sz w:val="18"/>
              </w:rPr>
              <w:t>Merged scope and decision</w:t>
            </w:r>
          </w:p>
        </w:tc>
      </w:tr>
      <w:tr>
        <w:trPr>
          <w:cantSplit/>
        </w:trPr>
        <w:tc>
          <w:tcPr>
            <w:tcW w:type="dxa" w:w="576"/>
            <w:vAlign w:val="top"/>
          </w:tcPr>
          <w:p>
            <w:pPr>
              <w:keepNext w:val="0"/>
              <w:spacing w:after="50" w:before="20" w:line="250" w:lineRule="auto"/>
            </w:pPr>
            <w:r>
              <w:rPr>
                <w:rFonts w:ascii="Arial" w:hAnsi="Arial"/>
                <w:sz w:val="18"/>
              </w:rPr>
              <w:t>5</w:t>
            </w:r>
          </w:p>
        </w:tc>
        <w:tc>
          <w:tcPr>
            <w:tcW w:type="dxa" w:w="4320"/>
            <w:vAlign w:val="top"/>
          </w:tcPr>
          <w:p>
            <w:pPr>
              <w:keepNext w:val="0"/>
              <w:spacing w:after="50" w:before="20" w:line="250" w:lineRule="auto"/>
            </w:pPr>
            <w:r>
              <w:rPr>
                <w:rFonts w:ascii="Arial" w:hAnsi="Arial"/>
                <w:sz w:val="18"/>
              </w:rPr>
              <w:t>24/7 online booking page / client self-booking</w:t>
            </w:r>
          </w:p>
        </w:tc>
        <w:tc>
          <w:tcPr>
            <w:tcW w:type="dxa" w:w="5328"/>
            <w:vAlign w:val="top"/>
          </w:tcPr>
          <w:p>
            <w:pPr>
              <w:keepNext w:val="0"/>
              <w:spacing w:after="50" w:before="20" w:line="250" w:lineRule="auto"/>
            </w:pPr>
            <w:r>
              <w:rPr>
                <w:rFonts w:ascii="Arial" w:hAnsi="Arial"/>
                <w:sz w:val="18"/>
              </w:rPr>
              <w:t>F075, F002</w:t>
              <w:br/>
              <w:t>Expanded. Adds atomic slot holds, eligibility, timezone handling and a consistent service catalog.</w:t>
            </w:r>
          </w:p>
        </w:tc>
      </w:tr>
      <w:tr>
        <w:trPr>
          <w:cantSplit/>
        </w:trPr>
        <w:tc>
          <w:tcPr>
            <w:tcW w:type="dxa" w:w="576"/>
            <w:vAlign w:val="top"/>
            <w:shd w:fill="F3F6F7"/>
          </w:tcPr>
          <w:p>
            <w:pPr>
              <w:keepNext w:val="0"/>
              <w:spacing w:after="50" w:before="20" w:line="250" w:lineRule="auto"/>
            </w:pPr>
            <w:r>
              <w:rPr>
                <w:rFonts w:ascii="Arial" w:hAnsi="Arial"/>
                <w:sz w:val="18"/>
              </w:rPr>
              <w:t>6</w:t>
            </w:r>
          </w:p>
        </w:tc>
        <w:tc>
          <w:tcPr>
            <w:tcW w:type="dxa" w:w="4320"/>
            <w:vAlign w:val="top"/>
            <w:shd w:fill="F3F6F7"/>
          </w:tcPr>
          <w:p>
            <w:pPr>
              <w:keepNext w:val="0"/>
              <w:spacing w:after="50" w:before="20" w:line="250" w:lineRule="auto"/>
            </w:pPr>
            <w:r>
              <w:rPr>
                <w:rFonts w:ascii="Arial" w:hAnsi="Arial"/>
                <w:sz w:val="18"/>
              </w:rPr>
              <w:t>Client can book without creating an account or downloading an app</w:t>
            </w:r>
          </w:p>
        </w:tc>
        <w:tc>
          <w:tcPr>
            <w:tcW w:type="dxa" w:w="5328"/>
            <w:vAlign w:val="top"/>
            <w:shd w:fill="F3F6F7"/>
          </w:tcPr>
          <w:p>
            <w:pPr>
              <w:keepNext w:val="0"/>
              <w:spacing w:after="50" w:before="20" w:line="250" w:lineRule="auto"/>
            </w:pPr>
            <w:r>
              <w:rPr>
                <w:rFonts w:ascii="Arial" w:hAnsi="Arial"/>
                <w:sz w:val="18"/>
              </w:rPr>
              <w:t>F075, F031</w:t>
              <w:br/>
              <w:t>Expanded. Guest booking explicitly requires no account/app; an optional secure portal supports later access.</w:t>
            </w:r>
          </w:p>
        </w:tc>
      </w:tr>
      <w:tr>
        <w:trPr>
          <w:cantSplit/>
        </w:trPr>
        <w:tc>
          <w:tcPr>
            <w:tcW w:type="dxa" w:w="576"/>
            <w:vAlign w:val="top"/>
          </w:tcPr>
          <w:p>
            <w:pPr>
              <w:keepNext w:val="0"/>
              <w:spacing w:after="50" w:before="20" w:line="250" w:lineRule="auto"/>
            </w:pPr>
            <w:r>
              <w:rPr>
                <w:rFonts w:ascii="Arial" w:hAnsi="Arial"/>
                <w:sz w:val="18"/>
              </w:rPr>
              <w:t>7</w:t>
            </w:r>
          </w:p>
        </w:tc>
        <w:tc>
          <w:tcPr>
            <w:tcW w:type="dxa" w:w="4320"/>
            <w:vAlign w:val="top"/>
          </w:tcPr>
          <w:p>
            <w:pPr>
              <w:keepNext w:val="0"/>
              <w:spacing w:after="50" w:before="20" w:line="250" w:lineRule="auto"/>
            </w:pPr>
            <w:r>
              <w:rPr>
                <w:rFonts w:ascii="Arial" w:hAnsi="Arial"/>
                <w:sz w:val="18"/>
              </w:rPr>
              <w:t>Booking deposits / prepayment</w:t>
            </w:r>
          </w:p>
        </w:tc>
        <w:tc>
          <w:tcPr>
            <w:tcW w:type="dxa" w:w="5328"/>
            <w:vAlign w:val="top"/>
          </w:tcPr>
          <w:p>
            <w:pPr>
              <w:keepNext w:val="0"/>
              <w:spacing w:after="50" w:before="20" w:line="250" w:lineRule="auto"/>
            </w:pPr>
            <w:r>
              <w:rPr>
                <w:rFonts w:ascii="Arial" w:hAnsi="Arial"/>
                <w:sz w:val="18"/>
              </w:rPr>
              <w:t>F084, F026</w:t>
              <w:br/>
              <w:t>Expanded. Separate deposits, processor-supported preauthorizations and service-specific policy rules.</w:t>
            </w:r>
          </w:p>
        </w:tc>
      </w:tr>
      <w:tr>
        <w:trPr>
          <w:cantSplit/>
        </w:trPr>
        <w:tc>
          <w:tcPr>
            <w:tcW w:type="dxa" w:w="576"/>
            <w:vAlign w:val="top"/>
            <w:shd w:fill="F3F6F7"/>
          </w:tcPr>
          <w:p>
            <w:pPr>
              <w:keepNext w:val="0"/>
              <w:spacing w:after="50" w:before="20" w:line="250" w:lineRule="auto"/>
            </w:pPr>
            <w:r>
              <w:rPr>
                <w:rFonts w:ascii="Arial" w:hAnsi="Arial"/>
                <w:sz w:val="18"/>
              </w:rPr>
              <w:t>8</w:t>
            </w:r>
          </w:p>
        </w:tc>
        <w:tc>
          <w:tcPr>
            <w:tcW w:type="dxa" w:w="4320"/>
            <w:vAlign w:val="top"/>
            <w:shd w:fill="F3F6F7"/>
          </w:tcPr>
          <w:p>
            <w:pPr>
              <w:keepNext w:val="0"/>
              <w:spacing w:after="50" w:before="20" w:line="250" w:lineRule="auto"/>
            </w:pPr>
            <w:r>
              <w:rPr>
                <w:rFonts w:ascii="Arial" w:hAnsi="Arial"/>
                <w:sz w:val="18"/>
              </w:rPr>
              <w:t>Card-on-file late-cancel / no-show fees</w:t>
            </w:r>
          </w:p>
        </w:tc>
        <w:tc>
          <w:tcPr>
            <w:tcW w:type="dxa" w:w="5328"/>
            <w:vAlign w:val="top"/>
            <w:shd w:fill="F3F6F7"/>
          </w:tcPr>
          <w:p>
            <w:pPr>
              <w:keepNext w:val="0"/>
              <w:spacing w:after="50" w:before="20" w:line="250" w:lineRule="auto"/>
            </w:pPr>
            <w:r>
              <w:rPr>
                <w:rFonts w:ascii="Arial" w:hAnsi="Arial"/>
                <w:sz w:val="18"/>
              </w:rPr>
              <w:t>F088, F089, F004</w:t>
              <w:br/>
              <w:t>Expanded. Include acknowledged rules, declined charges, disputes and reviewable evidence; no guaranteed recovery.</w:t>
            </w:r>
          </w:p>
        </w:tc>
      </w:tr>
      <w:tr>
        <w:trPr>
          <w:cantSplit/>
        </w:trPr>
        <w:tc>
          <w:tcPr>
            <w:tcW w:type="dxa" w:w="576"/>
            <w:vAlign w:val="top"/>
          </w:tcPr>
          <w:p>
            <w:pPr>
              <w:keepNext w:val="0"/>
              <w:spacing w:after="50" w:before="20" w:line="250" w:lineRule="auto"/>
            </w:pPr>
            <w:r>
              <w:rPr>
                <w:rFonts w:ascii="Arial" w:hAnsi="Arial"/>
                <w:sz w:val="18"/>
              </w:rPr>
              <w:t>9</w:t>
            </w:r>
          </w:p>
        </w:tc>
        <w:tc>
          <w:tcPr>
            <w:tcW w:type="dxa" w:w="4320"/>
            <w:vAlign w:val="top"/>
          </w:tcPr>
          <w:p>
            <w:pPr>
              <w:keepNext w:val="0"/>
              <w:spacing w:after="50" w:before="20" w:line="250" w:lineRule="auto"/>
            </w:pPr>
            <w:r>
              <w:rPr>
                <w:rFonts w:ascii="Arial" w:hAnsi="Arial"/>
                <w:sz w:val="18"/>
              </w:rPr>
              <w:t>Waitlist (auto-notify when a slot opens)</w:t>
            </w:r>
          </w:p>
        </w:tc>
        <w:tc>
          <w:tcPr>
            <w:tcW w:type="dxa" w:w="5328"/>
            <w:vAlign w:val="top"/>
          </w:tcPr>
          <w:p>
            <w:pPr>
              <w:keepNext w:val="0"/>
              <w:spacing w:after="50" w:before="20" w:line="250" w:lineRule="auto"/>
            </w:pPr>
            <w:r>
              <w:rPr>
                <w:rFonts w:ascii="Arial" w:hAnsi="Arial"/>
                <w:sz w:val="18"/>
              </w:rPr>
              <w:t>F081, F082, F136</w:t>
              <w:br/>
              <w:t>Expanded. Timed claims, preference matching, capacity recovery and transparent priority rules.</w:t>
            </w:r>
          </w:p>
        </w:tc>
      </w:tr>
      <w:tr>
        <w:trPr>
          <w:cantSplit/>
        </w:trPr>
        <w:tc>
          <w:tcPr>
            <w:tcW w:type="dxa" w:w="576"/>
            <w:vAlign w:val="top"/>
            <w:shd w:fill="F3F6F7"/>
          </w:tcPr>
          <w:p>
            <w:pPr>
              <w:keepNext w:val="0"/>
              <w:spacing w:after="50" w:before="20" w:line="250" w:lineRule="auto"/>
            </w:pPr>
            <w:r>
              <w:rPr>
                <w:rFonts w:ascii="Arial" w:hAnsi="Arial"/>
                <w:sz w:val="18"/>
              </w:rPr>
              <w:t>10</w:t>
            </w:r>
          </w:p>
        </w:tc>
        <w:tc>
          <w:tcPr>
            <w:tcW w:type="dxa" w:w="4320"/>
            <w:vAlign w:val="top"/>
            <w:shd w:fill="F3F6F7"/>
          </w:tcPr>
          <w:p>
            <w:pPr>
              <w:keepNext w:val="0"/>
              <w:spacing w:after="50" w:before="20" w:line="250" w:lineRule="auto"/>
            </w:pPr>
            <w:r>
              <w:rPr>
                <w:rFonts w:ascii="Arial" w:hAnsi="Arial"/>
                <w:sz w:val="18"/>
              </w:rPr>
              <w:t>Reserve with Google / Google Business booking</w:t>
            </w:r>
          </w:p>
        </w:tc>
        <w:tc>
          <w:tcPr>
            <w:tcW w:type="dxa" w:w="5328"/>
            <w:vAlign w:val="top"/>
            <w:shd w:fill="F3F6F7"/>
          </w:tcPr>
          <w:p>
            <w:pPr>
              <w:keepNext w:val="0"/>
              <w:spacing w:after="50" w:before="20" w:line="250" w:lineRule="auto"/>
            </w:pPr>
            <w:r>
              <w:rPr>
                <w:rFonts w:ascii="Arial" w:hAnsi="Arial"/>
                <w:sz w:val="18"/>
              </w:rPr>
              <w:t>F188, F033</w:t>
              <w:br/>
              <w:t>Expanded. Explicit Reserve with Google integration, not merely a generic website link.</w:t>
            </w:r>
          </w:p>
        </w:tc>
      </w:tr>
      <w:tr>
        <w:trPr>
          <w:cantSplit/>
        </w:trPr>
        <w:tc>
          <w:tcPr>
            <w:tcW w:type="dxa" w:w="576"/>
            <w:vAlign w:val="top"/>
          </w:tcPr>
          <w:p>
            <w:pPr>
              <w:keepNext w:val="0"/>
              <w:spacing w:after="50" w:before="20" w:line="250" w:lineRule="auto"/>
            </w:pPr>
            <w:r>
              <w:rPr>
                <w:rFonts w:ascii="Arial" w:hAnsi="Arial"/>
                <w:sz w:val="18"/>
              </w:rPr>
              <w:t>11</w:t>
            </w:r>
          </w:p>
        </w:tc>
        <w:tc>
          <w:tcPr>
            <w:tcW w:type="dxa" w:w="4320"/>
            <w:vAlign w:val="top"/>
          </w:tcPr>
          <w:p>
            <w:pPr>
              <w:keepNext w:val="0"/>
              <w:spacing w:after="50" w:before="20" w:line="250" w:lineRule="auto"/>
            </w:pPr>
            <w:r>
              <w:rPr>
                <w:rFonts w:ascii="Arial" w:hAnsi="Arial"/>
                <w:sz w:val="18"/>
              </w:rPr>
              <w:t>Instagram / Facebook 'Book' button</w:t>
            </w:r>
          </w:p>
        </w:tc>
        <w:tc>
          <w:tcPr>
            <w:tcW w:type="dxa" w:w="5328"/>
            <w:vAlign w:val="top"/>
          </w:tcPr>
          <w:p>
            <w:pPr>
              <w:keepNext w:val="0"/>
              <w:spacing w:after="50" w:before="20" w:line="250" w:lineRule="auto"/>
            </w:pPr>
            <w:r>
              <w:rPr>
                <w:rFonts w:ascii="Arial" w:hAnsi="Arial"/>
                <w:sz w:val="18"/>
              </w:rPr>
              <w:t>F188, F005</w:t>
              <w:br/>
              <w:t>Expanded. Native channel integrations where supported plus direct service/practitioner links.</w:t>
            </w:r>
          </w:p>
        </w:tc>
      </w:tr>
      <w:tr>
        <w:trPr>
          <w:cantSplit/>
        </w:trPr>
        <w:tc>
          <w:tcPr>
            <w:tcW w:type="dxa" w:w="576"/>
            <w:vAlign w:val="top"/>
            <w:shd w:fill="F3F6F7"/>
          </w:tcPr>
          <w:p>
            <w:pPr>
              <w:keepNext w:val="0"/>
              <w:spacing w:after="50" w:before="20" w:line="250" w:lineRule="auto"/>
            </w:pPr>
            <w:r>
              <w:rPr>
                <w:rFonts w:ascii="Arial" w:hAnsi="Arial"/>
                <w:sz w:val="18"/>
              </w:rPr>
              <w:t>12</w:t>
            </w:r>
          </w:p>
        </w:tc>
        <w:tc>
          <w:tcPr>
            <w:tcW w:type="dxa" w:w="4320"/>
            <w:vAlign w:val="top"/>
            <w:shd w:fill="F3F6F7"/>
          </w:tcPr>
          <w:p>
            <w:pPr>
              <w:keepNext w:val="0"/>
              <w:spacing w:after="50" w:before="20" w:line="250" w:lineRule="auto"/>
            </w:pPr>
            <w:r>
              <w:rPr>
                <w:rFonts w:ascii="Arial" w:hAnsi="Arial"/>
                <w:sz w:val="18"/>
              </w:rPr>
              <w:t>Service add-ons at booking</w:t>
            </w:r>
          </w:p>
        </w:tc>
        <w:tc>
          <w:tcPr>
            <w:tcW w:type="dxa" w:w="5328"/>
            <w:vAlign w:val="top"/>
            <w:shd w:fill="F3F6F7"/>
          </w:tcPr>
          <w:p>
            <w:pPr>
              <w:keepNext w:val="0"/>
              <w:spacing w:after="50" w:before="20" w:line="250" w:lineRule="auto"/>
            </w:pPr>
            <w:r>
              <w:rPr>
                <w:rFonts w:ascii="Arial" w:hAnsi="Arial"/>
                <w:sz w:val="18"/>
              </w:rPr>
              <w:t>F002, F044, F085</w:t>
              <w:br/>
              <w:t>Retained. Eligible add-ons carry correct duration, price and resource impact.</w:t>
            </w:r>
          </w:p>
        </w:tc>
      </w:tr>
      <w:tr>
        <w:trPr>
          <w:cantSplit/>
        </w:trPr>
        <w:tc>
          <w:tcPr>
            <w:tcW w:type="dxa" w:w="576"/>
            <w:vAlign w:val="top"/>
          </w:tcPr>
          <w:p>
            <w:pPr>
              <w:keepNext w:val="0"/>
              <w:spacing w:after="50" w:before="20" w:line="250" w:lineRule="auto"/>
            </w:pPr>
            <w:r>
              <w:rPr>
                <w:rFonts w:ascii="Arial" w:hAnsi="Arial"/>
                <w:sz w:val="18"/>
              </w:rPr>
              <w:t>13</w:t>
            </w:r>
          </w:p>
        </w:tc>
        <w:tc>
          <w:tcPr>
            <w:tcW w:type="dxa" w:w="4320"/>
            <w:vAlign w:val="top"/>
          </w:tcPr>
          <w:p>
            <w:pPr>
              <w:keepNext w:val="0"/>
              <w:spacing w:after="50" w:before="20" w:line="250" w:lineRule="auto"/>
            </w:pPr>
            <w:r>
              <w:rPr>
                <w:rFonts w:ascii="Arial" w:hAnsi="Arial"/>
                <w:sz w:val="18"/>
              </w:rPr>
              <w:t>Website / booking-site builder</w:t>
            </w:r>
          </w:p>
        </w:tc>
        <w:tc>
          <w:tcPr>
            <w:tcW w:type="dxa" w:w="5328"/>
            <w:vAlign w:val="top"/>
          </w:tcPr>
          <w:p>
            <w:pPr>
              <w:keepNext w:val="0"/>
              <w:spacing w:after="50" w:before="20" w:line="250" w:lineRule="auto"/>
            </w:pPr>
            <w:r>
              <w:rPr>
                <w:rFonts w:ascii="Arial" w:hAnsi="Arial"/>
                <w:sz w:val="18"/>
              </w:rPr>
              <w:t>F001, F032, F106, F166</w:t>
              <w:br/>
              <w:t>Expanded. One brand kit propagates to the full client journey and documents.</w:t>
            </w:r>
          </w:p>
        </w:tc>
      </w:tr>
      <w:tr>
        <w:trPr>
          <w:cantSplit/>
        </w:trPr>
        <w:tc>
          <w:tcPr>
            <w:tcW w:type="dxa" w:w="576"/>
            <w:vAlign w:val="top"/>
            <w:shd w:fill="F3F6F7"/>
          </w:tcPr>
          <w:p>
            <w:pPr>
              <w:keepNext w:val="0"/>
              <w:spacing w:after="50" w:before="20" w:line="250" w:lineRule="auto"/>
            </w:pPr>
            <w:r>
              <w:rPr>
                <w:rFonts w:ascii="Arial" w:hAnsi="Arial"/>
                <w:sz w:val="18"/>
              </w:rPr>
              <w:t>14</w:t>
            </w:r>
          </w:p>
        </w:tc>
        <w:tc>
          <w:tcPr>
            <w:tcW w:type="dxa" w:w="4320"/>
            <w:vAlign w:val="top"/>
            <w:shd w:fill="F3F6F7"/>
          </w:tcPr>
          <w:p>
            <w:pPr>
              <w:keepNext w:val="0"/>
              <w:spacing w:after="50" w:before="20" w:line="250" w:lineRule="auto"/>
            </w:pPr>
            <w:r>
              <w:rPr>
                <w:rFonts w:ascii="Arial" w:hAnsi="Arial"/>
                <w:sz w:val="18"/>
              </w:rPr>
              <w:t>Multiple staff calendars</w:t>
            </w:r>
          </w:p>
        </w:tc>
        <w:tc>
          <w:tcPr>
            <w:tcW w:type="dxa" w:w="5328"/>
            <w:vAlign w:val="top"/>
            <w:shd w:fill="F3F6F7"/>
          </w:tcPr>
          <w:p>
            <w:pPr>
              <w:keepNext w:val="0"/>
              <w:spacing w:after="50" w:before="20" w:line="250" w:lineRule="auto"/>
            </w:pPr>
            <w:r>
              <w:rPr>
                <w:rFonts w:ascii="Arial" w:hAnsi="Arial"/>
                <w:sz w:val="18"/>
              </w:rPr>
              <w:t>F027, F054, F075</w:t>
              <w:br/>
              <w:t>Expanded. Working views, shifts and eligibility share a reliable availability engine.</w:t>
            </w:r>
          </w:p>
        </w:tc>
      </w:tr>
      <w:tr>
        <w:trPr>
          <w:cantSplit/>
        </w:trPr>
        <w:tc>
          <w:tcPr>
            <w:tcW w:type="dxa" w:w="576"/>
            <w:vAlign w:val="top"/>
          </w:tcPr>
          <w:p>
            <w:pPr>
              <w:keepNext w:val="0"/>
              <w:spacing w:after="50" w:before="20" w:line="250" w:lineRule="auto"/>
            </w:pPr>
            <w:r>
              <w:rPr>
                <w:rFonts w:ascii="Arial" w:hAnsi="Arial"/>
                <w:sz w:val="18"/>
              </w:rPr>
              <w:t>15</w:t>
            </w:r>
          </w:p>
        </w:tc>
        <w:tc>
          <w:tcPr>
            <w:tcW w:type="dxa" w:w="4320"/>
            <w:vAlign w:val="top"/>
          </w:tcPr>
          <w:p>
            <w:pPr>
              <w:keepNext w:val="0"/>
              <w:spacing w:after="50" w:before="20" w:line="250" w:lineRule="auto"/>
            </w:pPr>
            <w:r>
              <w:rPr>
                <w:rFonts w:ascii="Arial" w:hAnsi="Arial"/>
                <w:sz w:val="18"/>
              </w:rPr>
              <w:t>Processing / gap / finishing time</w:t>
            </w:r>
          </w:p>
        </w:tc>
        <w:tc>
          <w:tcPr>
            <w:tcW w:type="dxa" w:w="5328"/>
            <w:vAlign w:val="top"/>
          </w:tcPr>
          <w:p>
            <w:pPr>
              <w:keepNext w:val="0"/>
              <w:spacing w:after="50" w:before="20" w:line="250" w:lineRule="auto"/>
            </w:pPr>
            <w:r>
              <w:rPr>
                <w:rFonts w:ascii="Arial" w:hAnsi="Arial"/>
                <w:sz w:val="18"/>
              </w:rPr>
              <w:t>F077</w:t>
              <w:br/>
              <w:t>Retained. Hands-on, processing and finishing segments remain explicit.</w:t>
            </w:r>
          </w:p>
        </w:tc>
      </w:tr>
      <w:tr>
        <w:trPr>
          <w:cantSplit/>
        </w:trPr>
        <w:tc>
          <w:tcPr>
            <w:tcW w:type="dxa" w:w="576"/>
            <w:vAlign w:val="top"/>
            <w:shd w:fill="F3F6F7"/>
          </w:tcPr>
          <w:p>
            <w:pPr>
              <w:keepNext w:val="0"/>
              <w:spacing w:after="50" w:before="20" w:line="250" w:lineRule="auto"/>
            </w:pPr>
            <w:r>
              <w:rPr>
                <w:rFonts w:ascii="Arial" w:hAnsi="Arial"/>
                <w:sz w:val="18"/>
              </w:rPr>
              <w:t>16</w:t>
            </w:r>
          </w:p>
        </w:tc>
        <w:tc>
          <w:tcPr>
            <w:tcW w:type="dxa" w:w="4320"/>
            <w:vAlign w:val="top"/>
            <w:shd w:fill="F3F6F7"/>
          </w:tcPr>
          <w:p>
            <w:pPr>
              <w:keepNext w:val="0"/>
              <w:spacing w:after="50" w:before="20" w:line="250" w:lineRule="auto"/>
            </w:pPr>
            <w:r>
              <w:rPr>
                <w:rFonts w:ascii="Arial" w:hAnsi="Arial"/>
                <w:sz w:val="18"/>
              </w:rPr>
              <w:t>Room / equipment / resource scheduling</w:t>
            </w:r>
          </w:p>
        </w:tc>
        <w:tc>
          <w:tcPr>
            <w:tcW w:type="dxa" w:w="5328"/>
            <w:vAlign w:val="top"/>
            <w:shd w:fill="F3F6F7"/>
          </w:tcPr>
          <w:p>
            <w:pPr>
              <w:keepNext w:val="0"/>
              <w:spacing w:after="50" w:before="20" w:line="250" w:lineRule="auto"/>
            </w:pPr>
            <w:r>
              <w:rPr>
                <w:rFonts w:ascii="Arial" w:hAnsi="Arial"/>
                <w:sz w:val="18"/>
              </w:rPr>
              <w:t>F076, F126</w:t>
              <w:br/>
              <w:t>Expanded. Includes cleanup periods and service readiness dependencies.</w:t>
            </w:r>
          </w:p>
        </w:tc>
      </w:tr>
      <w:tr>
        <w:trPr>
          <w:cantSplit/>
        </w:trPr>
        <w:tc>
          <w:tcPr>
            <w:tcW w:type="dxa" w:w="576"/>
            <w:vAlign w:val="top"/>
          </w:tcPr>
          <w:p>
            <w:pPr>
              <w:keepNext w:val="0"/>
              <w:spacing w:after="50" w:before="20" w:line="250" w:lineRule="auto"/>
            </w:pPr>
            <w:r>
              <w:rPr>
                <w:rFonts w:ascii="Arial" w:hAnsi="Arial"/>
                <w:sz w:val="18"/>
              </w:rPr>
              <w:t>17</w:t>
            </w:r>
          </w:p>
        </w:tc>
        <w:tc>
          <w:tcPr>
            <w:tcW w:type="dxa" w:w="4320"/>
            <w:vAlign w:val="top"/>
          </w:tcPr>
          <w:p>
            <w:pPr>
              <w:keepNext w:val="0"/>
              <w:spacing w:after="50" w:before="20" w:line="250" w:lineRule="auto"/>
            </w:pPr>
            <w:r>
              <w:rPr>
                <w:rFonts w:ascii="Arial" w:hAnsi="Arial"/>
                <w:sz w:val="18"/>
              </w:rPr>
              <w:t>Two-way Google/Outlook calendar sync</w:t>
            </w:r>
          </w:p>
        </w:tc>
        <w:tc>
          <w:tcPr>
            <w:tcW w:type="dxa" w:w="5328"/>
            <w:vAlign w:val="top"/>
          </w:tcPr>
          <w:p>
            <w:pPr>
              <w:keepNext w:val="0"/>
              <w:spacing w:after="50" w:before="20" w:line="250" w:lineRule="auto"/>
            </w:pPr>
            <w:r>
              <w:rPr>
                <w:rFonts w:ascii="Arial" w:hAnsi="Arial"/>
                <w:sz w:val="18"/>
              </w:rPr>
              <w:t>F083, F133</w:t>
              <w:br/>
              <w:t>Expanded. Adds deduplication, conflicts and connection-health visibility.</w:t>
            </w:r>
          </w:p>
        </w:tc>
      </w:tr>
      <w:tr>
        <w:trPr>
          <w:cantSplit/>
        </w:trPr>
        <w:tc>
          <w:tcPr>
            <w:tcW w:type="dxa" w:w="576"/>
            <w:vAlign w:val="top"/>
            <w:shd w:fill="F3F6F7"/>
          </w:tcPr>
          <w:p>
            <w:pPr>
              <w:keepNext w:val="0"/>
              <w:spacing w:after="50" w:before="20" w:line="250" w:lineRule="auto"/>
            </w:pPr>
            <w:r>
              <w:rPr>
                <w:rFonts w:ascii="Arial" w:hAnsi="Arial"/>
                <w:sz w:val="18"/>
              </w:rPr>
              <w:t>18</w:t>
            </w:r>
          </w:p>
        </w:tc>
        <w:tc>
          <w:tcPr>
            <w:tcW w:type="dxa" w:w="4320"/>
            <w:vAlign w:val="top"/>
            <w:shd w:fill="F3F6F7"/>
          </w:tcPr>
          <w:p>
            <w:pPr>
              <w:keepNext w:val="0"/>
              <w:spacing w:after="50" w:before="20" w:line="250" w:lineRule="auto"/>
            </w:pPr>
            <w:r>
              <w:rPr>
                <w:rFonts w:ascii="Arial" w:hAnsi="Arial"/>
                <w:sz w:val="18"/>
              </w:rPr>
              <w:t>Group / class booking</w:t>
            </w:r>
          </w:p>
        </w:tc>
        <w:tc>
          <w:tcPr>
            <w:tcW w:type="dxa" w:w="5328"/>
            <w:vAlign w:val="top"/>
            <w:shd w:fill="F3F6F7"/>
          </w:tcPr>
          <w:p>
            <w:pPr>
              <w:keepNext w:val="0"/>
              <w:spacing w:after="50" w:before="20" w:line="250" w:lineRule="auto"/>
            </w:pPr>
            <w:r>
              <w:rPr>
                <w:rFonts w:ascii="Arial" w:hAnsi="Arial"/>
                <w:sz w:val="18"/>
              </w:rPr>
              <w:t>F079, F080, F128</w:t>
              <w:br/>
              <w:t>Expanded. Separate household/group visits from classes and guardian/payer permissions.</w:t>
            </w:r>
          </w:p>
        </w:tc>
      </w:tr>
      <w:tr>
        <w:trPr>
          <w:cantSplit/>
        </w:trPr>
        <w:tc>
          <w:tcPr>
            <w:tcW w:type="dxa" w:w="576"/>
            <w:vAlign w:val="top"/>
          </w:tcPr>
          <w:p>
            <w:pPr>
              <w:keepNext w:val="0"/>
              <w:spacing w:after="50" w:before="20" w:line="250" w:lineRule="auto"/>
            </w:pPr>
            <w:r>
              <w:rPr>
                <w:rFonts w:ascii="Arial" w:hAnsi="Arial"/>
                <w:sz w:val="18"/>
              </w:rPr>
              <w:t>19</w:t>
            </w:r>
          </w:p>
        </w:tc>
        <w:tc>
          <w:tcPr>
            <w:tcW w:type="dxa" w:w="4320"/>
            <w:vAlign w:val="top"/>
          </w:tcPr>
          <w:p>
            <w:pPr>
              <w:keepNext w:val="0"/>
              <w:spacing w:after="50" w:before="20" w:line="250" w:lineRule="auto"/>
            </w:pPr>
            <w:r>
              <w:rPr>
                <w:rFonts w:ascii="Arial" w:hAnsi="Arial"/>
                <w:sz w:val="18"/>
              </w:rPr>
              <w:t>Client profiles, notes, visit &amp; purchase history</w:t>
            </w:r>
          </w:p>
        </w:tc>
        <w:tc>
          <w:tcPr>
            <w:tcW w:type="dxa" w:w="5328"/>
            <w:vAlign w:val="top"/>
          </w:tcPr>
          <w:p>
            <w:pPr>
              <w:keepNext w:val="0"/>
              <w:spacing w:after="50" w:before="20" w:line="250" w:lineRule="auto"/>
            </w:pPr>
            <w:r>
              <w:rPr>
                <w:rFonts w:ascii="Arial" w:hAnsi="Arial"/>
                <w:sz w:val="18"/>
              </w:rPr>
              <w:t>F025, F013, F103</w:t>
              <w:br/>
              <w:t>Expanded. Unified timeline with preferences, duplicate resolution and provenance.</w:t>
            </w:r>
          </w:p>
        </w:tc>
      </w:tr>
      <w:tr>
        <w:trPr>
          <w:cantSplit/>
        </w:trPr>
        <w:tc>
          <w:tcPr>
            <w:tcW w:type="dxa" w:w="576"/>
            <w:vAlign w:val="top"/>
            <w:shd w:fill="F3F6F7"/>
          </w:tcPr>
          <w:p>
            <w:pPr>
              <w:keepNext w:val="0"/>
              <w:spacing w:after="50" w:before="20" w:line="250" w:lineRule="auto"/>
            </w:pPr>
            <w:r>
              <w:rPr>
                <w:rFonts w:ascii="Arial" w:hAnsi="Arial"/>
                <w:sz w:val="18"/>
              </w:rPr>
              <w:t>20</w:t>
            </w:r>
          </w:p>
        </w:tc>
        <w:tc>
          <w:tcPr>
            <w:tcW w:type="dxa" w:w="4320"/>
            <w:vAlign w:val="top"/>
            <w:shd w:fill="F3F6F7"/>
          </w:tcPr>
          <w:p>
            <w:pPr>
              <w:keepNext w:val="0"/>
              <w:spacing w:after="50" w:before="20" w:line="250" w:lineRule="auto"/>
            </w:pPr>
            <w:r>
              <w:rPr>
                <w:rFonts w:ascii="Arial" w:hAnsi="Arial"/>
                <w:sz w:val="18"/>
              </w:rPr>
              <w:t>Two-way client texting / inbox</w:t>
            </w:r>
          </w:p>
        </w:tc>
        <w:tc>
          <w:tcPr>
            <w:tcW w:type="dxa" w:w="5328"/>
            <w:vAlign w:val="top"/>
            <w:shd w:fill="F3F6F7"/>
          </w:tcPr>
          <w:p>
            <w:pPr>
              <w:keepNext w:val="0"/>
              <w:spacing w:after="50" w:before="20" w:line="250" w:lineRule="auto"/>
            </w:pPr>
            <w:r>
              <w:rPr>
                <w:rFonts w:ascii="Arial" w:hAnsi="Arial"/>
                <w:sz w:val="18"/>
              </w:rPr>
              <w:t>F109, F111, F072</w:t>
              <w:br/>
              <w:t>Expanded. Shared inbox with assignment, deliverability, consent and business-number portability.</w:t>
            </w:r>
          </w:p>
        </w:tc>
      </w:tr>
      <w:tr>
        <w:trPr>
          <w:cantSplit/>
        </w:trPr>
        <w:tc>
          <w:tcPr>
            <w:tcW w:type="dxa" w:w="576"/>
            <w:vAlign w:val="top"/>
          </w:tcPr>
          <w:p>
            <w:pPr>
              <w:keepNext w:val="0"/>
              <w:spacing w:after="50" w:before="20" w:line="250" w:lineRule="auto"/>
            </w:pPr>
            <w:r>
              <w:rPr>
                <w:rFonts w:ascii="Arial" w:hAnsi="Arial"/>
                <w:sz w:val="18"/>
              </w:rPr>
              <w:t>21</w:t>
            </w:r>
          </w:p>
        </w:tc>
        <w:tc>
          <w:tcPr>
            <w:tcW w:type="dxa" w:w="4320"/>
            <w:vAlign w:val="top"/>
          </w:tcPr>
          <w:p>
            <w:pPr>
              <w:keepNext w:val="0"/>
              <w:spacing w:after="50" w:before="20" w:line="250" w:lineRule="auto"/>
            </w:pPr>
            <w:r>
              <w:rPr>
                <w:rFonts w:ascii="Arial" w:hAnsi="Arial"/>
                <w:sz w:val="18"/>
              </w:rPr>
              <w:t>Client tags / segmentation</w:t>
            </w:r>
          </w:p>
        </w:tc>
        <w:tc>
          <w:tcPr>
            <w:tcW w:type="dxa" w:w="5328"/>
            <w:vAlign w:val="top"/>
          </w:tcPr>
          <w:p>
            <w:pPr>
              <w:keepNext w:val="0"/>
              <w:spacing w:after="50" w:before="20" w:line="250" w:lineRule="auto"/>
            </w:pPr>
            <w:r>
              <w:rPr>
                <w:rFonts w:ascii="Arial" w:hAnsi="Arial"/>
                <w:sz w:val="18"/>
              </w:rPr>
              <w:t>F049, F114</w:t>
              <w:br/>
              <w:t>Expanded. Segments connect to repeat-visit analysis and expected service cadence.</w:t>
            </w:r>
          </w:p>
        </w:tc>
      </w:tr>
      <w:tr>
        <w:trPr>
          <w:cantSplit/>
        </w:trPr>
        <w:tc>
          <w:tcPr>
            <w:tcW w:type="dxa" w:w="576"/>
            <w:vAlign w:val="top"/>
            <w:shd w:fill="F3F6F7"/>
          </w:tcPr>
          <w:p>
            <w:pPr>
              <w:keepNext w:val="0"/>
              <w:spacing w:after="50" w:before="20" w:line="250" w:lineRule="auto"/>
            </w:pPr>
            <w:r>
              <w:rPr>
                <w:rFonts w:ascii="Arial" w:hAnsi="Arial"/>
                <w:sz w:val="18"/>
              </w:rPr>
              <w:t>22</w:t>
            </w:r>
          </w:p>
        </w:tc>
        <w:tc>
          <w:tcPr>
            <w:tcW w:type="dxa" w:w="4320"/>
            <w:vAlign w:val="top"/>
            <w:shd w:fill="F3F6F7"/>
          </w:tcPr>
          <w:p>
            <w:pPr>
              <w:keepNext w:val="0"/>
              <w:spacing w:after="50" w:before="20" w:line="250" w:lineRule="auto"/>
            </w:pPr>
            <w:r>
              <w:rPr>
                <w:rFonts w:ascii="Arial" w:hAnsi="Arial"/>
                <w:sz w:val="18"/>
              </w:rPr>
              <w:t>Digital intake / consent forms with e-signature</w:t>
            </w:r>
          </w:p>
        </w:tc>
        <w:tc>
          <w:tcPr>
            <w:tcW w:type="dxa" w:w="5328"/>
            <w:vAlign w:val="top"/>
            <w:shd w:fill="F3F6F7"/>
          </w:tcPr>
          <w:p>
            <w:pPr>
              <w:keepNext w:val="0"/>
              <w:spacing w:after="50" w:before="20" w:line="250" w:lineRule="auto"/>
            </w:pPr>
            <w:r>
              <w:rPr>
                <w:rFonts w:ascii="Arial" w:hAnsi="Arial"/>
                <w:sz w:val="18"/>
              </w:rPr>
              <w:t>F035, F043, F100</w:t>
              <w:br/>
              <w:t>Expanded. Accessible branching, appointment-specific document sets and versioned signature evidence.</w:t>
            </w:r>
          </w:p>
        </w:tc>
      </w:tr>
      <w:tr>
        <w:trPr>
          <w:cantSplit/>
        </w:trPr>
        <w:tc>
          <w:tcPr>
            <w:tcW w:type="dxa" w:w="576"/>
            <w:vAlign w:val="top"/>
          </w:tcPr>
          <w:p>
            <w:pPr>
              <w:keepNext w:val="0"/>
              <w:spacing w:after="50" w:before="20" w:line="250" w:lineRule="auto"/>
            </w:pPr>
            <w:r>
              <w:rPr>
                <w:rFonts w:ascii="Arial" w:hAnsi="Arial"/>
                <w:sz w:val="18"/>
              </w:rPr>
              <w:t>23</w:t>
            </w:r>
          </w:p>
        </w:tc>
        <w:tc>
          <w:tcPr>
            <w:tcW w:type="dxa" w:w="4320"/>
            <w:vAlign w:val="top"/>
          </w:tcPr>
          <w:p>
            <w:pPr>
              <w:keepNext w:val="0"/>
              <w:spacing w:after="50" w:before="20" w:line="250" w:lineRule="auto"/>
            </w:pPr>
            <w:r>
              <w:rPr>
                <w:rFonts w:ascii="Arial" w:hAnsi="Arial"/>
                <w:sz w:val="18"/>
              </w:rPr>
              <w:t>SOAP / treatment notes (charting)</w:t>
            </w:r>
          </w:p>
        </w:tc>
        <w:tc>
          <w:tcPr>
            <w:tcW w:type="dxa" w:w="5328"/>
            <w:vAlign w:val="top"/>
          </w:tcPr>
          <w:p>
            <w:pPr>
              <w:keepNext w:val="0"/>
              <w:spacing w:after="50" w:before="20" w:line="250" w:lineRule="auto"/>
            </w:pPr>
            <w:r>
              <w:rPr>
                <w:rFonts w:ascii="Arial" w:hAnsi="Arial"/>
                <w:sz w:val="18"/>
              </w:rPr>
              <w:t>F038, F101, F161</w:t>
              <w:br/>
              <w:t>Expanded. Distinguish nonmedical treatment notes from regulated clinical records.</w:t>
            </w:r>
          </w:p>
        </w:tc>
      </w:tr>
      <w:tr>
        <w:trPr>
          <w:cantSplit/>
        </w:trPr>
        <w:tc>
          <w:tcPr>
            <w:tcW w:type="dxa" w:w="576"/>
            <w:vAlign w:val="top"/>
            <w:shd w:fill="F3F6F7"/>
          </w:tcPr>
          <w:p>
            <w:pPr>
              <w:keepNext w:val="0"/>
              <w:spacing w:after="50" w:before="20" w:line="250" w:lineRule="auto"/>
            </w:pPr>
            <w:r>
              <w:rPr>
                <w:rFonts w:ascii="Arial" w:hAnsi="Arial"/>
                <w:sz w:val="18"/>
              </w:rPr>
              <w:t>24</w:t>
            </w:r>
          </w:p>
        </w:tc>
        <w:tc>
          <w:tcPr>
            <w:tcW w:type="dxa" w:w="4320"/>
            <w:vAlign w:val="top"/>
            <w:shd w:fill="F3F6F7"/>
          </w:tcPr>
          <w:p>
            <w:pPr>
              <w:keepNext w:val="0"/>
              <w:spacing w:after="50" w:before="20" w:line="250" w:lineRule="auto"/>
            </w:pPr>
            <w:r>
              <w:rPr>
                <w:rFonts w:ascii="Arial" w:hAnsi="Arial"/>
                <w:sz w:val="18"/>
              </w:rPr>
              <w:t>Before/after photos stored in client record</w:t>
            </w:r>
          </w:p>
        </w:tc>
        <w:tc>
          <w:tcPr>
            <w:tcW w:type="dxa" w:w="5328"/>
            <w:vAlign w:val="top"/>
            <w:shd w:fill="F3F6F7"/>
          </w:tcPr>
          <w:p>
            <w:pPr>
              <w:keepNext w:val="0"/>
              <w:spacing w:after="50" w:before="20" w:line="250" w:lineRule="auto"/>
            </w:pPr>
            <w:r>
              <w:rPr>
                <w:rFonts w:ascii="Arial" w:hAnsi="Arial"/>
                <w:sz w:val="18"/>
              </w:rPr>
              <w:t>F102, F064, F101</w:t>
              <w:br/>
              <w:t>Expanded. Standardized capture and separate internal versus marketing consent.</w:t>
            </w:r>
          </w:p>
        </w:tc>
      </w:tr>
      <w:tr>
        <w:trPr>
          <w:cantSplit/>
        </w:trPr>
        <w:tc>
          <w:tcPr>
            <w:tcW w:type="dxa" w:w="576"/>
            <w:vAlign w:val="top"/>
          </w:tcPr>
          <w:p>
            <w:pPr>
              <w:keepNext w:val="0"/>
              <w:spacing w:after="50" w:before="20" w:line="250" w:lineRule="auto"/>
            </w:pPr>
            <w:r>
              <w:rPr>
                <w:rFonts w:ascii="Arial" w:hAnsi="Arial"/>
                <w:sz w:val="18"/>
              </w:rPr>
              <w:t>25</w:t>
            </w:r>
          </w:p>
        </w:tc>
        <w:tc>
          <w:tcPr>
            <w:tcW w:type="dxa" w:w="4320"/>
            <w:vAlign w:val="top"/>
          </w:tcPr>
          <w:p>
            <w:pPr>
              <w:keepNext w:val="0"/>
              <w:spacing w:after="50" w:before="20" w:line="250" w:lineRule="auto"/>
            </w:pPr>
            <w:r>
              <w:rPr>
                <w:rFonts w:ascii="Arial" w:hAnsi="Arial"/>
                <w:sz w:val="18"/>
              </w:rPr>
              <w:t>Photo markup / face mapping</w:t>
            </w:r>
          </w:p>
        </w:tc>
        <w:tc>
          <w:tcPr>
            <w:tcW w:type="dxa" w:w="5328"/>
            <w:vAlign w:val="top"/>
          </w:tcPr>
          <w:p>
            <w:pPr>
              <w:keepNext w:val="0"/>
              <w:spacing w:after="50" w:before="20" w:line="250" w:lineRule="auto"/>
            </w:pPr>
            <w:r>
              <w:rPr>
                <w:rFonts w:ascii="Arial" w:hAnsi="Arial"/>
                <w:sz w:val="18"/>
              </w:rPr>
              <w:t>F039, F102</w:t>
              <w:br/>
              <w:t>Retained. Annotated copies preserve original images.</w:t>
            </w:r>
          </w:p>
        </w:tc>
      </w:tr>
      <w:tr>
        <w:trPr>
          <w:cantSplit/>
        </w:trPr>
        <w:tc>
          <w:tcPr>
            <w:tcW w:type="dxa" w:w="576"/>
            <w:vAlign w:val="top"/>
            <w:shd w:fill="F3F6F7"/>
          </w:tcPr>
          <w:p>
            <w:pPr>
              <w:keepNext w:val="0"/>
              <w:spacing w:after="50" w:before="20" w:line="250" w:lineRule="auto"/>
            </w:pPr>
            <w:r>
              <w:rPr>
                <w:rFonts w:ascii="Arial" w:hAnsi="Arial"/>
                <w:sz w:val="18"/>
              </w:rPr>
              <w:t>26</w:t>
            </w:r>
          </w:p>
        </w:tc>
        <w:tc>
          <w:tcPr>
            <w:tcW w:type="dxa" w:w="4320"/>
            <w:vAlign w:val="top"/>
            <w:shd w:fill="F3F6F7"/>
          </w:tcPr>
          <w:p>
            <w:pPr>
              <w:keepNext w:val="0"/>
              <w:spacing w:after="50" w:before="20" w:line="250" w:lineRule="auto"/>
            </w:pPr>
            <w:r>
              <w:rPr>
                <w:rFonts w:ascii="Arial" w:hAnsi="Arial"/>
                <w:sz w:val="18"/>
              </w:rPr>
              <w:t>Medical director sign-off / EMR / e-prescribe</w:t>
            </w:r>
          </w:p>
        </w:tc>
        <w:tc>
          <w:tcPr>
            <w:tcW w:type="dxa" w:w="5328"/>
            <w:vAlign w:val="top"/>
            <w:shd w:fill="F3F6F7"/>
          </w:tcPr>
          <w:p>
            <w:pPr>
              <w:keepNext w:val="0"/>
              <w:spacing w:after="50" w:before="20" w:line="250" w:lineRule="auto"/>
            </w:pPr>
            <w:r>
              <w:rPr>
                <w:rFonts w:ascii="Arial" w:hAnsi="Arial"/>
                <w:sz w:val="18"/>
              </w:rPr>
              <w:t>F161, F174</w:t>
              <w:br/>
              <w:t>Deferred. Medical records/signoff and prescribing stay explicit specialist workstreams.</w:t>
            </w:r>
          </w:p>
        </w:tc>
      </w:tr>
      <w:tr>
        <w:trPr>
          <w:cantSplit/>
        </w:trPr>
        <w:tc>
          <w:tcPr>
            <w:tcW w:type="dxa" w:w="576"/>
            <w:vAlign w:val="top"/>
          </w:tcPr>
          <w:p>
            <w:pPr>
              <w:keepNext w:val="0"/>
              <w:spacing w:after="50" w:before="20" w:line="250" w:lineRule="auto"/>
            </w:pPr>
            <w:r>
              <w:rPr>
                <w:rFonts w:ascii="Arial" w:hAnsi="Arial"/>
                <w:sz w:val="18"/>
              </w:rPr>
              <w:t>27</w:t>
            </w:r>
          </w:p>
        </w:tc>
        <w:tc>
          <w:tcPr>
            <w:tcW w:type="dxa" w:w="4320"/>
            <w:vAlign w:val="top"/>
          </w:tcPr>
          <w:p>
            <w:pPr>
              <w:keepNext w:val="0"/>
              <w:spacing w:after="50" w:before="20" w:line="250" w:lineRule="auto"/>
            </w:pPr>
            <w:r>
              <w:rPr>
                <w:rFonts w:ascii="Arial" w:hAnsi="Arial"/>
                <w:sz w:val="18"/>
              </w:rPr>
              <w:t>HIPAA compliance</w:t>
            </w:r>
          </w:p>
        </w:tc>
        <w:tc>
          <w:tcPr>
            <w:tcW w:type="dxa" w:w="5328"/>
            <w:vAlign w:val="top"/>
          </w:tcPr>
          <w:p>
            <w:pPr>
              <w:keepNext w:val="0"/>
              <w:spacing w:after="50" w:before="20" w:line="250" w:lineRule="auto"/>
            </w:pPr>
            <w:r>
              <w:rPr>
                <w:rFonts w:ascii="Arial" w:hAnsi="Arial"/>
                <w:sz w:val="18"/>
              </w:rPr>
              <w:t>F073, F101, F159, F161</w:t>
              <w:br/>
              <w:t>Reframed. HIPAA readiness is contracts, controls, operations and appropriate workflows, not one generic feature switch.</w:t>
            </w:r>
          </w:p>
        </w:tc>
      </w:tr>
      <w:tr>
        <w:trPr>
          <w:cantSplit/>
        </w:trPr>
        <w:tc>
          <w:tcPr>
            <w:tcW w:type="dxa" w:w="576"/>
            <w:vAlign w:val="top"/>
            <w:shd w:fill="F3F6F7"/>
          </w:tcPr>
          <w:p>
            <w:pPr>
              <w:keepNext w:val="0"/>
              <w:spacing w:after="50" w:before="20" w:line="250" w:lineRule="auto"/>
            </w:pPr>
            <w:r>
              <w:rPr>
                <w:rFonts w:ascii="Arial" w:hAnsi="Arial"/>
                <w:sz w:val="18"/>
              </w:rPr>
              <w:t>28</w:t>
            </w:r>
          </w:p>
        </w:tc>
        <w:tc>
          <w:tcPr>
            <w:tcW w:type="dxa" w:w="4320"/>
            <w:vAlign w:val="top"/>
            <w:shd w:fill="F3F6F7"/>
          </w:tcPr>
          <w:p>
            <w:pPr>
              <w:keepNext w:val="0"/>
              <w:spacing w:after="50" w:before="20" w:line="250" w:lineRule="auto"/>
            </w:pPr>
            <w:r>
              <w:rPr>
                <w:rFonts w:ascii="Arial" w:hAnsi="Arial"/>
                <w:sz w:val="18"/>
              </w:rPr>
              <w:t>Patch test / contraindication tracking</w:t>
            </w:r>
          </w:p>
        </w:tc>
        <w:tc>
          <w:tcPr>
            <w:tcW w:type="dxa" w:w="5328"/>
            <w:vAlign w:val="top"/>
            <w:shd w:fill="F3F6F7"/>
          </w:tcPr>
          <w:p>
            <w:pPr>
              <w:keepNext w:val="0"/>
              <w:spacing w:after="50" w:before="20" w:line="250" w:lineRule="auto"/>
            </w:pPr>
            <w:r>
              <w:rPr>
                <w:rFonts w:ascii="Arial" w:hAnsi="Arial"/>
                <w:sz w:val="18"/>
              </w:rPr>
              <w:t>F042, F126, F162</w:t>
              <w:br/>
              <w:t>Reframed. Document practitioner-defined prerequisites and review flags; avoid blanket medical eligibility decisions.</w:t>
            </w:r>
          </w:p>
        </w:tc>
      </w:tr>
      <w:tr>
        <w:trPr>
          <w:cantSplit/>
        </w:trPr>
        <w:tc>
          <w:tcPr>
            <w:tcW w:type="dxa" w:w="576"/>
            <w:vAlign w:val="top"/>
          </w:tcPr>
          <w:p>
            <w:pPr>
              <w:keepNext w:val="0"/>
              <w:spacing w:after="50" w:before="20" w:line="250" w:lineRule="auto"/>
            </w:pPr>
            <w:r>
              <w:rPr>
                <w:rFonts w:ascii="Arial" w:hAnsi="Arial"/>
                <w:sz w:val="18"/>
              </w:rPr>
              <w:t>29</w:t>
            </w:r>
          </w:p>
        </w:tc>
        <w:tc>
          <w:tcPr>
            <w:tcW w:type="dxa" w:w="4320"/>
            <w:vAlign w:val="top"/>
          </w:tcPr>
          <w:p>
            <w:pPr>
              <w:keepNext w:val="0"/>
              <w:spacing w:after="50" w:before="20" w:line="250" w:lineRule="auto"/>
            </w:pPr>
            <w:r>
              <w:rPr>
                <w:rFonts w:ascii="Arial" w:hAnsi="Arial"/>
                <w:sz w:val="18"/>
              </w:rPr>
              <w:t>Product used / home-care tracking in treatment notes</w:t>
            </w:r>
          </w:p>
        </w:tc>
        <w:tc>
          <w:tcPr>
            <w:tcW w:type="dxa" w:w="5328"/>
            <w:vAlign w:val="top"/>
          </w:tcPr>
          <w:p>
            <w:pPr>
              <w:keepNext w:val="0"/>
              <w:spacing w:after="50" w:before="20" w:line="250" w:lineRule="auto"/>
            </w:pPr>
            <w:r>
              <w:rPr>
                <w:rFonts w:ascii="Arial" w:hAnsi="Arial"/>
                <w:sz w:val="18"/>
              </w:rPr>
              <w:t>F038, F040, F124, F125</w:t>
              <w:br/>
              <w:t>Expanded. Home-care records plus fractional product use, lots and expiry.</w:t>
            </w:r>
          </w:p>
        </w:tc>
      </w:tr>
      <w:tr>
        <w:trPr>
          <w:cantSplit/>
        </w:trPr>
        <w:tc>
          <w:tcPr>
            <w:tcW w:type="dxa" w:w="576"/>
            <w:vAlign w:val="top"/>
            <w:shd w:fill="F3F6F7"/>
          </w:tcPr>
          <w:p>
            <w:pPr>
              <w:keepNext w:val="0"/>
              <w:spacing w:after="50" w:before="20" w:line="250" w:lineRule="auto"/>
            </w:pPr>
            <w:r>
              <w:rPr>
                <w:rFonts w:ascii="Arial" w:hAnsi="Arial"/>
                <w:sz w:val="18"/>
              </w:rPr>
              <w:t>30</w:t>
            </w:r>
          </w:p>
        </w:tc>
        <w:tc>
          <w:tcPr>
            <w:tcW w:type="dxa" w:w="4320"/>
            <w:vAlign w:val="top"/>
            <w:shd w:fill="F3F6F7"/>
          </w:tcPr>
          <w:p>
            <w:pPr>
              <w:keepNext w:val="0"/>
              <w:spacing w:after="50" w:before="20" w:line="250" w:lineRule="auto"/>
            </w:pPr>
            <w:r>
              <w:rPr>
                <w:rFonts w:ascii="Arial" w:hAnsi="Arial"/>
                <w:sz w:val="18"/>
              </w:rPr>
              <w:t>Integrated payment processing</w:t>
            </w:r>
          </w:p>
        </w:tc>
        <w:tc>
          <w:tcPr>
            <w:tcW w:type="dxa" w:w="5328"/>
            <w:vAlign w:val="top"/>
            <w:shd w:fill="F3F6F7"/>
          </w:tcPr>
          <w:p>
            <w:pPr>
              <w:keepNext w:val="0"/>
              <w:spacing w:after="50" w:before="20" w:line="250" w:lineRule="auto"/>
            </w:pPr>
            <w:r>
              <w:rPr>
                <w:rFonts w:ascii="Arial" w:hAnsi="Arial"/>
                <w:sz w:val="18"/>
              </w:rPr>
              <w:t>F074, F085, F090</w:t>
              <w:br/>
              <w:t>Expanded. Checkout is backed by an auditable ledger and payout reconciliation.</w:t>
            </w:r>
          </w:p>
        </w:tc>
      </w:tr>
      <w:tr>
        <w:trPr>
          <w:cantSplit/>
        </w:trPr>
        <w:tc>
          <w:tcPr>
            <w:tcW w:type="dxa" w:w="576"/>
            <w:vAlign w:val="top"/>
          </w:tcPr>
          <w:p>
            <w:pPr>
              <w:keepNext w:val="0"/>
              <w:spacing w:after="50" w:before="20" w:line="250" w:lineRule="auto"/>
            </w:pPr>
            <w:r>
              <w:rPr>
                <w:rFonts w:ascii="Arial" w:hAnsi="Arial"/>
                <w:sz w:val="18"/>
              </w:rPr>
              <w:t>31</w:t>
            </w:r>
          </w:p>
        </w:tc>
        <w:tc>
          <w:tcPr>
            <w:tcW w:type="dxa" w:w="4320"/>
            <w:vAlign w:val="top"/>
          </w:tcPr>
          <w:p>
            <w:pPr>
              <w:keepNext w:val="0"/>
              <w:spacing w:after="50" w:before="20" w:line="250" w:lineRule="auto"/>
            </w:pPr>
            <w:r>
              <w:rPr>
                <w:rFonts w:ascii="Arial" w:hAnsi="Arial"/>
                <w:sz w:val="18"/>
              </w:rPr>
              <w:t>Tap to Pay on phone</w:t>
            </w:r>
          </w:p>
        </w:tc>
        <w:tc>
          <w:tcPr>
            <w:tcW w:type="dxa" w:w="5328"/>
            <w:vAlign w:val="top"/>
          </w:tcPr>
          <w:p>
            <w:pPr>
              <w:keepNext w:val="0"/>
              <w:spacing w:after="50" w:before="20" w:line="250" w:lineRule="auto"/>
            </w:pPr>
            <w:r>
              <w:rPr>
                <w:rFonts w:ascii="Arial" w:hAnsi="Arial"/>
                <w:sz w:val="18"/>
              </w:rPr>
              <w:t>F086</w:t>
              <w:br/>
              <w:t>Retained. Use certified partner phone/terminal flows.</w:t>
            </w:r>
          </w:p>
        </w:tc>
      </w:tr>
      <w:tr>
        <w:trPr>
          <w:cantSplit/>
        </w:trPr>
        <w:tc>
          <w:tcPr>
            <w:tcW w:type="dxa" w:w="576"/>
            <w:vAlign w:val="top"/>
            <w:shd w:fill="F3F6F7"/>
          </w:tcPr>
          <w:p>
            <w:pPr>
              <w:keepNext w:val="0"/>
              <w:spacing w:after="50" w:before="20" w:line="250" w:lineRule="auto"/>
            </w:pPr>
            <w:r>
              <w:rPr>
                <w:rFonts w:ascii="Arial" w:hAnsi="Arial"/>
                <w:sz w:val="18"/>
              </w:rPr>
              <w:t>32</w:t>
            </w:r>
          </w:p>
        </w:tc>
        <w:tc>
          <w:tcPr>
            <w:tcW w:type="dxa" w:w="4320"/>
            <w:vAlign w:val="top"/>
            <w:shd w:fill="F3F6F7"/>
          </w:tcPr>
          <w:p>
            <w:pPr>
              <w:keepNext w:val="0"/>
              <w:spacing w:after="50" w:before="20" w:line="250" w:lineRule="auto"/>
            </w:pPr>
            <w:r>
              <w:rPr>
                <w:rFonts w:ascii="Arial" w:hAnsi="Arial"/>
                <w:sz w:val="18"/>
              </w:rPr>
              <w:t>Buy Now, Pay Later for clients</w:t>
            </w:r>
          </w:p>
        </w:tc>
        <w:tc>
          <w:tcPr>
            <w:tcW w:type="dxa" w:w="5328"/>
            <w:vAlign w:val="top"/>
            <w:shd w:fill="F3F6F7"/>
          </w:tcPr>
          <w:p>
            <w:pPr>
              <w:keepNext w:val="0"/>
              <w:spacing w:after="50" w:before="20" w:line="250" w:lineRule="auto"/>
            </w:pPr>
            <w:r>
              <w:rPr>
                <w:rFonts w:ascii="Arial" w:hAnsi="Arial"/>
                <w:sz w:val="18"/>
              </w:rPr>
              <w:t>F186</w:t>
              <w:br/>
              <w:t>Deferred. Client BNPL is distinct from merchant working capital; partner-led feature.</w:t>
            </w:r>
          </w:p>
        </w:tc>
      </w:tr>
      <w:tr>
        <w:trPr>
          <w:cantSplit/>
        </w:trPr>
        <w:tc>
          <w:tcPr>
            <w:tcW w:type="dxa" w:w="576"/>
            <w:vAlign w:val="top"/>
          </w:tcPr>
          <w:p>
            <w:pPr>
              <w:keepNext w:val="0"/>
              <w:spacing w:after="50" w:before="20" w:line="250" w:lineRule="auto"/>
            </w:pPr>
            <w:r>
              <w:rPr>
                <w:rFonts w:ascii="Arial" w:hAnsi="Arial"/>
                <w:sz w:val="18"/>
              </w:rPr>
              <w:t>33</w:t>
            </w:r>
          </w:p>
        </w:tc>
        <w:tc>
          <w:tcPr>
            <w:tcW w:type="dxa" w:w="4320"/>
            <w:vAlign w:val="top"/>
          </w:tcPr>
          <w:p>
            <w:pPr>
              <w:keepNext w:val="0"/>
              <w:spacing w:after="50" w:before="20" w:line="250" w:lineRule="auto"/>
            </w:pPr>
            <w:r>
              <w:rPr>
                <w:rFonts w:ascii="Arial" w:hAnsi="Arial"/>
                <w:sz w:val="18"/>
              </w:rPr>
              <w:t>Processing-fee pass-through / surcharge program</w:t>
            </w:r>
          </w:p>
        </w:tc>
        <w:tc>
          <w:tcPr>
            <w:tcW w:type="dxa" w:w="5328"/>
            <w:vAlign w:val="top"/>
          </w:tcPr>
          <w:p>
            <w:pPr>
              <w:keepNext w:val="0"/>
              <w:spacing w:after="50" w:before="20" w:line="250" w:lineRule="auto"/>
            </w:pPr>
            <w:r>
              <w:rPr>
                <w:rFonts w:ascii="Arial" w:hAnsi="Arial"/>
                <w:sz w:val="18"/>
              </w:rPr>
              <w:t>F187</w:t>
              <w:br/>
              <w:t>Deferred. Optional, permitted fee-offset flow needs legal/card-network review and explicit disclosure.</w:t>
            </w:r>
          </w:p>
        </w:tc>
      </w:tr>
      <w:tr>
        <w:trPr>
          <w:cantSplit/>
        </w:trPr>
        <w:tc>
          <w:tcPr>
            <w:tcW w:type="dxa" w:w="576"/>
            <w:vAlign w:val="top"/>
            <w:shd w:fill="F3F6F7"/>
          </w:tcPr>
          <w:p>
            <w:pPr>
              <w:keepNext w:val="0"/>
              <w:spacing w:after="50" w:before="20" w:line="250" w:lineRule="auto"/>
            </w:pPr>
            <w:r>
              <w:rPr>
                <w:rFonts w:ascii="Arial" w:hAnsi="Arial"/>
                <w:sz w:val="18"/>
              </w:rPr>
              <w:t>34</w:t>
            </w:r>
          </w:p>
        </w:tc>
        <w:tc>
          <w:tcPr>
            <w:tcW w:type="dxa" w:w="4320"/>
            <w:vAlign w:val="top"/>
            <w:shd w:fill="F3F6F7"/>
          </w:tcPr>
          <w:p>
            <w:pPr>
              <w:keepNext w:val="0"/>
              <w:spacing w:after="50" w:before="20" w:line="250" w:lineRule="auto"/>
            </w:pPr>
            <w:r>
              <w:rPr>
                <w:rFonts w:ascii="Arial" w:hAnsi="Arial"/>
                <w:sz w:val="18"/>
              </w:rPr>
              <w:t>Chargeback / dispute protection or tools</w:t>
            </w:r>
          </w:p>
        </w:tc>
        <w:tc>
          <w:tcPr>
            <w:tcW w:type="dxa" w:w="5328"/>
            <w:vAlign w:val="top"/>
            <w:shd w:fill="F3F6F7"/>
          </w:tcPr>
          <w:p>
            <w:pPr>
              <w:keepNext w:val="0"/>
              <w:spacing w:after="50" w:before="20" w:line="250" w:lineRule="auto"/>
            </w:pPr>
            <w:r>
              <w:rPr>
                <w:rFonts w:ascii="Arial" w:hAnsi="Arial"/>
                <w:sz w:val="18"/>
              </w:rPr>
              <w:t>F089, F179</w:t>
              <w:br/>
              <w:t>Reframed. Ship dispute-evidence tools; financially backed protection is a separate conditional product.</w:t>
            </w:r>
          </w:p>
        </w:tc>
      </w:tr>
      <w:tr>
        <w:trPr>
          <w:cantSplit/>
        </w:trPr>
        <w:tc>
          <w:tcPr>
            <w:tcW w:type="dxa" w:w="576"/>
            <w:vAlign w:val="top"/>
          </w:tcPr>
          <w:p>
            <w:pPr>
              <w:keepNext w:val="0"/>
              <w:spacing w:after="50" w:before="20" w:line="250" w:lineRule="auto"/>
            </w:pPr>
            <w:r>
              <w:rPr>
                <w:rFonts w:ascii="Arial" w:hAnsi="Arial"/>
                <w:sz w:val="18"/>
              </w:rPr>
              <w:t>35</w:t>
            </w:r>
          </w:p>
        </w:tc>
        <w:tc>
          <w:tcPr>
            <w:tcW w:type="dxa" w:w="4320"/>
            <w:vAlign w:val="top"/>
          </w:tcPr>
          <w:p>
            <w:pPr>
              <w:keepNext w:val="0"/>
              <w:spacing w:after="50" w:before="20" w:line="250" w:lineRule="auto"/>
            </w:pPr>
            <w:r>
              <w:rPr>
                <w:rFonts w:ascii="Arial" w:hAnsi="Arial"/>
                <w:sz w:val="18"/>
              </w:rPr>
              <w:t>Tips at checkout / on card</w:t>
            </w:r>
          </w:p>
        </w:tc>
        <w:tc>
          <w:tcPr>
            <w:tcW w:type="dxa" w:w="5328"/>
            <w:vAlign w:val="top"/>
          </w:tcPr>
          <w:p>
            <w:pPr>
              <w:keepNext w:val="0"/>
              <w:spacing w:after="50" w:before="20" w:line="250" w:lineRule="auto"/>
            </w:pPr>
            <w:r>
              <w:rPr>
                <w:rFonts w:ascii="Arial" w:hAnsi="Arial"/>
                <w:sz w:val="18"/>
              </w:rPr>
              <w:t>F094, F097</w:t>
              <w:br/>
              <w:t>Expanded. Optional tips on zero-balance redemptions and allocation across providers.</w:t>
            </w:r>
          </w:p>
        </w:tc>
      </w:tr>
      <w:tr>
        <w:trPr>
          <w:cantSplit/>
        </w:trPr>
        <w:tc>
          <w:tcPr>
            <w:tcW w:type="dxa" w:w="576"/>
            <w:vAlign w:val="top"/>
            <w:shd w:fill="F3F6F7"/>
          </w:tcPr>
          <w:p>
            <w:pPr>
              <w:keepNext w:val="0"/>
              <w:spacing w:after="50" w:before="20" w:line="250" w:lineRule="auto"/>
            </w:pPr>
            <w:r>
              <w:rPr>
                <w:rFonts w:ascii="Arial" w:hAnsi="Arial"/>
                <w:sz w:val="18"/>
              </w:rPr>
              <w:t>36</w:t>
            </w:r>
          </w:p>
        </w:tc>
        <w:tc>
          <w:tcPr>
            <w:tcW w:type="dxa" w:w="4320"/>
            <w:vAlign w:val="top"/>
            <w:shd w:fill="F3F6F7"/>
          </w:tcPr>
          <w:p>
            <w:pPr>
              <w:keepNext w:val="0"/>
              <w:spacing w:after="50" w:before="20" w:line="250" w:lineRule="auto"/>
            </w:pPr>
            <w:r>
              <w:rPr>
                <w:rFonts w:ascii="Arial" w:hAnsi="Arial"/>
                <w:sz w:val="18"/>
              </w:rPr>
              <w:t>Payout speed</w:t>
            </w:r>
          </w:p>
        </w:tc>
        <w:tc>
          <w:tcPr>
            <w:tcW w:type="dxa" w:w="5328"/>
            <w:vAlign w:val="top"/>
            <w:shd w:fill="F3F6F7"/>
          </w:tcPr>
          <w:p>
            <w:pPr>
              <w:keepNext w:val="0"/>
              <w:spacing w:after="50" w:before="20" w:line="250" w:lineRule="auto"/>
            </w:pPr>
            <w:r>
              <w:rPr>
                <w:rFonts w:ascii="Arial" w:hAnsi="Arial"/>
                <w:sz w:val="18"/>
              </w:rPr>
              <w:t>F090</w:t>
              <w:br/>
              <w:t>Expanded. Show processor-supported speed, holds, verification and real status; avoid guaranteed instant access.</w:t>
            </w:r>
          </w:p>
        </w:tc>
      </w:tr>
      <w:tr>
        <w:trPr>
          <w:cantSplit/>
        </w:trPr>
        <w:tc>
          <w:tcPr>
            <w:tcW w:type="dxa" w:w="576"/>
            <w:vAlign w:val="top"/>
          </w:tcPr>
          <w:p>
            <w:pPr>
              <w:keepNext w:val="0"/>
              <w:spacing w:after="50" w:before="20" w:line="250" w:lineRule="auto"/>
            </w:pPr>
            <w:r>
              <w:rPr>
                <w:rFonts w:ascii="Arial" w:hAnsi="Arial"/>
                <w:sz w:val="18"/>
              </w:rPr>
              <w:t>37</w:t>
            </w:r>
          </w:p>
        </w:tc>
        <w:tc>
          <w:tcPr>
            <w:tcW w:type="dxa" w:w="4320"/>
            <w:vAlign w:val="top"/>
          </w:tcPr>
          <w:p>
            <w:pPr>
              <w:keepNext w:val="0"/>
              <w:spacing w:after="50" w:before="20" w:line="250" w:lineRule="auto"/>
            </w:pPr>
            <w:r>
              <w:rPr>
                <w:rFonts w:ascii="Arial" w:hAnsi="Arial"/>
                <w:sz w:val="18"/>
              </w:rPr>
              <w:t>Separate payouts for booth renters / multi-merchant</w:t>
            </w:r>
          </w:p>
        </w:tc>
        <w:tc>
          <w:tcPr>
            <w:tcW w:type="dxa" w:w="5328"/>
            <w:vAlign w:val="top"/>
          </w:tcPr>
          <w:p>
            <w:pPr>
              <w:keepNext w:val="0"/>
              <w:spacing w:after="50" w:before="20" w:line="250" w:lineRule="auto"/>
            </w:pPr>
            <w:r>
              <w:rPr>
                <w:rFonts w:ascii="Arial" w:hAnsi="Arial"/>
                <w:sz w:val="18"/>
              </w:rPr>
              <w:t>F140, F074, F198</w:t>
              <w:br/>
              <w:t>Deferred. Independent merchant ownership and payout separation require dedicated financial architecture. Recurring rent administration is separately captured in F198.</w:t>
            </w:r>
          </w:p>
        </w:tc>
      </w:tr>
      <w:tr>
        <w:trPr>
          <w:cantSplit/>
        </w:trPr>
        <w:tc>
          <w:tcPr>
            <w:tcW w:type="dxa" w:w="576"/>
            <w:vAlign w:val="top"/>
            <w:shd w:fill="F3F6F7"/>
          </w:tcPr>
          <w:p>
            <w:pPr>
              <w:keepNext w:val="0"/>
              <w:spacing w:after="50" w:before="20" w:line="250" w:lineRule="auto"/>
            </w:pPr>
            <w:r>
              <w:rPr>
                <w:rFonts w:ascii="Arial" w:hAnsi="Arial"/>
                <w:sz w:val="18"/>
              </w:rPr>
              <w:t>38</w:t>
            </w:r>
          </w:p>
        </w:tc>
        <w:tc>
          <w:tcPr>
            <w:tcW w:type="dxa" w:w="4320"/>
            <w:vAlign w:val="top"/>
            <w:shd w:fill="F3F6F7"/>
          </w:tcPr>
          <w:p>
            <w:pPr>
              <w:keepNext w:val="0"/>
              <w:spacing w:after="50" w:before="20" w:line="250" w:lineRule="auto"/>
            </w:pPr>
            <w:r>
              <w:rPr>
                <w:rFonts w:ascii="Arial" w:hAnsi="Arial"/>
                <w:sz w:val="18"/>
              </w:rPr>
              <w:t>Gift cards</w:t>
            </w:r>
          </w:p>
        </w:tc>
        <w:tc>
          <w:tcPr>
            <w:tcW w:type="dxa" w:w="5328"/>
            <w:vAlign w:val="top"/>
            <w:shd w:fill="F3F6F7"/>
          </w:tcPr>
          <w:p>
            <w:pPr>
              <w:keepNext w:val="0"/>
              <w:spacing w:after="50" w:before="20" w:line="250" w:lineRule="auto"/>
            </w:pPr>
            <w:r>
              <w:rPr>
                <w:rFonts w:ascii="Arial" w:hAnsi="Arial"/>
                <w:sz w:val="18"/>
              </w:rPr>
              <w:t>F091, F068</w:t>
              <w:br/>
              <w:t>Expanded. Stored-value liability and clear remaining value, expiry and refunds.</w:t>
            </w:r>
          </w:p>
        </w:tc>
      </w:tr>
      <w:tr>
        <w:trPr>
          <w:cantSplit/>
        </w:trPr>
        <w:tc>
          <w:tcPr>
            <w:tcW w:type="dxa" w:w="576"/>
            <w:vAlign w:val="top"/>
          </w:tcPr>
          <w:p>
            <w:pPr>
              <w:keepNext w:val="0"/>
              <w:spacing w:after="50" w:before="20" w:line="250" w:lineRule="auto"/>
            </w:pPr>
            <w:r>
              <w:rPr>
                <w:rFonts w:ascii="Arial" w:hAnsi="Arial"/>
                <w:sz w:val="18"/>
              </w:rPr>
              <w:t>39</w:t>
            </w:r>
          </w:p>
        </w:tc>
        <w:tc>
          <w:tcPr>
            <w:tcW w:type="dxa" w:w="4320"/>
            <w:vAlign w:val="top"/>
          </w:tcPr>
          <w:p>
            <w:pPr>
              <w:keepNext w:val="0"/>
              <w:spacing w:after="50" w:before="20" w:line="250" w:lineRule="auto"/>
            </w:pPr>
            <w:r>
              <w:rPr>
                <w:rFonts w:ascii="Arial" w:hAnsi="Arial"/>
                <w:sz w:val="18"/>
              </w:rPr>
              <w:t>Packages / series</w:t>
            </w:r>
          </w:p>
        </w:tc>
        <w:tc>
          <w:tcPr>
            <w:tcW w:type="dxa" w:w="5328"/>
            <w:vAlign w:val="top"/>
          </w:tcPr>
          <w:p>
            <w:pPr>
              <w:keepNext w:val="0"/>
              <w:spacing w:after="50" w:before="20" w:line="250" w:lineRule="auto"/>
            </w:pPr>
            <w:r>
              <w:rPr>
                <w:rFonts w:ascii="Arial" w:hAnsi="Arial"/>
                <w:sz w:val="18"/>
              </w:rPr>
              <w:t>F092, F068</w:t>
              <w:br/>
              <w:t>Expanded. Session entitlements, partial use, transfer/refund rules and readable balances.</w:t>
            </w:r>
          </w:p>
        </w:tc>
      </w:tr>
      <w:tr>
        <w:trPr>
          <w:cantSplit/>
        </w:trPr>
        <w:tc>
          <w:tcPr>
            <w:tcW w:type="dxa" w:w="576"/>
            <w:vAlign w:val="top"/>
            <w:shd w:fill="F3F6F7"/>
          </w:tcPr>
          <w:p>
            <w:pPr>
              <w:keepNext w:val="0"/>
              <w:spacing w:after="50" w:before="20" w:line="250" w:lineRule="auto"/>
            </w:pPr>
            <w:r>
              <w:rPr>
                <w:rFonts w:ascii="Arial" w:hAnsi="Arial"/>
                <w:sz w:val="18"/>
              </w:rPr>
              <w:t>40</w:t>
            </w:r>
          </w:p>
        </w:tc>
        <w:tc>
          <w:tcPr>
            <w:tcW w:type="dxa" w:w="4320"/>
            <w:vAlign w:val="top"/>
            <w:shd w:fill="F3F6F7"/>
          </w:tcPr>
          <w:p>
            <w:pPr>
              <w:keepNext w:val="0"/>
              <w:spacing w:after="50" w:before="20" w:line="250" w:lineRule="auto"/>
            </w:pPr>
            <w:r>
              <w:rPr>
                <w:rFonts w:ascii="Arial" w:hAnsi="Arial"/>
                <w:sz w:val="18"/>
              </w:rPr>
              <w:t>Memberships / recurring billing</w:t>
            </w:r>
          </w:p>
        </w:tc>
        <w:tc>
          <w:tcPr>
            <w:tcW w:type="dxa" w:w="5328"/>
            <w:vAlign w:val="top"/>
            <w:shd w:fill="F3F6F7"/>
          </w:tcPr>
          <w:p>
            <w:pPr>
              <w:keepNext w:val="0"/>
              <w:spacing w:after="50" w:before="20" w:line="250" w:lineRule="auto"/>
            </w:pPr>
            <w:r>
              <w:rPr>
                <w:rFonts w:ascii="Arial" w:hAnsi="Arial"/>
                <w:sz w:val="18"/>
              </w:rPr>
              <w:t>F093, F068</w:t>
              <w:br/>
              <w:t>Expanded. Pause, cancellation, proration, failures and credits are specified.</w:t>
            </w:r>
          </w:p>
        </w:tc>
      </w:tr>
      <w:tr>
        <w:trPr>
          <w:cantSplit/>
        </w:trPr>
        <w:tc>
          <w:tcPr>
            <w:tcW w:type="dxa" w:w="576"/>
            <w:vAlign w:val="top"/>
          </w:tcPr>
          <w:p>
            <w:pPr>
              <w:keepNext w:val="0"/>
              <w:spacing w:after="50" w:before="20" w:line="250" w:lineRule="auto"/>
            </w:pPr>
            <w:r>
              <w:rPr>
                <w:rFonts w:ascii="Arial" w:hAnsi="Arial"/>
                <w:sz w:val="18"/>
              </w:rPr>
              <w:t>41</w:t>
            </w:r>
          </w:p>
        </w:tc>
        <w:tc>
          <w:tcPr>
            <w:tcW w:type="dxa" w:w="4320"/>
            <w:vAlign w:val="top"/>
          </w:tcPr>
          <w:p>
            <w:pPr>
              <w:keepNext w:val="0"/>
              <w:spacing w:after="50" w:before="20" w:line="250" w:lineRule="auto"/>
            </w:pPr>
            <w:r>
              <w:rPr>
                <w:rFonts w:ascii="Arial" w:hAnsi="Arial"/>
                <w:sz w:val="18"/>
              </w:rPr>
              <w:t>Email marketing campaigns</w:t>
            </w:r>
          </w:p>
        </w:tc>
        <w:tc>
          <w:tcPr>
            <w:tcW w:type="dxa" w:w="5328"/>
            <w:vAlign w:val="top"/>
          </w:tcPr>
          <w:p>
            <w:pPr>
              <w:keepNext w:val="0"/>
              <w:spacing w:after="50" w:before="20" w:line="250" w:lineRule="auto"/>
            </w:pPr>
            <w:r>
              <w:rPr>
                <w:rFonts w:ascii="Arial" w:hAnsi="Arial"/>
                <w:sz w:val="18"/>
              </w:rPr>
              <w:t>F048, F049, F111</w:t>
              <w:br/>
              <w:t>Expanded. Brand-consistent builder with segments, consent and delivery controls.</w:t>
            </w:r>
          </w:p>
        </w:tc>
      </w:tr>
      <w:tr>
        <w:trPr>
          <w:cantSplit/>
        </w:trPr>
        <w:tc>
          <w:tcPr>
            <w:tcW w:type="dxa" w:w="576"/>
            <w:vAlign w:val="top"/>
            <w:shd w:fill="F3F6F7"/>
          </w:tcPr>
          <w:p>
            <w:pPr>
              <w:keepNext w:val="0"/>
              <w:spacing w:after="50" w:before="20" w:line="250" w:lineRule="auto"/>
            </w:pPr>
            <w:r>
              <w:rPr>
                <w:rFonts w:ascii="Arial" w:hAnsi="Arial"/>
                <w:sz w:val="18"/>
              </w:rPr>
              <w:t>42</w:t>
            </w:r>
          </w:p>
        </w:tc>
        <w:tc>
          <w:tcPr>
            <w:tcW w:type="dxa" w:w="4320"/>
            <w:vAlign w:val="top"/>
            <w:shd w:fill="F3F6F7"/>
          </w:tcPr>
          <w:p>
            <w:pPr>
              <w:keepNext w:val="0"/>
              <w:spacing w:after="50" w:before="20" w:line="250" w:lineRule="auto"/>
            </w:pPr>
            <w:r>
              <w:rPr>
                <w:rFonts w:ascii="Arial" w:hAnsi="Arial"/>
                <w:sz w:val="18"/>
              </w:rPr>
              <w:t>SMS / text marketing</w:t>
            </w:r>
          </w:p>
        </w:tc>
        <w:tc>
          <w:tcPr>
            <w:tcW w:type="dxa" w:w="5328"/>
            <w:vAlign w:val="top"/>
            <w:shd w:fill="F3F6F7"/>
          </w:tcPr>
          <w:p>
            <w:pPr>
              <w:keepNext w:val="0"/>
              <w:spacing w:after="50" w:before="20" w:line="250" w:lineRule="auto"/>
            </w:pPr>
            <w:r>
              <w:rPr>
                <w:rFonts w:ascii="Arial" w:hAnsi="Arial"/>
                <w:sz w:val="18"/>
              </w:rPr>
              <w:t>F191, F111, F061</w:t>
              <w:br/>
              <w:t>Expanded. Explicit SMS campaigns include previews, metering, consent and spend controls.</w:t>
            </w:r>
          </w:p>
        </w:tc>
      </w:tr>
      <w:tr>
        <w:trPr>
          <w:cantSplit/>
        </w:trPr>
        <w:tc>
          <w:tcPr>
            <w:tcW w:type="dxa" w:w="576"/>
            <w:vAlign w:val="top"/>
          </w:tcPr>
          <w:p>
            <w:pPr>
              <w:keepNext w:val="0"/>
              <w:spacing w:after="50" w:before="20" w:line="250" w:lineRule="auto"/>
            </w:pPr>
            <w:r>
              <w:rPr>
                <w:rFonts w:ascii="Arial" w:hAnsi="Arial"/>
                <w:sz w:val="18"/>
              </w:rPr>
              <w:t>43</w:t>
            </w:r>
          </w:p>
        </w:tc>
        <w:tc>
          <w:tcPr>
            <w:tcW w:type="dxa" w:w="4320"/>
            <w:vAlign w:val="top"/>
          </w:tcPr>
          <w:p>
            <w:pPr>
              <w:keepNext w:val="0"/>
              <w:spacing w:after="50" w:before="20" w:line="250" w:lineRule="auto"/>
            </w:pPr>
            <w:r>
              <w:rPr>
                <w:rFonts w:ascii="Arial" w:hAnsi="Arial"/>
                <w:sz w:val="18"/>
              </w:rPr>
              <w:t>Automated campaigns (rebook, win-back, birthday)</w:t>
            </w:r>
          </w:p>
        </w:tc>
        <w:tc>
          <w:tcPr>
            <w:tcW w:type="dxa" w:w="5328"/>
            <w:vAlign w:val="top"/>
          </w:tcPr>
          <w:p>
            <w:pPr>
              <w:keepNext w:val="0"/>
              <w:spacing w:after="50" w:before="20" w:line="250" w:lineRule="auto"/>
            </w:pPr>
            <w:r>
              <w:rPr>
                <w:rFonts w:ascii="Arial" w:hAnsi="Arial"/>
                <w:sz w:val="18"/>
              </w:rPr>
              <w:t>F108, F019, F071</w:t>
              <w:br/>
              <w:t>Expanded. Previewable recipes cover win-back, birthday, follow-up and rebooking.</w:t>
            </w:r>
          </w:p>
        </w:tc>
      </w:tr>
      <w:tr>
        <w:trPr>
          <w:cantSplit/>
        </w:trPr>
        <w:tc>
          <w:tcPr>
            <w:tcW w:type="dxa" w:w="576"/>
            <w:vAlign w:val="top"/>
            <w:shd w:fill="F3F6F7"/>
          </w:tcPr>
          <w:p>
            <w:pPr>
              <w:keepNext w:val="0"/>
              <w:spacing w:after="50" w:before="20" w:line="250" w:lineRule="auto"/>
            </w:pPr>
            <w:r>
              <w:rPr>
                <w:rFonts w:ascii="Arial" w:hAnsi="Arial"/>
                <w:sz w:val="18"/>
              </w:rPr>
              <w:t>44</w:t>
            </w:r>
          </w:p>
        </w:tc>
        <w:tc>
          <w:tcPr>
            <w:tcW w:type="dxa" w:w="4320"/>
            <w:vAlign w:val="top"/>
            <w:shd w:fill="F3F6F7"/>
          </w:tcPr>
          <w:p>
            <w:pPr>
              <w:keepNext w:val="0"/>
              <w:spacing w:after="50" w:before="20" w:line="250" w:lineRule="auto"/>
            </w:pPr>
            <w:r>
              <w:rPr>
                <w:rFonts w:ascii="Arial" w:hAnsi="Arial"/>
                <w:sz w:val="18"/>
              </w:rPr>
              <w:t>Review requests / Google review management</w:t>
            </w:r>
          </w:p>
        </w:tc>
        <w:tc>
          <w:tcPr>
            <w:tcW w:type="dxa" w:w="5328"/>
            <w:vAlign w:val="top"/>
            <w:shd w:fill="F3F6F7"/>
          </w:tcPr>
          <w:p>
            <w:pPr>
              <w:keepNext w:val="0"/>
              <w:spacing w:after="50" w:before="20" w:line="250" w:lineRule="auto"/>
            </w:pPr>
            <w:r>
              <w:rPr>
                <w:rFonts w:ascii="Arial" w:hAnsi="Arial"/>
                <w:sz w:val="18"/>
              </w:rPr>
              <w:t>F050, F033</w:t>
              <w:br/>
              <w:t>Reframed. Consistent feedback invitations and public review links without review gating.</w:t>
            </w:r>
          </w:p>
        </w:tc>
      </w:tr>
      <w:tr>
        <w:trPr>
          <w:cantSplit/>
        </w:trPr>
        <w:tc>
          <w:tcPr>
            <w:tcW w:type="dxa" w:w="576"/>
            <w:vAlign w:val="top"/>
          </w:tcPr>
          <w:p>
            <w:pPr>
              <w:keepNext w:val="0"/>
              <w:spacing w:after="50" w:before="20" w:line="250" w:lineRule="auto"/>
            </w:pPr>
            <w:r>
              <w:rPr>
                <w:rFonts w:ascii="Arial" w:hAnsi="Arial"/>
                <w:sz w:val="18"/>
              </w:rPr>
              <w:t>45</w:t>
            </w:r>
          </w:p>
        </w:tc>
        <w:tc>
          <w:tcPr>
            <w:tcW w:type="dxa" w:w="4320"/>
            <w:vAlign w:val="top"/>
          </w:tcPr>
          <w:p>
            <w:pPr>
              <w:keepNext w:val="0"/>
              <w:spacing w:after="50" w:before="20" w:line="250" w:lineRule="auto"/>
            </w:pPr>
            <w:r>
              <w:rPr>
                <w:rFonts w:ascii="Arial" w:hAnsi="Arial"/>
                <w:sz w:val="18"/>
              </w:rPr>
              <w:t>Client referral program</w:t>
            </w:r>
          </w:p>
        </w:tc>
        <w:tc>
          <w:tcPr>
            <w:tcW w:type="dxa" w:w="5328"/>
            <w:vAlign w:val="top"/>
          </w:tcPr>
          <w:p>
            <w:pPr>
              <w:keepNext w:val="0"/>
              <w:spacing w:after="50" w:before="20" w:line="250" w:lineRule="auto"/>
            </w:pPr>
            <w:r>
              <w:rPr>
                <w:rFonts w:ascii="Arial" w:hAnsi="Arial"/>
                <w:sz w:val="18"/>
              </w:rPr>
              <w:t>F051, F116</w:t>
              <w:br/>
              <w:t>Expanded. Qualifying completed-visit rewards and attributable acquisition records.</w:t>
            </w:r>
          </w:p>
        </w:tc>
      </w:tr>
      <w:tr>
        <w:trPr>
          <w:cantSplit/>
        </w:trPr>
        <w:tc>
          <w:tcPr>
            <w:tcW w:type="dxa" w:w="576"/>
            <w:vAlign w:val="top"/>
            <w:shd w:fill="F3F6F7"/>
          </w:tcPr>
          <w:p>
            <w:pPr>
              <w:keepNext w:val="0"/>
              <w:spacing w:after="50" w:before="20" w:line="250" w:lineRule="auto"/>
            </w:pPr>
            <w:r>
              <w:rPr>
                <w:rFonts w:ascii="Arial" w:hAnsi="Arial"/>
                <w:sz w:val="18"/>
              </w:rPr>
              <w:t>46</w:t>
            </w:r>
          </w:p>
        </w:tc>
        <w:tc>
          <w:tcPr>
            <w:tcW w:type="dxa" w:w="4320"/>
            <w:vAlign w:val="top"/>
            <w:shd w:fill="F3F6F7"/>
          </w:tcPr>
          <w:p>
            <w:pPr>
              <w:keepNext w:val="0"/>
              <w:spacing w:after="50" w:before="20" w:line="250" w:lineRule="auto"/>
            </w:pPr>
            <w:r>
              <w:rPr>
                <w:rFonts w:ascii="Arial" w:hAnsi="Arial"/>
                <w:sz w:val="18"/>
              </w:rPr>
              <w:t>Loyalty points program</w:t>
            </w:r>
          </w:p>
        </w:tc>
        <w:tc>
          <w:tcPr>
            <w:tcW w:type="dxa" w:w="5328"/>
            <w:vAlign w:val="top"/>
            <w:shd w:fill="F3F6F7"/>
          </w:tcPr>
          <w:p>
            <w:pPr>
              <w:keepNext w:val="0"/>
              <w:spacing w:after="50" w:before="20" w:line="250" w:lineRule="auto"/>
            </w:pPr>
            <w:r>
              <w:rPr>
                <w:rFonts w:ascii="Arial" w:hAnsi="Arial"/>
                <w:sz w:val="18"/>
              </w:rPr>
              <w:t>F095</w:t>
              <w:br/>
              <w:t>Retained. Reward ledger with reversals and exclusions.</w:t>
            </w:r>
          </w:p>
        </w:tc>
      </w:tr>
      <w:tr>
        <w:trPr>
          <w:cantSplit/>
        </w:trPr>
        <w:tc>
          <w:tcPr>
            <w:tcW w:type="dxa" w:w="576"/>
            <w:vAlign w:val="top"/>
          </w:tcPr>
          <w:p>
            <w:pPr>
              <w:keepNext w:val="0"/>
              <w:spacing w:after="50" w:before="20" w:line="250" w:lineRule="auto"/>
            </w:pPr>
            <w:r>
              <w:rPr>
                <w:rFonts w:ascii="Arial" w:hAnsi="Arial"/>
                <w:sz w:val="18"/>
              </w:rPr>
              <w:t>47</w:t>
            </w:r>
          </w:p>
        </w:tc>
        <w:tc>
          <w:tcPr>
            <w:tcW w:type="dxa" w:w="4320"/>
            <w:vAlign w:val="top"/>
          </w:tcPr>
          <w:p>
            <w:pPr>
              <w:keepNext w:val="0"/>
              <w:spacing w:after="50" w:before="20" w:line="250" w:lineRule="auto"/>
            </w:pPr>
            <w:r>
              <w:rPr>
                <w:rFonts w:ascii="Arial" w:hAnsi="Arial"/>
                <w:sz w:val="18"/>
              </w:rPr>
              <w:t>Deals / promo codes / last-minute fill</w:t>
            </w:r>
          </w:p>
        </w:tc>
        <w:tc>
          <w:tcPr>
            <w:tcW w:type="dxa" w:w="5328"/>
            <w:vAlign w:val="top"/>
          </w:tcPr>
          <w:p>
            <w:pPr>
              <w:keepNext w:val="0"/>
              <w:spacing w:after="50" w:before="20" w:line="250" w:lineRule="auto"/>
            </w:pPr>
            <w:r>
              <w:rPr>
                <w:rFonts w:ascii="Arial" w:hAnsi="Arial"/>
                <w:sz w:val="18"/>
              </w:rPr>
              <w:t>F052, F082, F152, F177</w:t>
              <w:br/>
              <w:t>Expanded. Promotions and cancellation recovery first; marketplace distribution is a later, separate challenge.</w:t>
            </w:r>
          </w:p>
        </w:tc>
      </w:tr>
      <w:tr>
        <w:trPr>
          <w:cantSplit/>
        </w:trPr>
        <w:tc>
          <w:tcPr>
            <w:tcW w:type="dxa" w:w="576"/>
            <w:vAlign w:val="top"/>
            <w:shd w:fill="F3F6F7"/>
          </w:tcPr>
          <w:p>
            <w:pPr>
              <w:keepNext w:val="0"/>
              <w:spacing w:after="50" w:before="20" w:line="250" w:lineRule="auto"/>
            </w:pPr>
            <w:r>
              <w:rPr>
                <w:rFonts w:ascii="Arial" w:hAnsi="Arial"/>
                <w:sz w:val="18"/>
              </w:rPr>
              <w:t>48</w:t>
            </w:r>
          </w:p>
        </w:tc>
        <w:tc>
          <w:tcPr>
            <w:tcW w:type="dxa" w:w="4320"/>
            <w:vAlign w:val="top"/>
            <w:shd w:fill="F3F6F7"/>
          </w:tcPr>
          <w:p>
            <w:pPr>
              <w:keepNext w:val="0"/>
              <w:spacing w:after="50" w:before="20" w:line="250" w:lineRule="auto"/>
            </w:pPr>
            <w:r>
              <w:rPr>
                <w:rFonts w:ascii="Arial" w:hAnsi="Arial"/>
                <w:sz w:val="18"/>
              </w:rPr>
              <w:t>Email confirmations &amp; reminders</w:t>
            </w:r>
          </w:p>
        </w:tc>
        <w:tc>
          <w:tcPr>
            <w:tcW w:type="dxa" w:w="5328"/>
            <w:vAlign w:val="top"/>
            <w:shd w:fill="F3F6F7"/>
          </w:tcPr>
          <w:p>
            <w:pPr>
              <w:keepNext w:val="0"/>
              <w:spacing w:after="50" w:before="20" w:line="250" w:lineRule="auto"/>
            </w:pPr>
            <w:r>
              <w:rPr>
                <w:rFonts w:ascii="Arial" w:hAnsi="Arial"/>
                <w:sz w:val="18"/>
              </w:rPr>
              <w:t>F028, F007</w:t>
              <w:br/>
              <w:t>Retained. Confirmations/reminders use approved templates and delivery status.</w:t>
            </w:r>
          </w:p>
        </w:tc>
      </w:tr>
      <w:tr>
        <w:trPr>
          <w:cantSplit/>
        </w:trPr>
        <w:tc>
          <w:tcPr>
            <w:tcW w:type="dxa" w:w="576"/>
            <w:vAlign w:val="top"/>
          </w:tcPr>
          <w:p>
            <w:pPr>
              <w:keepNext w:val="0"/>
              <w:spacing w:after="50" w:before="20" w:line="250" w:lineRule="auto"/>
            </w:pPr>
            <w:r>
              <w:rPr>
                <w:rFonts w:ascii="Arial" w:hAnsi="Arial"/>
                <w:sz w:val="18"/>
              </w:rPr>
              <w:t>49</w:t>
            </w:r>
          </w:p>
        </w:tc>
        <w:tc>
          <w:tcPr>
            <w:tcW w:type="dxa" w:w="4320"/>
            <w:vAlign w:val="top"/>
          </w:tcPr>
          <w:p>
            <w:pPr>
              <w:keepNext w:val="0"/>
              <w:spacing w:after="50" w:before="20" w:line="250" w:lineRule="auto"/>
            </w:pPr>
            <w:r>
              <w:rPr>
                <w:rFonts w:ascii="Arial" w:hAnsi="Arial"/>
                <w:sz w:val="18"/>
              </w:rPr>
              <w:t>SMS reminders</w:t>
            </w:r>
          </w:p>
        </w:tc>
        <w:tc>
          <w:tcPr>
            <w:tcW w:type="dxa" w:w="5328"/>
            <w:vAlign w:val="top"/>
          </w:tcPr>
          <w:p>
            <w:pPr>
              <w:keepNext w:val="0"/>
              <w:spacing w:after="50" w:before="20" w:line="250" w:lineRule="auto"/>
            </w:pPr>
            <w:r>
              <w:rPr>
                <w:rFonts w:ascii="Arial" w:hAnsi="Arial"/>
                <w:sz w:val="18"/>
              </w:rPr>
              <w:t>F028, F111</w:t>
              <w:br/>
              <w:t>Expanded. Timezone-aware SMS scheduling with consent, quiet hours and retries.</w:t>
            </w:r>
          </w:p>
        </w:tc>
      </w:tr>
      <w:tr>
        <w:trPr>
          <w:cantSplit/>
        </w:trPr>
        <w:tc>
          <w:tcPr>
            <w:tcW w:type="dxa" w:w="576"/>
            <w:vAlign w:val="top"/>
            <w:shd w:fill="F3F6F7"/>
          </w:tcPr>
          <w:p>
            <w:pPr>
              <w:keepNext w:val="0"/>
              <w:spacing w:after="50" w:before="20" w:line="250" w:lineRule="auto"/>
            </w:pPr>
            <w:r>
              <w:rPr>
                <w:rFonts w:ascii="Arial" w:hAnsi="Arial"/>
                <w:sz w:val="18"/>
              </w:rPr>
              <w:t>50</w:t>
            </w:r>
          </w:p>
        </w:tc>
        <w:tc>
          <w:tcPr>
            <w:tcW w:type="dxa" w:w="4320"/>
            <w:vAlign w:val="top"/>
            <w:shd w:fill="F3F6F7"/>
          </w:tcPr>
          <w:p>
            <w:pPr>
              <w:keepNext w:val="0"/>
              <w:spacing w:after="50" w:before="20" w:line="250" w:lineRule="auto"/>
            </w:pPr>
            <w:r>
              <w:rPr>
                <w:rFonts w:ascii="Arial" w:hAnsi="Arial"/>
                <w:sz w:val="18"/>
              </w:rPr>
              <w:t>Client confirm / reschedule by replying or link</w:t>
            </w:r>
          </w:p>
        </w:tc>
        <w:tc>
          <w:tcPr>
            <w:tcW w:type="dxa" w:w="5328"/>
            <w:vAlign w:val="top"/>
            <w:shd w:fill="F3F6F7"/>
          </w:tcPr>
          <w:p>
            <w:pPr>
              <w:keepNext w:val="0"/>
              <w:spacing w:after="50" w:before="20" w:line="250" w:lineRule="auto"/>
            </w:pPr>
            <w:r>
              <w:rPr>
                <w:rFonts w:ascii="Arial" w:hAnsi="Arial"/>
                <w:sz w:val="18"/>
              </w:rPr>
              <w:t>F030, F146</w:t>
              <w:br/>
              <w:t>Expanded. Secure-link actions first; verified cross-channel actions later.</w:t>
            </w:r>
          </w:p>
        </w:tc>
      </w:tr>
      <w:tr>
        <w:trPr>
          <w:cantSplit/>
        </w:trPr>
        <w:tc>
          <w:tcPr>
            <w:tcW w:type="dxa" w:w="576"/>
            <w:vAlign w:val="top"/>
          </w:tcPr>
          <w:p>
            <w:pPr>
              <w:keepNext w:val="0"/>
              <w:spacing w:after="50" w:before="20" w:line="250" w:lineRule="auto"/>
            </w:pPr>
            <w:r>
              <w:rPr>
                <w:rFonts w:ascii="Arial" w:hAnsi="Arial"/>
                <w:sz w:val="18"/>
              </w:rPr>
              <w:t>51</w:t>
            </w:r>
          </w:p>
        </w:tc>
        <w:tc>
          <w:tcPr>
            <w:tcW w:type="dxa" w:w="4320"/>
            <w:vAlign w:val="top"/>
          </w:tcPr>
          <w:p>
            <w:pPr>
              <w:keepNext w:val="0"/>
              <w:spacing w:after="50" w:before="20" w:line="250" w:lineRule="auto"/>
            </w:pPr>
            <w:r>
              <w:rPr>
                <w:rFonts w:ascii="Arial" w:hAnsi="Arial"/>
                <w:sz w:val="18"/>
              </w:rPr>
              <w:t>Retail inventory &amp; low-stock</w:t>
            </w:r>
          </w:p>
        </w:tc>
        <w:tc>
          <w:tcPr>
            <w:tcW w:type="dxa" w:w="5328"/>
            <w:vAlign w:val="top"/>
          </w:tcPr>
          <w:p>
            <w:pPr>
              <w:keepNext w:val="0"/>
              <w:spacing w:after="50" w:before="20" w:line="250" w:lineRule="auto"/>
            </w:pPr>
            <w:r>
              <w:rPr>
                <w:rFonts w:ascii="Arial" w:hAnsi="Arial"/>
                <w:sz w:val="18"/>
              </w:rPr>
              <w:t>F046, F047, F125</w:t>
              <w:br/>
              <w:t>Expanded. Basic stock, receiving, batch/expiry and forecast demand.</w:t>
            </w:r>
          </w:p>
        </w:tc>
      </w:tr>
      <w:tr>
        <w:trPr>
          <w:cantSplit/>
        </w:trPr>
        <w:tc>
          <w:tcPr>
            <w:tcW w:type="dxa" w:w="576"/>
            <w:vAlign w:val="top"/>
            <w:shd w:fill="F3F6F7"/>
          </w:tcPr>
          <w:p>
            <w:pPr>
              <w:keepNext w:val="0"/>
              <w:spacing w:after="50" w:before="20" w:line="250" w:lineRule="auto"/>
            </w:pPr>
            <w:r>
              <w:rPr>
                <w:rFonts w:ascii="Arial" w:hAnsi="Arial"/>
                <w:sz w:val="18"/>
              </w:rPr>
              <w:t>52</w:t>
            </w:r>
          </w:p>
        </w:tc>
        <w:tc>
          <w:tcPr>
            <w:tcW w:type="dxa" w:w="4320"/>
            <w:vAlign w:val="top"/>
            <w:shd w:fill="F3F6F7"/>
          </w:tcPr>
          <w:p>
            <w:pPr>
              <w:keepNext w:val="0"/>
              <w:spacing w:after="50" w:before="20" w:line="250" w:lineRule="auto"/>
            </w:pPr>
            <w:r>
              <w:rPr>
                <w:rFonts w:ascii="Arial" w:hAnsi="Arial"/>
                <w:sz w:val="18"/>
              </w:rPr>
              <w:t>Online product store</w:t>
            </w:r>
          </w:p>
        </w:tc>
        <w:tc>
          <w:tcPr>
            <w:tcW w:type="dxa" w:w="5328"/>
            <w:vAlign w:val="top"/>
            <w:shd w:fill="F3F6F7"/>
          </w:tcPr>
          <w:p>
            <w:pPr>
              <w:keepNext w:val="0"/>
              <w:spacing w:after="50" w:before="20" w:line="250" w:lineRule="auto"/>
            </w:pPr>
            <w:r>
              <w:rPr>
                <w:rFonts w:ascii="Arial" w:hAnsi="Arial"/>
                <w:sz w:val="18"/>
              </w:rPr>
              <w:t>F096</w:t>
              <w:br/>
              <w:t>Retained. Inventory reservation, fulfillment, returns and tax handling.</w:t>
            </w:r>
          </w:p>
        </w:tc>
      </w:tr>
      <w:tr>
        <w:trPr>
          <w:cantSplit/>
        </w:trPr>
        <w:tc>
          <w:tcPr>
            <w:tcW w:type="dxa" w:w="576"/>
            <w:vAlign w:val="top"/>
          </w:tcPr>
          <w:p>
            <w:pPr>
              <w:keepNext w:val="0"/>
              <w:spacing w:after="50" w:before="20" w:line="250" w:lineRule="auto"/>
            </w:pPr>
            <w:r>
              <w:rPr>
                <w:rFonts w:ascii="Arial" w:hAnsi="Arial"/>
                <w:sz w:val="18"/>
              </w:rPr>
              <w:t>53</w:t>
            </w:r>
          </w:p>
        </w:tc>
        <w:tc>
          <w:tcPr>
            <w:tcW w:type="dxa" w:w="4320"/>
            <w:vAlign w:val="top"/>
          </w:tcPr>
          <w:p>
            <w:pPr>
              <w:keepNext w:val="0"/>
              <w:spacing w:after="50" w:before="20" w:line="250" w:lineRule="auto"/>
            </w:pPr>
            <w:r>
              <w:rPr>
                <w:rFonts w:ascii="Arial" w:hAnsi="Arial"/>
                <w:sz w:val="18"/>
              </w:rPr>
              <w:t>Commission tracking</w:t>
            </w:r>
          </w:p>
        </w:tc>
        <w:tc>
          <w:tcPr>
            <w:tcW w:type="dxa" w:w="5328"/>
            <w:vAlign w:val="top"/>
          </w:tcPr>
          <w:p>
            <w:pPr>
              <w:keepNext w:val="0"/>
              <w:spacing w:after="50" w:before="20" w:line="250" w:lineRule="auto"/>
            </w:pPr>
            <w:r>
              <w:rPr>
                <w:rFonts w:ascii="Arial" w:hAnsi="Arial"/>
                <w:sz w:val="18"/>
              </w:rPr>
              <w:t>F097, F131</w:t>
              <w:br/>
              <w:t>Expanded. Effective-dated rules, adjustments, staff statements and payroll export.</w:t>
            </w:r>
          </w:p>
        </w:tc>
      </w:tr>
      <w:tr>
        <w:trPr>
          <w:cantSplit/>
        </w:trPr>
        <w:tc>
          <w:tcPr>
            <w:tcW w:type="dxa" w:w="576"/>
            <w:vAlign w:val="top"/>
            <w:shd w:fill="F3F6F7"/>
          </w:tcPr>
          <w:p>
            <w:pPr>
              <w:keepNext w:val="0"/>
              <w:spacing w:after="50" w:before="20" w:line="250" w:lineRule="auto"/>
            </w:pPr>
            <w:r>
              <w:rPr>
                <w:rFonts w:ascii="Arial" w:hAnsi="Arial"/>
                <w:sz w:val="18"/>
              </w:rPr>
              <w:t>54</w:t>
            </w:r>
          </w:p>
        </w:tc>
        <w:tc>
          <w:tcPr>
            <w:tcW w:type="dxa" w:w="4320"/>
            <w:vAlign w:val="top"/>
            <w:shd w:fill="F3F6F7"/>
          </w:tcPr>
          <w:p>
            <w:pPr>
              <w:keepNext w:val="0"/>
              <w:spacing w:after="50" w:before="20" w:line="250" w:lineRule="auto"/>
            </w:pPr>
            <w:r>
              <w:rPr>
                <w:rFonts w:ascii="Arial" w:hAnsi="Arial"/>
                <w:sz w:val="18"/>
              </w:rPr>
              <w:t>Time clock</w:t>
            </w:r>
          </w:p>
        </w:tc>
        <w:tc>
          <w:tcPr>
            <w:tcW w:type="dxa" w:w="5328"/>
            <w:vAlign w:val="top"/>
            <w:shd w:fill="F3F6F7"/>
          </w:tcPr>
          <w:p>
            <w:pPr>
              <w:keepNext w:val="0"/>
              <w:spacing w:after="50" w:before="20" w:line="250" w:lineRule="auto"/>
            </w:pPr>
            <w:r>
              <w:rPr>
                <w:rFonts w:ascii="Arial" w:hAnsi="Arial"/>
                <w:sz w:val="18"/>
              </w:rPr>
              <w:t>F055</w:t>
              <w:br/>
              <w:t>Expanded. Includes break handling, edits and manager approval.</w:t>
            </w:r>
          </w:p>
        </w:tc>
      </w:tr>
      <w:tr>
        <w:trPr>
          <w:cantSplit/>
        </w:trPr>
        <w:tc>
          <w:tcPr>
            <w:tcW w:type="dxa" w:w="576"/>
            <w:vAlign w:val="top"/>
          </w:tcPr>
          <w:p>
            <w:pPr>
              <w:keepNext w:val="0"/>
              <w:spacing w:after="50" w:before="20" w:line="250" w:lineRule="auto"/>
            </w:pPr>
            <w:r>
              <w:rPr>
                <w:rFonts w:ascii="Arial" w:hAnsi="Arial"/>
                <w:sz w:val="18"/>
              </w:rPr>
              <w:t>55</w:t>
            </w:r>
          </w:p>
        </w:tc>
        <w:tc>
          <w:tcPr>
            <w:tcW w:type="dxa" w:w="4320"/>
            <w:vAlign w:val="top"/>
          </w:tcPr>
          <w:p>
            <w:pPr>
              <w:keepNext w:val="0"/>
              <w:spacing w:after="50" w:before="20" w:line="250" w:lineRule="auto"/>
            </w:pPr>
            <w:r>
              <w:rPr>
                <w:rFonts w:ascii="Arial" w:hAnsi="Arial"/>
                <w:sz w:val="18"/>
              </w:rPr>
              <w:t>Payroll</w:t>
            </w:r>
          </w:p>
        </w:tc>
        <w:tc>
          <w:tcPr>
            <w:tcW w:type="dxa" w:w="5328"/>
            <w:vAlign w:val="top"/>
          </w:tcPr>
          <w:p>
            <w:pPr>
              <w:keepNext w:val="0"/>
              <w:spacing w:after="50" w:before="20" w:line="250" w:lineRule="auto"/>
            </w:pPr>
            <w:r>
              <w:rPr>
                <w:rFonts w:ascii="Arial" w:hAnsi="Arial"/>
                <w:sz w:val="18"/>
              </w:rPr>
              <w:t>F131, F141</w:t>
              <w:br/>
              <w:t>Reframed. Provider-ready export precedes embedded payroll; do not build tax filing from scratch.</w:t>
            </w:r>
          </w:p>
        </w:tc>
      </w:tr>
      <w:tr>
        <w:trPr>
          <w:cantSplit/>
        </w:trPr>
        <w:tc>
          <w:tcPr>
            <w:tcW w:type="dxa" w:w="576"/>
            <w:vAlign w:val="top"/>
            <w:shd w:fill="F3F6F7"/>
          </w:tcPr>
          <w:p>
            <w:pPr>
              <w:keepNext w:val="0"/>
              <w:spacing w:after="50" w:before="20" w:line="250" w:lineRule="auto"/>
            </w:pPr>
            <w:r>
              <w:rPr>
                <w:rFonts w:ascii="Arial" w:hAnsi="Arial"/>
                <w:sz w:val="18"/>
              </w:rPr>
              <w:t>56</w:t>
            </w:r>
          </w:p>
        </w:tc>
        <w:tc>
          <w:tcPr>
            <w:tcW w:type="dxa" w:w="4320"/>
            <w:vAlign w:val="top"/>
            <w:shd w:fill="F3F6F7"/>
          </w:tcPr>
          <w:p>
            <w:pPr>
              <w:keepNext w:val="0"/>
              <w:spacing w:after="50" w:before="20" w:line="250" w:lineRule="auto"/>
            </w:pPr>
            <w:r>
              <w:rPr>
                <w:rFonts w:ascii="Arial" w:hAnsi="Arial"/>
                <w:sz w:val="18"/>
              </w:rPr>
              <w:t>Roles &amp; permissions</w:t>
            </w:r>
          </w:p>
        </w:tc>
        <w:tc>
          <w:tcPr>
            <w:tcW w:type="dxa" w:w="5328"/>
            <w:vAlign w:val="top"/>
            <w:shd w:fill="F3F6F7"/>
          </w:tcPr>
          <w:p>
            <w:pPr>
              <w:keepNext w:val="0"/>
              <w:spacing w:after="50" w:before="20" w:line="250" w:lineRule="auto"/>
            </w:pPr>
            <w:r>
              <w:rPr>
                <w:rFonts w:ascii="Arial" w:hAnsi="Arial"/>
                <w:sz w:val="18"/>
              </w:rPr>
              <w:t>F073, F134, F160</w:t>
              <w:br/>
              <w:t>Expanded. Least privilege, approvals and eventual enterprise provisioning.</w:t>
            </w:r>
          </w:p>
        </w:tc>
      </w:tr>
      <w:tr>
        <w:trPr>
          <w:cantSplit/>
        </w:trPr>
        <w:tc>
          <w:tcPr>
            <w:tcW w:type="dxa" w:w="576"/>
            <w:vAlign w:val="top"/>
          </w:tcPr>
          <w:p>
            <w:pPr>
              <w:keepNext w:val="0"/>
              <w:spacing w:after="50" w:before="20" w:line="250" w:lineRule="auto"/>
            </w:pPr>
            <w:r>
              <w:rPr>
                <w:rFonts w:ascii="Arial" w:hAnsi="Arial"/>
                <w:sz w:val="18"/>
              </w:rPr>
              <w:t>57</w:t>
            </w:r>
          </w:p>
        </w:tc>
        <w:tc>
          <w:tcPr>
            <w:tcW w:type="dxa" w:w="4320"/>
            <w:vAlign w:val="top"/>
          </w:tcPr>
          <w:p>
            <w:pPr>
              <w:keepNext w:val="0"/>
              <w:spacing w:after="50" w:before="20" w:line="250" w:lineRule="auto"/>
            </w:pPr>
            <w:r>
              <w:rPr>
                <w:rFonts w:ascii="Arial" w:hAnsi="Arial"/>
                <w:sz w:val="18"/>
              </w:rPr>
              <w:t>Standard sales/appointment reports</w:t>
            </w:r>
          </w:p>
        </w:tc>
        <w:tc>
          <w:tcPr>
            <w:tcW w:type="dxa" w:w="5328"/>
            <w:vAlign w:val="top"/>
          </w:tcPr>
          <w:p>
            <w:pPr>
              <w:keepNext w:val="0"/>
              <w:spacing w:after="50" w:before="20" w:line="250" w:lineRule="auto"/>
            </w:pPr>
            <w:r>
              <w:rPr>
                <w:rFonts w:ascii="Arial" w:hAnsi="Arial"/>
                <w:sz w:val="18"/>
              </w:rPr>
              <w:t>F112, F113</w:t>
              <w:br/>
              <w:t>Expanded. Defined metrics with drilldowns and role-appropriate visibility.</w:t>
            </w:r>
          </w:p>
        </w:tc>
      </w:tr>
      <w:tr>
        <w:trPr>
          <w:cantSplit/>
        </w:trPr>
        <w:tc>
          <w:tcPr>
            <w:tcW w:type="dxa" w:w="576"/>
            <w:vAlign w:val="top"/>
            <w:shd w:fill="F3F6F7"/>
          </w:tcPr>
          <w:p>
            <w:pPr>
              <w:keepNext w:val="0"/>
              <w:spacing w:after="50" w:before="20" w:line="250" w:lineRule="auto"/>
            </w:pPr>
            <w:r>
              <w:rPr>
                <w:rFonts w:ascii="Arial" w:hAnsi="Arial"/>
                <w:sz w:val="18"/>
              </w:rPr>
              <w:t>58</w:t>
            </w:r>
          </w:p>
        </w:tc>
        <w:tc>
          <w:tcPr>
            <w:tcW w:type="dxa" w:w="4320"/>
            <w:vAlign w:val="top"/>
            <w:shd w:fill="F3F6F7"/>
          </w:tcPr>
          <w:p>
            <w:pPr>
              <w:keepNext w:val="0"/>
              <w:spacing w:after="50" w:before="20" w:line="250" w:lineRule="auto"/>
            </w:pPr>
            <w:r>
              <w:rPr>
                <w:rFonts w:ascii="Arial" w:hAnsi="Arial"/>
                <w:sz w:val="18"/>
              </w:rPr>
              <w:t>Advanced / custom reporting</w:t>
            </w:r>
          </w:p>
        </w:tc>
        <w:tc>
          <w:tcPr>
            <w:tcW w:type="dxa" w:w="5328"/>
            <w:vAlign w:val="top"/>
            <w:shd w:fill="F3F6F7"/>
          </w:tcPr>
          <w:p>
            <w:pPr>
              <w:keepNext w:val="0"/>
              <w:spacing w:after="50" w:before="20" w:line="250" w:lineRule="auto"/>
            </w:pPr>
            <w:r>
              <w:rPr>
                <w:rFonts w:ascii="Arial" w:hAnsi="Arial"/>
                <w:sz w:val="18"/>
              </w:rPr>
              <w:t>F149, F173, F112</w:t>
              <w:br/>
              <w:t>Expanded. Custom questions use governed metrics; recommendations connect to measurable action.</w:t>
            </w:r>
          </w:p>
        </w:tc>
      </w:tr>
      <w:tr>
        <w:trPr>
          <w:cantSplit/>
        </w:trPr>
        <w:tc>
          <w:tcPr>
            <w:tcW w:type="dxa" w:w="576"/>
            <w:vAlign w:val="top"/>
          </w:tcPr>
          <w:p>
            <w:pPr>
              <w:keepNext w:val="0"/>
              <w:spacing w:after="50" w:before="20" w:line="250" w:lineRule="auto"/>
            </w:pPr>
            <w:r>
              <w:rPr>
                <w:rFonts w:ascii="Arial" w:hAnsi="Arial"/>
                <w:sz w:val="18"/>
              </w:rPr>
              <w:t>59</w:t>
            </w:r>
          </w:p>
        </w:tc>
        <w:tc>
          <w:tcPr>
            <w:tcW w:type="dxa" w:w="4320"/>
            <w:vAlign w:val="top"/>
          </w:tcPr>
          <w:p>
            <w:pPr>
              <w:keepNext w:val="0"/>
              <w:spacing w:after="50" w:before="20" w:line="250" w:lineRule="auto"/>
            </w:pPr>
            <w:r>
              <w:rPr>
                <w:rFonts w:ascii="Arial" w:hAnsi="Arial"/>
                <w:sz w:val="18"/>
              </w:rPr>
              <w:t>Multi-location support</w:t>
            </w:r>
          </w:p>
        </w:tc>
        <w:tc>
          <w:tcPr>
            <w:tcW w:type="dxa" w:w="5328"/>
            <w:vAlign w:val="top"/>
          </w:tcPr>
          <w:p>
            <w:pPr>
              <w:keepNext w:val="0"/>
              <w:spacing w:after="50" w:before="20" w:line="250" w:lineRule="auto"/>
            </w:pPr>
            <w:r>
              <w:rPr>
                <w:rFonts w:ascii="Arial" w:hAnsi="Arial"/>
                <w:sz w:val="18"/>
              </w:rPr>
              <w:t>F139, F160</w:t>
              <w:br/>
              <w:t>Deferred. Multi-location permissions, pricing, reporting and shared entitlements add complexity.</w:t>
            </w:r>
          </w:p>
        </w:tc>
      </w:tr>
      <w:tr>
        <w:trPr>
          <w:cantSplit/>
        </w:trPr>
        <w:tc>
          <w:tcPr>
            <w:tcW w:type="dxa" w:w="576"/>
            <w:vAlign w:val="top"/>
            <w:shd w:fill="F3F6F7"/>
          </w:tcPr>
          <w:p>
            <w:pPr>
              <w:keepNext w:val="0"/>
              <w:spacing w:after="50" w:before="20" w:line="250" w:lineRule="auto"/>
            </w:pPr>
            <w:r>
              <w:rPr>
                <w:rFonts w:ascii="Arial" w:hAnsi="Arial"/>
                <w:sz w:val="18"/>
              </w:rPr>
              <w:t>60</w:t>
            </w:r>
          </w:p>
        </w:tc>
        <w:tc>
          <w:tcPr>
            <w:tcW w:type="dxa" w:w="4320"/>
            <w:vAlign w:val="top"/>
            <w:shd w:fill="F3F6F7"/>
          </w:tcPr>
          <w:p>
            <w:pPr>
              <w:keepNext w:val="0"/>
              <w:spacing w:after="50" w:before="20" w:line="250" w:lineRule="auto"/>
            </w:pPr>
            <w:r>
              <w:rPr>
                <w:rFonts w:ascii="Arial" w:hAnsi="Arial"/>
                <w:sz w:val="18"/>
              </w:rPr>
              <w:t>Pro / business mobile app</w:t>
            </w:r>
          </w:p>
        </w:tc>
        <w:tc>
          <w:tcPr>
            <w:tcW w:type="dxa" w:w="5328"/>
            <w:vAlign w:val="top"/>
            <w:shd w:fill="F3F6F7"/>
          </w:tcPr>
          <w:p>
            <w:pPr>
              <w:keepNext w:val="0"/>
              <w:spacing w:after="50" w:before="20" w:line="250" w:lineRule="auto"/>
            </w:pPr>
            <w:r>
              <w:rPr>
                <w:rFonts w:ascii="Arial" w:hAnsi="Arial"/>
                <w:sz w:val="18"/>
              </w:rPr>
              <w:t>F120, F122, F142</w:t>
              <w:br/>
              <w:t>Reframed. Deliver essential mobile capability first; native packaging and offline writes require separate validation.</w:t>
            </w:r>
          </w:p>
        </w:tc>
      </w:tr>
      <w:tr>
        <w:trPr>
          <w:cantSplit/>
        </w:trPr>
        <w:tc>
          <w:tcPr>
            <w:tcW w:type="dxa" w:w="576"/>
            <w:vAlign w:val="top"/>
          </w:tcPr>
          <w:p>
            <w:pPr>
              <w:keepNext w:val="0"/>
              <w:spacing w:after="50" w:before="20" w:line="250" w:lineRule="auto"/>
            </w:pPr>
            <w:r>
              <w:rPr>
                <w:rFonts w:ascii="Arial" w:hAnsi="Arial"/>
                <w:sz w:val="18"/>
              </w:rPr>
              <w:t>61</w:t>
            </w:r>
          </w:p>
        </w:tc>
        <w:tc>
          <w:tcPr>
            <w:tcW w:type="dxa" w:w="4320"/>
            <w:vAlign w:val="top"/>
          </w:tcPr>
          <w:p>
            <w:pPr>
              <w:keepNext w:val="0"/>
              <w:spacing w:after="50" w:before="20" w:line="250" w:lineRule="auto"/>
            </w:pPr>
            <w:r>
              <w:rPr>
                <w:rFonts w:ascii="Arial" w:hAnsi="Arial"/>
                <w:sz w:val="18"/>
              </w:rPr>
              <w:t>Consumer booking app (shared, multi-business)</w:t>
            </w:r>
          </w:p>
        </w:tc>
        <w:tc>
          <w:tcPr>
            <w:tcW w:type="dxa" w:w="5328"/>
            <w:vAlign w:val="top"/>
          </w:tcPr>
          <w:p>
            <w:pPr>
              <w:keepNext w:val="0"/>
              <w:spacing w:after="50" w:before="20" w:line="250" w:lineRule="auto"/>
            </w:pPr>
            <w:r>
              <w:rPr>
                <w:rFonts w:ascii="Arial" w:hAnsi="Arial"/>
                <w:sz w:val="18"/>
              </w:rPr>
              <w:t>F177</w:t>
              <w:br/>
              <w:t>Deferred. Shared consumer discovery/app follows validated marketplace demand, not a prerequisite for direct booking.</w:t>
            </w:r>
          </w:p>
        </w:tc>
      </w:tr>
      <w:tr>
        <w:trPr>
          <w:cantSplit/>
        </w:trPr>
        <w:tc>
          <w:tcPr>
            <w:tcW w:type="dxa" w:w="576"/>
            <w:vAlign w:val="top"/>
            <w:shd w:fill="F3F6F7"/>
          </w:tcPr>
          <w:p>
            <w:pPr>
              <w:keepNext w:val="0"/>
              <w:spacing w:after="50" w:before="20" w:line="250" w:lineRule="auto"/>
            </w:pPr>
            <w:r>
              <w:rPr>
                <w:rFonts w:ascii="Arial" w:hAnsi="Arial"/>
                <w:sz w:val="18"/>
              </w:rPr>
              <w:t>62</w:t>
            </w:r>
          </w:p>
        </w:tc>
        <w:tc>
          <w:tcPr>
            <w:tcW w:type="dxa" w:w="4320"/>
            <w:vAlign w:val="top"/>
            <w:shd w:fill="F3F6F7"/>
          </w:tcPr>
          <w:p>
            <w:pPr>
              <w:keepNext w:val="0"/>
              <w:spacing w:after="50" w:before="20" w:line="250" w:lineRule="auto"/>
            </w:pPr>
            <w:r>
              <w:rPr>
                <w:rFonts w:ascii="Arial" w:hAnsi="Arial"/>
                <w:sz w:val="18"/>
              </w:rPr>
              <w:t>Your own branded client app</w:t>
            </w:r>
          </w:p>
        </w:tc>
        <w:tc>
          <w:tcPr>
            <w:tcW w:type="dxa" w:w="5328"/>
            <w:vAlign w:val="top"/>
            <w:shd w:fill="F3F6F7"/>
          </w:tcPr>
          <w:p>
            <w:pPr>
              <w:keepNext w:val="0"/>
              <w:spacing w:after="50" w:before="20" w:line="250" w:lineRule="auto"/>
            </w:pPr>
            <w:r>
              <w:rPr>
                <w:rFonts w:ascii="Arial" w:hAnsi="Arial"/>
                <w:sz w:val="18"/>
              </w:rPr>
              <w:t>F138, F106</w:t>
              <w:br/>
              <w:t>Deferred. Branded native client app retained; consistent web experience precedes app-store overhead.</w:t>
            </w:r>
          </w:p>
        </w:tc>
      </w:tr>
      <w:tr>
        <w:trPr>
          <w:cantSplit/>
        </w:trPr>
        <w:tc>
          <w:tcPr>
            <w:tcW w:type="dxa" w:w="576"/>
            <w:vAlign w:val="top"/>
          </w:tcPr>
          <w:p>
            <w:pPr>
              <w:keepNext w:val="0"/>
              <w:spacing w:after="50" w:before="20" w:line="250" w:lineRule="auto"/>
            </w:pPr>
            <w:r>
              <w:rPr>
                <w:rFonts w:ascii="Arial" w:hAnsi="Arial"/>
                <w:sz w:val="18"/>
              </w:rPr>
              <w:t>63</w:t>
            </w:r>
          </w:p>
        </w:tc>
        <w:tc>
          <w:tcPr>
            <w:tcW w:type="dxa" w:w="4320"/>
            <w:vAlign w:val="top"/>
          </w:tcPr>
          <w:p>
            <w:pPr>
              <w:keepNext w:val="0"/>
              <w:spacing w:after="50" w:before="20" w:line="250" w:lineRule="auto"/>
            </w:pPr>
            <w:r>
              <w:rPr>
                <w:rFonts w:ascii="Arial" w:hAnsi="Arial"/>
                <w:sz w:val="18"/>
              </w:rPr>
              <w:t>Consumer marketplace listing</w:t>
            </w:r>
          </w:p>
        </w:tc>
        <w:tc>
          <w:tcPr>
            <w:tcW w:type="dxa" w:w="5328"/>
            <w:vAlign w:val="top"/>
          </w:tcPr>
          <w:p>
            <w:pPr>
              <w:keepNext w:val="0"/>
              <w:spacing w:after="50" w:before="20" w:line="250" w:lineRule="auto"/>
            </w:pPr>
            <w:r>
              <w:rPr>
                <w:rFonts w:ascii="Arial" w:hAnsi="Arial"/>
                <w:sz w:val="18"/>
              </w:rPr>
              <w:t>F177, F116, F189</w:t>
              <w:br/>
              <w:t>Deferred. Opt-in marketplace, auditable attribution and explicit commercial model.</w:t>
            </w:r>
          </w:p>
        </w:tc>
      </w:tr>
      <w:tr>
        <w:trPr>
          <w:cantSplit/>
        </w:trPr>
        <w:tc>
          <w:tcPr>
            <w:tcW w:type="dxa" w:w="576"/>
            <w:vAlign w:val="top"/>
            <w:shd w:fill="F3F6F7"/>
          </w:tcPr>
          <w:p>
            <w:pPr>
              <w:keepNext w:val="0"/>
              <w:spacing w:after="50" w:before="20" w:line="250" w:lineRule="auto"/>
            </w:pPr>
            <w:r>
              <w:rPr>
                <w:rFonts w:ascii="Arial" w:hAnsi="Arial"/>
                <w:sz w:val="18"/>
              </w:rPr>
              <w:t>64</w:t>
            </w:r>
          </w:p>
        </w:tc>
        <w:tc>
          <w:tcPr>
            <w:tcW w:type="dxa" w:w="4320"/>
            <w:vAlign w:val="top"/>
            <w:shd w:fill="F3F6F7"/>
          </w:tcPr>
          <w:p>
            <w:pPr>
              <w:keepNext w:val="0"/>
              <w:spacing w:after="50" w:before="20" w:line="250" w:lineRule="auto"/>
            </w:pPr>
            <w:r>
              <w:rPr>
                <w:rFonts w:ascii="Arial" w:hAnsi="Arial"/>
                <w:sz w:val="18"/>
              </w:rPr>
              <w:t>AI receptionist (answers calls/texts, books)</w:t>
            </w:r>
          </w:p>
        </w:tc>
        <w:tc>
          <w:tcPr>
            <w:tcW w:type="dxa" w:w="5328"/>
            <w:vAlign w:val="top"/>
            <w:shd w:fill="F3F6F7"/>
          </w:tcPr>
          <w:p>
            <w:pPr>
              <w:keepNext w:val="0"/>
              <w:spacing w:after="50" w:before="20" w:line="250" w:lineRule="auto"/>
            </w:pPr>
            <w:r>
              <w:rPr>
                <w:rFonts w:ascii="Arial" w:hAnsi="Arial"/>
                <w:sz w:val="18"/>
              </w:rPr>
              <w:t>F145, F146, F060</w:t>
              <w:br/>
              <w:t>Expanded. Identity, business-rule enforcement, action receipts and honest human handoff.</w:t>
            </w:r>
          </w:p>
        </w:tc>
      </w:tr>
      <w:tr>
        <w:trPr>
          <w:cantSplit/>
        </w:trPr>
        <w:tc>
          <w:tcPr>
            <w:tcW w:type="dxa" w:w="576"/>
            <w:vAlign w:val="top"/>
          </w:tcPr>
          <w:p>
            <w:pPr>
              <w:keepNext w:val="0"/>
              <w:spacing w:after="50" w:before="20" w:line="250" w:lineRule="auto"/>
            </w:pPr>
            <w:r>
              <w:rPr>
                <w:rFonts w:ascii="Arial" w:hAnsi="Arial"/>
                <w:sz w:val="18"/>
              </w:rPr>
              <w:t>65</w:t>
            </w:r>
          </w:p>
        </w:tc>
        <w:tc>
          <w:tcPr>
            <w:tcW w:type="dxa" w:w="4320"/>
            <w:vAlign w:val="top"/>
          </w:tcPr>
          <w:p>
            <w:pPr>
              <w:keepNext w:val="0"/>
              <w:spacing w:after="50" w:before="20" w:line="250" w:lineRule="auto"/>
            </w:pPr>
            <w:r>
              <w:rPr>
                <w:rFonts w:ascii="Arial" w:hAnsi="Arial"/>
                <w:sz w:val="18"/>
              </w:rPr>
              <w:t>AI business / marketing assistant</w:t>
            </w:r>
          </w:p>
        </w:tc>
        <w:tc>
          <w:tcPr>
            <w:tcW w:type="dxa" w:w="5328"/>
            <w:vAlign w:val="top"/>
          </w:tcPr>
          <w:p>
            <w:pPr>
              <w:keepNext w:val="0"/>
              <w:spacing w:after="50" w:before="20" w:line="250" w:lineRule="auto"/>
            </w:pPr>
            <w:r>
              <w:rPr>
                <w:rFonts w:ascii="Arial" w:hAnsi="Arial"/>
                <w:sz w:val="18"/>
              </w:rPr>
              <w:t>F147, F149, F166, F048</w:t>
              <w:br/>
              <w:t>Expanded. Screen-aware actions, governed business answers and brand assistance; incumbents already offer AI.</w:t>
            </w:r>
          </w:p>
        </w:tc>
      </w:tr>
      <w:tr>
        <w:trPr>
          <w:cantSplit/>
        </w:trPr>
        <w:tc>
          <w:tcPr>
            <w:tcW w:type="dxa" w:w="576"/>
            <w:vAlign w:val="top"/>
            <w:shd w:fill="F3F6F7"/>
          </w:tcPr>
          <w:p>
            <w:pPr>
              <w:keepNext w:val="0"/>
              <w:spacing w:after="50" w:before="20" w:line="250" w:lineRule="auto"/>
            </w:pPr>
            <w:r>
              <w:rPr>
                <w:rFonts w:ascii="Arial" w:hAnsi="Arial"/>
                <w:sz w:val="18"/>
              </w:rPr>
              <w:t>66</w:t>
            </w:r>
          </w:p>
        </w:tc>
        <w:tc>
          <w:tcPr>
            <w:tcW w:type="dxa" w:w="4320"/>
            <w:vAlign w:val="top"/>
            <w:shd w:fill="F3F6F7"/>
          </w:tcPr>
          <w:p>
            <w:pPr>
              <w:keepNext w:val="0"/>
              <w:spacing w:after="50" w:before="20" w:line="250" w:lineRule="auto"/>
            </w:pPr>
            <w:r>
              <w:rPr>
                <w:rFonts w:ascii="Arial" w:hAnsi="Arial"/>
                <w:sz w:val="18"/>
              </w:rPr>
              <w:t>AI charting / scribe</w:t>
            </w:r>
          </w:p>
        </w:tc>
        <w:tc>
          <w:tcPr>
            <w:tcW w:type="dxa" w:w="5328"/>
            <w:vAlign w:val="top"/>
            <w:shd w:fill="F3F6F7"/>
          </w:tcPr>
          <w:p>
            <w:pPr>
              <w:keepNext w:val="0"/>
              <w:spacing w:after="50" w:before="20" w:line="250" w:lineRule="auto"/>
            </w:pPr>
            <w:r>
              <w:rPr>
                <w:rFonts w:ascii="Arial" w:hAnsi="Arial"/>
                <w:sz w:val="18"/>
              </w:rPr>
              <w:t>F148, F137, F101</w:t>
              <w:br/>
              <w:t>Expanded. Draft-only dictation/OCR with provenance, correction and professional signoff.</w:t>
            </w:r>
          </w:p>
        </w:tc>
      </w:tr>
      <w:tr>
        <w:trPr>
          <w:cantSplit/>
        </w:trPr>
        <w:tc>
          <w:tcPr>
            <w:tcW w:type="dxa" w:w="576"/>
            <w:vAlign w:val="top"/>
          </w:tcPr>
          <w:p>
            <w:pPr>
              <w:keepNext w:val="0"/>
              <w:spacing w:after="50" w:before="20" w:line="250" w:lineRule="auto"/>
            </w:pPr>
            <w:r>
              <w:rPr>
                <w:rFonts w:ascii="Arial" w:hAnsi="Arial"/>
                <w:sz w:val="18"/>
              </w:rPr>
              <w:t>67</w:t>
            </w:r>
          </w:p>
        </w:tc>
        <w:tc>
          <w:tcPr>
            <w:tcW w:type="dxa" w:w="4320"/>
            <w:vAlign w:val="top"/>
          </w:tcPr>
          <w:p>
            <w:pPr>
              <w:keepNext w:val="0"/>
              <w:spacing w:after="50" w:before="20" w:line="250" w:lineRule="auto"/>
            </w:pPr>
            <w:r>
              <w:rPr>
                <w:rFonts w:ascii="Arial" w:hAnsi="Arial"/>
                <w:sz w:val="18"/>
              </w:rPr>
              <w:t>Public API / webhooks</w:t>
            </w:r>
          </w:p>
        </w:tc>
        <w:tc>
          <w:tcPr>
            <w:tcW w:type="dxa" w:w="5328"/>
            <w:vAlign w:val="top"/>
          </w:tcPr>
          <w:p>
            <w:pPr>
              <w:keepNext w:val="0"/>
              <w:spacing w:after="50" w:before="20" w:line="250" w:lineRule="auto"/>
            </w:pPr>
            <w:r>
              <w:rPr>
                <w:rFonts w:ascii="Arial" w:hAnsi="Arial"/>
                <w:sz w:val="18"/>
              </w:rPr>
              <w:t>F123, F133</w:t>
              <w:br/>
              <w:t>Expanded. Scopes, event retries, versioning and integration-health center.</w:t>
            </w:r>
          </w:p>
        </w:tc>
      </w:tr>
      <w:tr>
        <w:trPr>
          <w:cantSplit/>
        </w:trPr>
        <w:tc>
          <w:tcPr>
            <w:tcW w:type="dxa" w:w="576"/>
            <w:vAlign w:val="top"/>
            <w:shd w:fill="F3F6F7"/>
          </w:tcPr>
          <w:p>
            <w:pPr>
              <w:keepNext w:val="0"/>
              <w:spacing w:after="50" w:before="20" w:line="250" w:lineRule="auto"/>
            </w:pPr>
            <w:r>
              <w:rPr>
                <w:rFonts w:ascii="Arial" w:hAnsi="Arial"/>
                <w:sz w:val="18"/>
              </w:rPr>
              <w:t>68</w:t>
            </w:r>
          </w:p>
        </w:tc>
        <w:tc>
          <w:tcPr>
            <w:tcW w:type="dxa" w:w="4320"/>
            <w:vAlign w:val="top"/>
            <w:shd w:fill="F3F6F7"/>
          </w:tcPr>
          <w:p>
            <w:pPr>
              <w:keepNext w:val="0"/>
              <w:spacing w:after="50" w:before="20" w:line="250" w:lineRule="auto"/>
            </w:pPr>
            <w:r>
              <w:rPr>
                <w:rFonts w:ascii="Arial" w:hAnsi="Arial"/>
                <w:sz w:val="18"/>
              </w:rPr>
              <w:t>Accounting sync (QuickBooks / Xero)</w:t>
            </w:r>
          </w:p>
        </w:tc>
        <w:tc>
          <w:tcPr>
            <w:tcW w:type="dxa" w:w="5328"/>
            <w:vAlign w:val="top"/>
            <w:shd w:fill="F3F6F7"/>
          </w:tcPr>
          <w:p>
            <w:pPr>
              <w:keepNext w:val="0"/>
              <w:spacing w:after="50" w:before="20" w:line="250" w:lineRule="auto"/>
            </w:pPr>
            <w:r>
              <w:rPr>
                <w:rFonts w:ascii="Arial" w:hAnsi="Arial"/>
                <w:sz w:val="18"/>
              </w:rPr>
              <w:t>F099, F132</w:t>
              <w:br/>
              <w:t>Expanded. Reconcile liabilities, taxes, tips, fees and payouts, not only sales totals.</w:t>
            </w:r>
          </w:p>
        </w:tc>
      </w:tr>
      <w:tr>
        <w:trPr>
          <w:cantSplit/>
        </w:trPr>
        <w:tc>
          <w:tcPr>
            <w:tcW w:type="dxa" w:w="576"/>
            <w:vAlign w:val="top"/>
          </w:tcPr>
          <w:p>
            <w:pPr>
              <w:keepNext w:val="0"/>
              <w:spacing w:after="50" w:before="20" w:line="250" w:lineRule="auto"/>
            </w:pPr>
            <w:r>
              <w:rPr>
                <w:rFonts w:ascii="Arial" w:hAnsi="Arial"/>
                <w:sz w:val="18"/>
              </w:rPr>
              <w:t>69</w:t>
            </w:r>
          </w:p>
        </w:tc>
        <w:tc>
          <w:tcPr>
            <w:tcW w:type="dxa" w:w="4320"/>
            <w:vAlign w:val="top"/>
          </w:tcPr>
          <w:p>
            <w:pPr>
              <w:keepNext w:val="0"/>
              <w:spacing w:after="50" w:before="20" w:line="250" w:lineRule="auto"/>
            </w:pPr>
            <w:r>
              <w:rPr>
                <w:rFonts w:ascii="Arial" w:hAnsi="Arial"/>
                <w:sz w:val="18"/>
              </w:rPr>
              <w:t>Free data migration</w:t>
            </w:r>
          </w:p>
        </w:tc>
        <w:tc>
          <w:tcPr>
            <w:tcW w:type="dxa" w:w="5328"/>
            <w:vAlign w:val="top"/>
          </w:tcPr>
          <w:p>
            <w:pPr>
              <w:keepNext w:val="0"/>
              <w:spacing w:after="50" w:before="20" w:line="250" w:lineRule="auto"/>
            </w:pPr>
            <w:r>
              <w:rPr>
                <w:rFonts w:ascii="Arial" w:hAnsi="Arial"/>
                <w:sz w:val="18"/>
              </w:rPr>
              <w:t>F104, F105, F189</w:t>
              <w:br/>
              <w:t>Reframed. Retain assisted migration, add rehearsal/reconciliation; subsidized/free scope is a business-model decision.</w:t>
            </w:r>
          </w:p>
        </w:tc>
      </w:tr>
      <w:tr>
        <w:trPr>
          <w:cantSplit/>
        </w:trPr>
        <w:tc>
          <w:tcPr>
            <w:tcW w:type="dxa" w:w="576"/>
            <w:vAlign w:val="top"/>
            <w:shd w:fill="F3F6F7"/>
          </w:tcPr>
          <w:p>
            <w:pPr>
              <w:keepNext w:val="0"/>
              <w:spacing w:after="50" w:before="20" w:line="250" w:lineRule="auto"/>
            </w:pPr>
            <w:r>
              <w:rPr>
                <w:rFonts w:ascii="Arial" w:hAnsi="Arial"/>
                <w:sz w:val="18"/>
              </w:rPr>
              <w:t>70</w:t>
            </w:r>
          </w:p>
        </w:tc>
        <w:tc>
          <w:tcPr>
            <w:tcW w:type="dxa" w:w="4320"/>
            <w:vAlign w:val="top"/>
            <w:shd w:fill="F3F6F7"/>
          </w:tcPr>
          <w:p>
            <w:pPr>
              <w:keepNext w:val="0"/>
              <w:spacing w:after="50" w:before="20" w:line="250" w:lineRule="auto"/>
            </w:pPr>
            <w:r>
              <w:rPr>
                <w:rFonts w:ascii="Arial" w:hAnsi="Arial"/>
                <w:sz w:val="18"/>
              </w:rPr>
              <w:t>Live phone support</w:t>
            </w:r>
          </w:p>
        </w:tc>
        <w:tc>
          <w:tcPr>
            <w:tcW w:type="dxa" w:w="5328"/>
            <w:vAlign w:val="top"/>
            <w:shd w:fill="F3F6F7"/>
          </w:tcPr>
          <w:p>
            <w:pPr>
              <w:keepNext w:val="0"/>
              <w:spacing w:after="50" w:before="20" w:line="250" w:lineRule="auto"/>
            </w:pPr>
            <w:r>
              <w:rPr>
                <w:rFonts w:ascii="Arial" w:hAnsi="Arial"/>
                <w:sz w:val="18"/>
              </w:rPr>
              <w:t>F060, F110, F130</w:t>
              <w:br/>
              <w:t>Reframed. Real human escalation and clear hours are promised only with staffing; no unstaffed 24/7 guarantee.</w:t>
            </w:r>
          </w:p>
        </w:tc>
      </w:tr>
      <w:tr>
        <w:trPr>
          <w:cantSplit/>
        </w:trPr>
        <w:tc>
          <w:tcPr>
            <w:tcW w:type="dxa" w:w="576"/>
            <w:vAlign w:val="top"/>
          </w:tcPr>
          <w:p>
            <w:pPr>
              <w:keepNext w:val="0"/>
              <w:spacing w:after="50" w:before="20" w:line="250" w:lineRule="auto"/>
            </w:pPr>
            <w:r>
              <w:rPr>
                <w:rFonts w:ascii="Arial" w:hAnsi="Arial"/>
                <w:sz w:val="18"/>
              </w:rPr>
              <w:t>71</w:t>
            </w:r>
          </w:p>
        </w:tc>
        <w:tc>
          <w:tcPr>
            <w:tcW w:type="dxa" w:w="4320"/>
            <w:vAlign w:val="top"/>
          </w:tcPr>
          <w:p>
            <w:pPr>
              <w:keepNext w:val="0"/>
              <w:spacing w:after="50" w:before="20" w:line="250" w:lineRule="auto"/>
            </w:pPr>
            <w:r>
              <w:rPr>
                <w:rFonts w:ascii="Arial" w:hAnsi="Arial"/>
                <w:sz w:val="18"/>
              </w:rPr>
              <w:t>Month-to-month (no long contract)</w:t>
            </w:r>
          </w:p>
        </w:tc>
        <w:tc>
          <w:tcPr>
            <w:tcW w:type="dxa" w:w="5328"/>
            <w:vAlign w:val="top"/>
          </w:tcPr>
          <w:p>
            <w:pPr>
              <w:keepNext w:val="0"/>
              <w:spacing w:after="50" w:before="20" w:line="250" w:lineRule="auto"/>
            </w:pPr>
            <w:r>
              <w:rPr>
                <w:rFonts w:ascii="Arial" w:hAnsi="Arial"/>
                <w:sz w:val="18"/>
              </w:rPr>
              <w:t>F190, F119</w:t>
              <w:br/>
              <w:t>Expanded. Self-service cancellation/downgrade, clear terms and usable historical export/access.</w:t>
            </w:r>
          </w:p>
        </w:tc>
      </w:tr>
    </w:tbl>
    <w:p>
      <w:pPr>
        <w:spacing w:after="40" w:before="0" w:line="240" w:lineRule="auto"/>
      </w:pPr>
      <w:r>
        <w:rPr>
          <w:sz w:val="4"/>
        </w:rPr>
      </w:r>
    </w:p>
    <w:p>
      <w:pPr>
        <w:pStyle w:val="Heading3"/>
      </w:pPr>
      <w:r>
        <w:t>Complaints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576"/>
        <w:gridCol w:w="4320"/>
        <w:gridCol w:w="5328"/>
      </w:tblGrid>
      <w:tr>
        <w:trPr>
          <w:tblHeader/>
        </w:trPr>
        <w:tc>
          <w:tcPr>
            <w:tcW w:type="dxa" w:w="576"/>
            <w:vAlign w:val="top"/>
            <w:shd w:fill="173F50"/>
          </w:tcPr>
          <w:p>
            <w:pPr>
              <w:keepNext/>
              <w:spacing w:after="50" w:before="20" w:line="250" w:lineRule="auto"/>
            </w:pPr>
            <w:r>
              <w:rPr>
                <w:rFonts w:ascii="Arial" w:hAnsi="Arial"/>
                <w:b/>
                <w:color w:val="FFFFFF"/>
                <w:sz w:val="18"/>
              </w:rPr>
              <w:t>Row</w:t>
            </w:r>
          </w:p>
        </w:tc>
        <w:tc>
          <w:tcPr>
            <w:tcW w:type="dxa" w:w="4320"/>
            <w:vAlign w:val="top"/>
            <w:shd w:fill="173F50"/>
          </w:tcPr>
          <w:p>
            <w:pPr>
              <w:keepNext/>
              <w:spacing w:after="50" w:before="20" w:line="250" w:lineRule="auto"/>
            </w:pPr>
            <w:r>
              <w:rPr>
                <w:rFonts w:ascii="Arial" w:hAnsi="Arial"/>
                <w:b/>
                <w:color w:val="FFFFFF"/>
                <w:sz w:val="18"/>
              </w:rPr>
              <w:t>Original idea</w:t>
            </w:r>
          </w:p>
        </w:tc>
        <w:tc>
          <w:tcPr>
            <w:tcW w:type="dxa" w:w="5328"/>
            <w:vAlign w:val="top"/>
            <w:shd w:fill="173F50"/>
          </w:tcPr>
          <w:p>
            <w:pPr>
              <w:keepNext/>
              <w:spacing w:after="50" w:before="20" w:line="250" w:lineRule="auto"/>
            </w:pPr>
            <w:r>
              <w:rPr>
                <w:rFonts w:ascii="Arial" w:hAnsi="Arial"/>
                <w:b/>
                <w:color w:val="FFFFFF"/>
                <w:sz w:val="18"/>
              </w:rPr>
              <w:t>Merged scope and decision</w:t>
            </w:r>
          </w:p>
        </w:tc>
      </w:tr>
      <w:tr>
        <w:trPr>
          <w:cantSplit/>
        </w:trPr>
        <w:tc>
          <w:tcPr>
            <w:tcW w:type="dxa" w:w="576"/>
            <w:vAlign w:val="top"/>
          </w:tcPr>
          <w:p>
            <w:pPr>
              <w:keepNext w:val="0"/>
              <w:spacing w:after="50" w:before="20" w:line="250" w:lineRule="auto"/>
            </w:pPr>
            <w:r>
              <w:rPr>
                <w:rFonts w:ascii="Arial" w:hAnsi="Arial"/>
                <w:sz w:val="18"/>
              </w:rPr>
              <w:t>5</w:t>
            </w:r>
          </w:p>
        </w:tc>
        <w:tc>
          <w:tcPr>
            <w:tcW w:type="dxa" w:w="4320"/>
            <w:vAlign w:val="top"/>
          </w:tcPr>
          <w:p>
            <w:pPr>
              <w:keepNext w:val="0"/>
              <w:spacing w:after="50" w:before="20" w:line="250" w:lineRule="auto"/>
            </w:pPr>
            <w:r>
              <w:rPr>
                <w:rFonts w:ascii="Arial" w:hAnsi="Arial"/>
                <w:sz w:val="18"/>
              </w:rPr>
              <w:t>Support hard to reach / bots / chat-only</w:t>
            </w:r>
          </w:p>
        </w:tc>
        <w:tc>
          <w:tcPr>
            <w:tcW w:type="dxa" w:w="5328"/>
            <w:vAlign w:val="top"/>
          </w:tcPr>
          <w:p>
            <w:pPr>
              <w:keepNext w:val="0"/>
              <w:spacing w:after="50" w:before="20" w:line="250" w:lineRule="auto"/>
            </w:pPr>
            <w:r>
              <w:rPr>
                <w:rFonts w:ascii="Arial" w:hAnsi="Arial"/>
                <w:sz w:val="18"/>
              </w:rPr>
              <w:t>F060, F130, F118</w:t>
              <w:br/>
              <w:t>Expanded. Human escalation, realistic support hours, case ownership and incident visibility.</w:t>
            </w:r>
          </w:p>
        </w:tc>
      </w:tr>
      <w:tr>
        <w:trPr>
          <w:cantSplit/>
        </w:trPr>
        <w:tc>
          <w:tcPr>
            <w:tcW w:type="dxa" w:w="576"/>
            <w:vAlign w:val="top"/>
            <w:shd w:fill="F3F6F7"/>
          </w:tcPr>
          <w:p>
            <w:pPr>
              <w:keepNext w:val="0"/>
              <w:spacing w:after="50" w:before="20" w:line="250" w:lineRule="auto"/>
            </w:pPr>
            <w:r>
              <w:rPr>
                <w:rFonts w:ascii="Arial" w:hAnsi="Arial"/>
                <w:sz w:val="18"/>
              </w:rPr>
              <w:t>6</w:t>
            </w:r>
          </w:p>
        </w:tc>
        <w:tc>
          <w:tcPr>
            <w:tcW w:type="dxa" w:w="4320"/>
            <w:vAlign w:val="top"/>
            <w:shd w:fill="F3F6F7"/>
          </w:tcPr>
          <w:p>
            <w:pPr>
              <w:keepNext w:val="0"/>
              <w:spacing w:after="50" w:before="20" w:line="250" w:lineRule="auto"/>
            </w:pPr>
            <w:r>
              <w:rPr>
                <w:rFonts w:ascii="Arial" w:hAnsi="Arial"/>
                <w:sz w:val="18"/>
              </w:rPr>
              <w:t>Outages, glitches &amp; disruptive updates</w:t>
            </w:r>
          </w:p>
        </w:tc>
        <w:tc>
          <w:tcPr>
            <w:tcW w:type="dxa" w:w="5328"/>
            <w:vAlign w:val="top"/>
            <w:shd w:fill="F3F6F7"/>
          </w:tcPr>
          <w:p>
            <w:pPr>
              <w:keepNext w:val="0"/>
              <w:spacing w:after="50" w:before="20" w:line="250" w:lineRule="auto"/>
            </w:pPr>
            <w:r>
              <w:rPr>
                <w:rFonts w:ascii="Arial" w:hAnsi="Arial"/>
                <w:sz w:val="18"/>
              </w:rPr>
              <w:t>F074, F075, F118, F122, F142, F159</w:t>
              <w:br/>
              <w:t>Expanded. Reliable state transitions, operational monitoring, limited emergency read view and tested recovery.</w:t>
            </w:r>
          </w:p>
        </w:tc>
      </w:tr>
      <w:tr>
        <w:trPr>
          <w:cantSplit/>
        </w:trPr>
        <w:tc>
          <w:tcPr>
            <w:tcW w:type="dxa" w:w="576"/>
            <w:vAlign w:val="top"/>
          </w:tcPr>
          <w:p>
            <w:pPr>
              <w:keepNext w:val="0"/>
              <w:spacing w:after="50" w:before="20" w:line="250" w:lineRule="auto"/>
            </w:pPr>
            <w:r>
              <w:rPr>
                <w:rFonts w:ascii="Arial" w:hAnsi="Arial"/>
                <w:sz w:val="18"/>
              </w:rPr>
              <w:t>7</w:t>
            </w:r>
          </w:p>
        </w:tc>
        <w:tc>
          <w:tcPr>
            <w:tcW w:type="dxa" w:w="4320"/>
            <w:vAlign w:val="top"/>
          </w:tcPr>
          <w:p>
            <w:pPr>
              <w:keepNext w:val="0"/>
              <w:spacing w:after="50" w:before="20" w:line="250" w:lineRule="auto"/>
            </w:pPr>
            <w:r>
              <w:rPr>
                <w:rFonts w:ascii="Arial" w:hAnsi="Arial"/>
                <w:sz w:val="18"/>
              </w:rPr>
              <w:t>Add-on creep / 'nickel and diming' / hidden costs</w:t>
            </w:r>
          </w:p>
        </w:tc>
        <w:tc>
          <w:tcPr>
            <w:tcW w:type="dxa" w:w="5328"/>
            <w:vAlign w:val="top"/>
          </w:tcPr>
          <w:p>
            <w:pPr>
              <w:keepNext w:val="0"/>
              <w:spacing w:after="50" w:before="20" w:line="250" w:lineRule="auto"/>
            </w:pPr>
            <w:r>
              <w:rPr>
                <w:rFonts w:ascii="Arial" w:hAnsi="Arial"/>
                <w:sz w:val="18"/>
              </w:rPr>
              <w:t>F017, F061, F189</w:t>
              <w:br/>
              <w:t>Expanded. Full-cost estimate, live bill preview and explicit opt-in commercial terms.</w:t>
            </w:r>
          </w:p>
        </w:tc>
      </w:tr>
      <w:tr>
        <w:trPr>
          <w:cantSplit/>
        </w:trPr>
        <w:tc>
          <w:tcPr>
            <w:tcW w:type="dxa" w:w="576"/>
            <w:vAlign w:val="top"/>
            <w:shd w:fill="F3F6F7"/>
          </w:tcPr>
          <w:p>
            <w:pPr>
              <w:keepNext w:val="0"/>
              <w:spacing w:after="50" w:before="20" w:line="250" w:lineRule="auto"/>
            </w:pPr>
            <w:r>
              <w:rPr>
                <w:rFonts w:ascii="Arial" w:hAnsi="Arial"/>
                <w:sz w:val="18"/>
              </w:rPr>
              <w:t>8</w:t>
            </w:r>
          </w:p>
        </w:tc>
        <w:tc>
          <w:tcPr>
            <w:tcW w:type="dxa" w:w="4320"/>
            <w:vAlign w:val="top"/>
            <w:shd w:fill="F3F6F7"/>
          </w:tcPr>
          <w:p>
            <w:pPr>
              <w:keepNext w:val="0"/>
              <w:spacing w:after="50" w:before="20" w:line="250" w:lineRule="auto"/>
            </w:pPr>
            <w:r>
              <w:rPr>
                <w:rFonts w:ascii="Arial" w:hAnsi="Arial"/>
                <w:sz w:val="18"/>
              </w:rPr>
              <w:t>Payout holds, frozen funds, surprise re-verification</w:t>
            </w:r>
          </w:p>
        </w:tc>
        <w:tc>
          <w:tcPr>
            <w:tcW w:type="dxa" w:w="5328"/>
            <w:vAlign w:val="top"/>
            <w:shd w:fill="F3F6F7"/>
          </w:tcPr>
          <w:p>
            <w:pPr>
              <w:keepNext w:val="0"/>
              <w:spacing w:after="50" w:before="20" w:line="250" w:lineRule="auto"/>
            </w:pPr>
            <w:r>
              <w:rPr>
                <w:rFonts w:ascii="Arial" w:hAnsi="Arial"/>
                <w:sz w:val="18"/>
              </w:rPr>
              <w:t>F090, F059</w:t>
              <w:br/>
              <w:t>Expanded. Verification/payout case timeline and accountable support; no promise that processors never hold funds.</w:t>
            </w:r>
          </w:p>
        </w:tc>
      </w:tr>
      <w:tr>
        <w:trPr>
          <w:cantSplit/>
        </w:trPr>
        <w:tc>
          <w:tcPr>
            <w:tcW w:type="dxa" w:w="576"/>
            <w:vAlign w:val="top"/>
          </w:tcPr>
          <w:p>
            <w:pPr>
              <w:keepNext w:val="0"/>
              <w:spacing w:after="50" w:before="20" w:line="250" w:lineRule="auto"/>
            </w:pPr>
            <w:r>
              <w:rPr>
                <w:rFonts w:ascii="Arial" w:hAnsi="Arial"/>
                <w:sz w:val="18"/>
              </w:rPr>
              <w:t>9</w:t>
            </w:r>
          </w:p>
        </w:tc>
        <w:tc>
          <w:tcPr>
            <w:tcW w:type="dxa" w:w="4320"/>
            <w:vAlign w:val="top"/>
          </w:tcPr>
          <w:p>
            <w:pPr>
              <w:keepNext w:val="0"/>
              <w:spacing w:after="50" w:before="20" w:line="250" w:lineRule="auto"/>
            </w:pPr>
            <w:r>
              <w:rPr>
                <w:rFonts w:ascii="Arial" w:hAnsi="Arial"/>
                <w:sz w:val="18"/>
              </w:rPr>
              <w:t>Marketplace commissions charged on clients the pro brought</w:t>
            </w:r>
          </w:p>
        </w:tc>
        <w:tc>
          <w:tcPr>
            <w:tcW w:type="dxa" w:w="5328"/>
            <w:vAlign w:val="top"/>
          </w:tcPr>
          <w:p>
            <w:pPr>
              <w:keepNext w:val="0"/>
              <w:spacing w:after="50" w:before="20" w:line="250" w:lineRule="auto"/>
            </w:pPr>
            <w:r>
              <w:rPr>
                <w:rFonts w:ascii="Arial" w:hAnsi="Arial"/>
                <w:sz w:val="18"/>
              </w:rPr>
              <w:t>F116, F177, F189</w:t>
              <w:br/>
              <w:t>Expanded. Preserve source evidence and appeals; distinguish direct clients from paid marketplace acquisition.</w:t>
            </w:r>
          </w:p>
        </w:tc>
      </w:tr>
      <w:tr>
        <w:trPr>
          <w:cantSplit/>
        </w:trPr>
        <w:tc>
          <w:tcPr>
            <w:tcW w:type="dxa" w:w="576"/>
            <w:vAlign w:val="top"/>
            <w:shd w:fill="F3F6F7"/>
          </w:tcPr>
          <w:p>
            <w:pPr>
              <w:keepNext w:val="0"/>
              <w:spacing w:after="50" w:before="20" w:line="250" w:lineRule="auto"/>
            </w:pPr>
            <w:r>
              <w:rPr>
                <w:rFonts w:ascii="Arial" w:hAnsi="Arial"/>
                <w:sz w:val="18"/>
              </w:rPr>
              <w:t>10</w:t>
            </w:r>
          </w:p>
        </w:tc>
        <w:tc>
          <w:tcPr>
            <w:tcW w:type="dxa" w:w="4320"/>
            <w:vAlign w:val="top"/>
            <w:shd w:fill="F3F6F7"/>
          </w:tcPr>
          <w:p>
            <w:pPr>
              <w:keepNext w:val="0"/>
              <w:spacing w:after="50" w:before="20" w:line="250" w:lineRule="auto"/>
            </w:pPr>
            <w:r>
              <w:rPr>
                <w:rFonts w:ascii="Arial" w:hAnsi="Arial"/>
                <w:sz w:val="18"/>
              </w:rPr>
              <w:t>Contracts, cancellation &amp; data lock-in</w:t>
            </w:r>
          </w:p>
        </w:tc>
        <w:tc>
          <w:tcPr>
            <w:tcW w:type="dxa" w:w="5328"/>
            <w:vAlign w:val="top"/>
            <w:shd w:fill="F3F6F7"/>
          </w:tcPr>
          <w:p>
            <w:pPr>
              <w:keepNext w:val="0"/>
              <w:spacing w:after="50" w:before="20" w:line="250" w:lineRule="auto"/>
            </w:pPr>
            <w:r>
              <w:rPr>
                <w:rFonts w:ascii="Arial" w:hAnsi="Arial"/>
                <w:sz w:val="18"/>
              </w:rPr>
              <w:t>F057, F119, F158, F190</w:t>
              <w:br/>
              <w:t>Expanded. Documented exports, lawful staff departure, contract clarity and downgrade/history access.</w:t>
            </w:r>
          </w:p>
        </w:tc>
      </w:tr>
      <w:tr>
        <w:trPr>
          <w:cantSplit/>
        </w:trPr>
        <w:tc>
          <w:tcPr>
            <w:tcW w:type="dxa" w:w="576"/>
            <w:vAlign w:val="top"/>
          </w:tcPr>
          <w:p>
            <w:pPr>
              <w:keepNext w:val="0"/>
              <w:spacing w:after="50" w:before="20" w:line="250" w:lineRule="auto"/>
            </w:pPr>
            <w:r>
              <w:rPr>
                <w:rFonts w:ascii="Arial" w:hAnsi="Arial"/>
                <w:sz w:val="18"/>
              </w:rPr>
              <w:t>11</w:t>
            </w:r>
          </w:p>
        </w:tc>
        <w:tc>
          <w:tcPr>
            <w:tcW w:type="dxa" w:w="4320"/>
            <w:vAlign w:val="top"/>
          </w:tcPr>
          <w:p>
            <w:pPr>
              <w:keepNext w:val="0"/>
              <w:spacing w:after="50" w:before="20" w:line="250" w:lineRule="auto"/>
            </w:pPr>
            <w:r>
              <w:rPr>
                <w:rFonts w:ascii="Arial" w:hAnsi="Arial"/>
                <w:sz w:val="18"/>
              </w:rPr>
              <w:t>Esthetics-specific depth missing (forms, charting, photos)</w:t>
            </w:r>
          </w:p>
        </w:tc>
        <w:tc>
          <w:tcPr>
            <w:tcW w:type="dxa" w:w="5328"/>
            <w:vAlign w:val="top"/>
          </w:tcPr>
          <w:p>
            <w:pPr>
              <w:keepNext w:val="0"/>
              <w:spacing w:after="50" w:before="20" w:line="250" w:lineRule="auto"/>
            </w:pPr>
            <w:r>
              <w:rPr>
                <w:rFonts w:ascii="Arial" w:hAnsi="Arial"/>
                <w:sz w:val="18"/>
              </w:rPr>
              <w:t>F035, F038, F039, F040, F100, F102, F161</w:t>
              <w:br/>
              <w:t>Expanded. Service-specific esthetics records first; clinical workflows remain a separate scope.</w:t>
            </w:r>
          </w:p>
        </w:tc>
      </w:tr>
      <w:tr>
        <w:trPr>
          <w:cantSplit/>
        </w:trPr>
        <w:tc>
          <w:tcPr>
            <w:tcW w:type="dxa" w:w="576"/>
            <w:vAlign w:val="top"/>
            <w:shd w:fill="F3F6F7"/>
          </w:tcPr>
          <w:p>
            <w:pPr>
              <w:keepNext w:val="0"/>
              <w:spacing w:after="50" w:before="20" w:line="250" w:lineRule="auto"/>
            </w:pPr>
            <w:r>
              <w:rPr>
                <w:rFonts w:ascii="Arial" w:hAnsi="Arial"/>
                <w:sz w:val="18"/>
              </w:rPr>
              <w:t>12</w:t>
            </w:r>
          </w:p>
        </w:tc>
        <w:tc>
          <w:tcPr>
            <w:tcW w:type="dxa" w:w="4320"/>
            <w:vAlign w:val="top"/>
            <w:shd w:fill="F3F6F7"/>
          </w:tcPr>
          <w:p>
            <w:pPr>
              <w:keepNext w:val="0"/>
              <w:spacing w:after="50" w:before="20" w:line="250" w:lineRule="auto"/>
            </w:pPr>
            <w:r>
              <w:rPr>
                <w:rFonts w:ascii="Arial" w:hAnsi="Arial"/>
                <w:sz w:val="18"/>
              </w:rPr>
              <w:t>Reporting shallow / hard to use</w:t>
            </w:r>
          </w:p>
        </w:tc>
        <w:tc>
          <w:tcPr>
            <w:tcW w:type="dxa" w:w="5328"/>
            <w:vAlign w:val="top"/>
            <w:shd w:fill="F3F6F7"/>
          </w:tcPr>
          <w:p>
            <w:pPr>
              <w:keepNext w:val="0"/>
              <w:spacing w:after="50" w:before="20" w:line="250" w:lineRule="auto"/>
            </w:pPr>
            <w:r>
              <w:rPr>
                <w:rFonts w:ascii="Arial" w:hAnsi="Arial"/>
                <w:sz w:val="18"/>
              </w:rPr>
              <w:t>F112, F113, F114, F115, F149, F173</w:t>
              <w:br/>
              <w:t>Expanded. Metric definitions, cohorts, contribution, custom queries and action follow-through.</w:t>
            </w:r>
          </w:p>
        </w:tc>
      </w:tr>
      <w:tr>
        <w:trPr>
          <w:cantSplit/>
        </w:trPr>
        <w:tc>
          <w:tcPr>
            <w:tcW w:type="dxa" w:w="576"/>
            <w:vAlign w:val="top"/>
          </w:tcPr>
          <w:p>
            <w:pPr>
              <w:keepNext w:val="0"/>
              <w:spacing w:after="50" w:before="20" w:line="250" w:lineRule="auto"/>
            </w:pPr>
            <w:r>
              <w:rPr>
                <w:rFonts w:ascii="Arial" w:hAnsi="Arial"/>
                <w:sz w:val="18"/>
              </w:rPr>
              <w:t>13</w:t>
            </w:r>
          </w:p>
        </w:tc>
        <w:tc>
          <w:tcPr>
            <w:tcW w:type="dxa" w:w="4320"/>
            <w:vAlign w:val="top"/>
          </w:tcPr>
          <w:p>
            <w:pPr>
              <w:keepNext w:val="0"/>
              <w:spacing w:after="50" w:before="20" w:line="250" w:lineRule="auto"/>
            </w:pPr>
            <w:r>
              <w:rPr>
                <w:rFonts w:ascii="Arial" w:hAnsi="Arial"/>
                <w:sz w:val="18"/>
              </w:rPr>
              <w:t>Mobile vs desktop gaps</w:t>
            </w:r>
          </w:p>
        </w:tc>
        <w:tc>
          <w:tcPr>
            <w:tcW w:type="dxa" w:w="5328"/>
            <w:vAlign w:val="top"/>
          </w:tcPr>
          <w:p>
            <w:pPr>
              <w:keepNext w:val="0"/>
              <w:spacing w:after="50" w:before="20" w:line="250" w:lineRule="auto"/>
            </w:pPr>
            <w:r>
              <w:rPr>
                <w:rFonts w:ascii="Arial" w:hAnsi="Arial"/>
                <w:sz w:val="18"/>
              </w:rPr>
              <w:t>F120, F036</w:t>
              <w:br/>
              <w:t>Expanded. Essential device parity and accessible document exports; document any deliberate exceptions.</w:t>
            </w:r>
          </w:p>
        </w:tc>
      </w:tr>
      <w:tr>
        <w:trPr>
          <w:cantSplit/>
        </w:trPr>
        <w:tc>
          <w:tcPr>
            <w:tcW w:type="dxa" w:w="576"/>
            <w:vAlign w:val="top"/>
            <w:shd w:fill="F3F6F7"/>
          </w:tcPr>
          <w:p>
            <w:pPr>
              <w:keepNext w:val="0"/>
              <w:spacing w:after="50" w:before="20" w:line="250" w:lineRule="auto"/>
            </w:pPr>
            <w:r>
              <w:rPr>
                <w:rFonts w:ascii="Arial" w:hAnsi="Arial"/>
                <w:sz w:val="18"/>
              </w:rPr>
              <w:t>14</w:t>
            </w:r>
          </w:p>
        </w:tc>
        <w:tc>
          <w:tcPr>
            <w:tcW w:type="dxa" w:w="4320"/>
            <w:vAlign w:val="top"/>
            <w:shd w:fill="F3F6F7"/>
          </w:tcPr>
          <w:p>
            <w:pPr>
              <w:keepNext w:val="0"/>
              <w:spacing w:after="50" w:before="20" w:line="250" w:lineRule="auto"/>
            </w:pPr>
            <w:r>
              <w:rPr>
                <w:rFonts w:ascii="Arial" w:hAnsi="Arial"/>
                <w:sz w:val="18"/>
              </w:rPr>
              <w:t>Processing fees / rate changes</w:t>
            </w:r>
          </w:p>
        </w:tc>
        <w:tc>
          <w:tcPr>
            <w:tcW w:type="dxa" w:w="5328"/>
            <w:vAlign w:val="top"/>
            <w:shd w:fill="F3F6F7"/>
          </w:tcPr>
          <w:p>
            <w:pPr>
              <w:keepNext w:val="0"/>
              <w:spacing w:after="50" w:before="20" w:line="250" w:lineRule="auto"/>
            </w:pPr>
            <w:r>
              <w:rPr>
                <w:rFonts w:ascii="Arial" w:hAnsi="Arial"/>
                <w:sz w:val="18"/>
              </w:rPr>
              <w:t>F017, F061, F090, F187</w:t>
              <w:br/>
              <w:t>Expanded. Transaction-aware fee explanations; optional permitted fee offset is later partner work.</w:t>
            </w:r>
          </w:p>
        </w:tc>
      </w:tr>
      <w:tr>
        <w:trPr>
          <w:cantSplit/>
        </w:trPr>
        <w:tc>
          <w:tcPr>
            <w:tcW w:type="dxa" w:w="576"/>
            <w:vAlign w:val="top"/>
          </w:tcPr>
          <w:p>
            <w:pPr>
              <w:keepNext w:val="0"/>
              <w:spacing w:after="50" w:before="20" w:line="250" w:lineRule="auto"/>
            </w:pPr>
            <w:r>
              <w:rPr>
                <w:rFonts w:ascii="Arial" w:hAnsi="Arial"/>
                <w:sz w:val="18"/>
              </w:rPr>
              <w:t>15</w:t>
            </w:r>
          </w:p>
        </w:tc>
        <w:tc>
          <w:tcPr>
            <w:tcW w:type="dxa" w:w="4320"/>
            <w:vAlign w:val="top"/>
          </w:tcPr>
          <w:p>
            <w:pPr>
              <w:keepNext w:val="0"/>
              <w:spacing w:after="50" w:before="20" w:line="250" w:lineRule="auto"/>
            </w:pPr>
            <w:r>
              <w:rPr>
                <w:rFonts w:ascii="Arial" w:hAnsi="Arial"/>
                <w:sz w:val="18"/>
              </w:rPr>
              <w:t>No-show fee failures &amp; chargebacks</w:t>
            </w:r>
          </w:p>
        </w:tc>
        <w:tc>
          <w:tcPr>
            <w:tcW w:type="dxa" w:w="5328"/>
            <w:vAlign w:val="top"/>
          </w:tcPr>
          <w:p>
            <w:pPr>
              <w:keepNext w:val="0"/>
              <w:spacing w:after="50" w:before="20" w:line="250" w:lineRule="auto"/>
            </w:pPr>
            <w:r>
              <w:rPr>
                <w:rFonts w:ascii="Arial" w:hAnsi="Arial"/>
                <w:sz w:val="18"/>
              </w:rPr>
              <w:t>F084, F088, F089, F179</w:t>
              <w:br/>
              <w:t>Reframed. Cards/deposits do not guarantee collections; evidence/recovery first, insured protection only with backing.</w:t>
            </w:r>
          </w:p>
        </w:tc>
      </w:tr>
      <w:tr>
        <w:trPr>
          <w:cantSplit/>
        </w:trPr>
        <w:tc>
          <w:tcPr>
            <w:tcW w:type="dxa" w:w="576"/>
            <w:vAlign w:val="top"/>
            <w:shd w:fill="F3F6F7"/>
          </w:tcPr>
          <w:p>
            <w:pPr>
              <w:keepNext w:val="0"/>
              <w:spacing w:after="50" w:before="20" w:line="250" w:lineRule="auto"/>
            </w:pPr>
            <w:r>
              <w:rPr>
                <w:rFonts w:ascii="Arial" w:hAnsi="Arial"/>
                <w:sz w:val="18"/>
              </w:rPr>
              <w:t>16</w:t>
            </w:r>
          </w:p>
        </w:tc>
        <w:tc>
          <w:tcPr>
            <w:tcW w:type="dxa" w:w="4320"/>
            <w:vAlign w:val="top"/>
            <w:shd w:fill="F3F6F7"/>
          </w:tcPr>
          <w:p>
            <w:pPr>
              <w:keepNext w:val="0"/>
              <w:spacing w:after="50" w:before="20" w:line="250" w:lineRule="auto"/>
            </w:pPr>
            <w:r>
              <w:rPr>
                <w:rFonts w:ascii="Arial" w:hAnsi="Arial"/>
                <w:sz w:val="18"/>
              </w:rPr>
              <w:t>Client friction: forced accounts/app, competitors shown to your clients</w:t>
            </w:r>
          </w:p>
        </w:tc>
        <w:tc>
          <w:tcPr>
            <w:tcW w:type="dxa" w:w="5328"/>
            <w:vAlign w:val="top"/>
            <w:shd w:fill="F3F6F7"/>
          </w:tcPr>
          <w:p>
            <w:pPr>
              <w:keepNext w:val="0"/>
              <w:spacing w:after="50" w:before="20" w:line="250" w:lineRule="auto"/>
            </w:pPr>
            <w:r>
              <w:rPr>
                <w:rFonts w:ascii="Arial" w:hAnsi="Arial"/>
                <w:sz w:val="18"/>
              </w:rPr>
              <w:t>F075, F031, F032, F177</w:t>
              <w:br/>
              <w:t>Expanded. No-account direct booking and brand-owned journey; opt-in marketplace separately.</w:t>
            </w:r>
          </w:p>
        </w:tc>
      </w:tr>
      <w:tr>
        <w:trPr>
          <w:cantSplit/>
        </w:trPr>
        <w:tc>
          <w:tcPr>
            <w:tcW w:type="dxa" w:w="576"/>
            <w:vAlign w:val="top"/>
          </w:tcPr>
          <w:p>
            <w:pPr>
              <w:keepNext w:val="0"/>
              <w:spacing w:after="50" w:before="20" w:line="250" w:lineRule="auto"/>
            </w:pPr>
            <w:r>
              <w:rPr>
                <w:rFonts w:ascii="Arial" w:hAnsi="Arial"/>
                <w:sz w:val="18"/>
              </w:rPr>
              <w:t>17</w:t>
            </w:r>
          </w:p>
        </w:tc>
        <w:tc>
          <w:tcPr>
            <w:tcW w:type="dxa" w:w="4320"/>
            <w:vAlign w:val="top"/>
          </w:tcPr>
          <w:p>
            <w:pPr>
              <w:keepNext w:val="0"/>
              <w:spacing w:after="50" w:before="20" w:line="250" w:lineRule="auto"/>
            </w:pPr>
            <w:r>
              <w:rPr>
                <w:rFonts w:ascii="Arial" w:hAnsi="Arial"/>
                <w:sz w:val="18"/>
              </w:rPr>
              <w:t>Checkout limitations</w:t>
            </w:r>
          </w:p>
        </w:tc>
        <w:tc>
          <w:tcPr>
            <w:tcW w:type="dxa" w:w="5328"/>
            <w:vAlign w:val="top"/>
          </w:tcPr>
          <w:p>
            <w:pPr>
              <w:keepNext w:val="0"/>
              <w:spacing w:after="50" w:before="20" w:line="250" w:lineRule="auto"/>
            </w:pPr>
            <w:r>
              <w:rPr>
                <w:rFonts w:ascii="Arial" w:hAnsi="Arial"/>
                <w:sz w:val="18"/>
              </w:rPr>
              <w:t>F085, F094, F079, F036</w:t>
              <w:br/>
              <w:t>Expanded. Combined tickets, households, itemization and optional tips on zero-balance redemptions.</w:t>
            </w:r>
          </w:p>
        </w:tc>
      </w:tr>
    </w:tbl>
    <w:p>
      <w:pPr>
        <w:spacing w:after="40" w:before="0" w:line="240" w:lineRule="auto"/>
      </w:pPr>
      <w:r>
        <w:rPr>
          <w:sz w:val="4"/>
        </w:rPr>
      </w:r>
    </w:p>
    <w:p>
      <w:pPr>
        <w:pStyle w:val="Heading3"/>
      </w:pPr>
      <w:r>
        <w:t>Unexpected Wins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576"/>
        <w:gridCol w:w="4320"/>
        <w:gridCol w:w="5328"/>
      </w:tblGrid>
      <w:tr>
        <w:trPr>
          <w:tblHeader/>
        </w:trPr>
        <w:tc>
          <w:tcPr>
            <w:tcW w:type="dxa" w:w="576"/>
            <w:vAlign w:val="top"/>
            <w:shd w:fill="173F50"/>
          </w:tcPr>
          <w:p>
            <w:pPr>
              <w:keepNext/>
              <w:spacing w:after="50" w:before="20" w:line="250" w:lineRule="auto"/>
            </w:pPr>
            <w:r>
              <w:rPr>
                <w:rFonts w:ascii="Arial" w:hAnsi="Arial"/>
                <w:b/>
                <w:color w:val="FFFFFF"/>
                <w:sz w:val="18"/>
              </w:rPr>
              <w:t>Row</w:t>
            </w:r>
          </w:p>
        </w:tc>
        <w:tc>
          <w:tcPr>
            <w:tcW w:type="dxa" w:w="4320"/>
            <w:vAlign w:val="top"/>
            <w:shd w:fill="173F50"/>
          </w:tcPr>
          <w:p>
            <w:pPr>
              <w:keepNext/>
              <w:spacing w:after="50" w:before="20" w:line="250" w:lineRule="auto"/>
            </w:pPr>
            <w:r>
              <w:rPr>
                <w:rFonts w:ascii="Arial" w:hAnsi="Arial"/>
                <w:b/>
                <w:color w:val="FFFFFF"/>
                <w:sz w:val="18"/>
              </w:rPr>
              <w:t>Original idea</w:t>
            </w:r>
          </w:p>
        </w:tc>
        <w:tc>
          <w:tcPr>
            <w:tcW w:type="dxa" w:w="5328"/>
            <w:vAlign w:val="top"/>
            <w:shd w:fill="173F50"/>
          </w:tcPr>
          <w:p>
            <w:pPr>
              <w:keepNext/>
              <w:spacing w:after="50" w:before="20" w:line="250" w:lineRule="auto"/>
            </w:pPr>
            <w:r>
              <w:rPr>
                <w:rFonts w:ascii="Arial" w:hAnsi="Arial"/>
                <w:b/>
                <w:color w:val="FFFFFF"/>
                <w:sz w:val="18"/>
              </w:rPr>
              <w:t>Merged scope and decision</w:t>
            </w:r>
          </w:p>
        </w:tc>
      </w:tr>
      <w:tr>
        <w:trPr>
          <w:cantSplit/>
        </w:trPr>
        <w:tc>
          <w:tcPr>
            <w:tcW w:type="dxa" w:w="576"/>
            <w:vAlign w:val="top"/>
          </w:tcPr>
          <w:p>
            <w:pPr>
              <w:keepNext w:val="0"/>
              <w:spacing w:after="50" w:before="20" w:line="250" w:lineRule="auto"/>
            </w:pPr>
            <w:r>
              <w:rPr>
                <w:rFonts w:ascii="Arial" w:hAnsi="Arial"/>
                <w:sz w:val="18"/>
              </w:rPr>
              <w:t>5</w:t>
            </w:r>
          </w:p>
        </w:tc>
        <w:tc>
          <w:tcPr>
            <w:tcW w:type="dxa" w:w="4320"/>
            <w:vAlign w:val="top"/>
          </w:tcPr>
          <w:p>
            <w:pPr>
              <w:keepNext w:val="0"/>
              <w:spacing w:after="50" w:before="20" w:line="250" w:lineRule="auto"/>
            </w:pPr>
            <w:r>
              <w:rPr>
                <w:rFonts w:ascii="Arial" w:hAnsi="Arial"/>
                <w:sz w:val="18"/>
              </w:rPr>
              <w:t>Auto-waitlist that texts clients when a slot opens</w:t>
            </w:r>
          </w:p>
        </w:tc>
        <w:tc>
          <w:tcPr>
            <w:tcW w:type="dxa" w:w="5328"/>
            <w:vAlign w:val="top"/>
          </w:tcPr>
          <w:p>
            <w:pPr>
              <w:keepNext w:val="0"/>
              <w:spacing w:after="50" w:before="20" w:line="250" w:lineRule="auto"/>
            </w:pPr>
            <w:r>
              <w:rPr>
                <w:rFonts w:ascii="Arial" w:hAnsi="Arial"/>
                <w:sz w:val="18"/>
              </w:rPr>
              <w:t>F081, F082, F136</w:t>
              <w:br/>
              <w:t>Expanded. Retained as established competitor capability; test net recovered contribution.</w:t>
            </w:r>
          </w:p>
        </w:tc>
      </w:tr>
      <w:tr>
        <w:trPr>
          <w:cantSplit/>
        </w:trPr>
        <w:tc>
          <w:tcPr>
            <w:tcW w:type="dxa" w:w="576"/>
            <w:vAlign w:val="top"/>
            <w:shd w:fill="F3F6F7"/>
          </w:tcPr>
          <w:p>
            <w:pPr>
              <w:keepNext w:val="0"/>
              <w:spacing w:after="50" w:before="20" w:line="250" w:lineRule="auto"/>
            </w:pPr>
            <w:r>
              <w:rPr>
                <w:rFonts w:ascii="Arial" w:hAnsi="Arial"/>
                <w:sz w:val="18"/>
              </w:rPr>
              <w:t>6</w:t>
            </w:r>
          </w:p>
        </w:tc>
        <w:tc>
          <w:tcPr>
            <w:tcW w:type="dxa" w:w="4320"/>
            <w:vAlign w:val="top"/>
            <w:shd w:fill="F3F6F7"/>
          </w:tcPr>
          <w:p>
            <w:pPr>
              <w:keepNext w:val="0"/>
              <w:spacing w:after="50" w:before="20" w:line="250" w:lineRule="auto"/>
            </w:pPr>
            <w:r>
              <w:rPr>
                <w:rFonts w:ascii="Arial" w:hAnsi="Arial"/>
                <w:sz w:val="18"/>
              </w:rPr>
              <w:t>No-login, no-app client booking</w:t>
            </w:r>
          </w:p>
        </w:tc>
        <w:tc>
          <w:tcPr>
            <w:tcW w:type="dxa" w:w="5328"/>
            <w:vAlign w:val="top"/>
            <w:shd w:fill="F3F6F7"/>
          </w:tcPr>
          <w:p>
            <w:pPr>
              <w:keepNext w:val="0"/>
              <w:spacing w:after="50" w:before="20" w:line="250" w:lineRule="auto"/>
            </w:pPr>
            <w:r>
              <w:rPr>
                <w:rFonts w:ascii="Arial" w:hAnsi="Arial"/>
                <w:sz w:val="18"/>
              </w:rPr>
              <w:t>F075, F031</w:t>
              <w:br/>
              <w:t>Expanded. No account or app for booking; optional portal. Security and concurrency make the full workflow nontrivial.</w:t>
            </w:r>
          </w:p>
        </w:tc>
      </w:tr>
      <w:tr>
        <w:trPr>
          <w:cantSplit/>
        </w:trPr>
        <w:tc>
          <w:tcPr>
            <w:tcW w:type="dxa" w:w="576"/>
            <w:vAlign w:val="top"/>
          </w:tcPr>
          <w:p>
            <w:pPr>
              <w:keepNext w:val="0"/>
              <w:spacing w:after="50" w:before="20" w:line="250" w:lineRule="auto"/>
            </w:pPr>
            <w:r>
              <w:rPr>
                <w:rFonts w:ascii="Arial" w:hAnsi="Arial"/>
                <w:sz w:val="18"/>
              </w:rPr>
              <w:t>7</w:t>
            </w:r>
          </w:p>
        </w:tc>
        <w:tc>
          <w:tcPr>
            <w:tcW w:type="dxa" w:w="4320"/>
            <w:vAlign w:val="top"/>
          </w:tcPr>
          <w:p>
            <w:pPr>
              <w:keepNext w:val="0"/>
              <w:spacing w:after="50" w:before="20" w:line="250" w:lineRule="auto"/>
            </w:pPr>
            <w:r>
              <w:rPr>
                <w:rFonts w:ascii="Arial" w:hAnsi="Arial"/>
                <w:sz w:val="18"/>
              </w:rPr>
              <w:t>Express booking: pro books, client gets a link to confirm time + card</w:t>
            </w:r>
          </w:p>
        </w:tc>
        <w:tc>
          <w:tcPr>
            <w:tcW w:type="dxa" w:w="5328"/>
            <w:vAlign w:val="top"/>
          </w:tcPr>
          <w:p>
            <w:pPr>
              <w:keepNext w:val="0"/>
              <w:spacing w:after="50" w:before="20" w:line="250" w:lineRule="auto"/>
            </w:pPr>
            <w:r>
              <w:rPr>
                <w:rFonts w:ascii="Arial" w:hAnsi="Arial"/>
                <w:sz w:val="18"/>
              </w:rPr>
              <w:t>F075, F084, F107</w:t>
              <w:br/>
              <w:t>Expanded. Owner creates tentative visit; client confirms time and provides card through a secure link.</w:t>
            </w:r>
          </w:p>
        </w:tc>
      </w:tr>
      <w:tr>
        <w:trPr>
          <w:cantSplit/>
        </w:trPr>
        <w:tc>
          <w:tcPr>
            <w:tcW w:type="dxa" w:w="576"/>
            <w:vAlign w:val="top"/>
            <w:shd w:fill="F3F6F7"/>
          </w:tcPr>
          <w:p>
            <w:pPr>
              <w:keepNext w:val="0"/>
              <w:spacing w:after="50" w:before="20" w:line="250" w:lineRule="auto"/>
            </w:pPr>
            <w:r>
              <w:rPr>
                <w:rFonts w:ascii="Arial" w:hAnsi="Arial"/>
                <w:sz w:val="18"/>
              </w:rPr>
              <w:t>8</w:t>
            </w:r>
          </w:p>
        </w:tc>
        <w:tc>
          <w:tcPr>
            <w:tcW w:type="dxa" w:w="4320"/>
            <w:vAlign w:val="top"/>
            <w:shd w:fill="F3F6F7"/>
          </w:tcPr>
          <w:p>
            <w:pPr>
              <w:keepNext w:val="0"/>
              <w:spacing w:after="50" w:before="20" w:line="250" w:lineRule="auto"/>
            </w:pPr>
            <w:r>
              <w:rPr>
                <w:rFonts w:ascii="Arial" w:hAnsi="Arial"/>
                <w:sz w:val="18"/>
              </w:rPr>
              <w:t>Self-checkout link (client pays on own phone; staff never touch card)</w:t>
            </w:r>
          </w:p>
        </w:tc>
        <w:tc>
          <w:tcPr>
            <w:tcW w:type="dxa" w:w="5328"/>
            <w:vAlign w:val="top"/>
            <w:shd w:fill="F3F6F7"/>
          </w:tcPr>
          <w:p>
            <w:pPr>
              <w:keepNext w:val="0"/>
              <w:spacing w:after="50" w:before="20" w:line="250" w:lineRule="auto"/>
            </w:pPr>
            <w:r>
              <w:rPr>
                <w:rFonts w:ascii="Arial" w:hAnsi="Arial"/>
                <w:sz w:val="18"/>
              </w:rPr>
              <w:t>F085, F107</w:t>
              <w:br/>
              <w:t>Expanded. Hosted client-phone checkout covers the remaining balance, not only initial deposits.</w:t>
            </w:r>
          </w:p>
        </w:tc>
      </w:tr>
      <w:tr>
        <w:trPr>
          <w:cantSplit/>
        </w:trPr>
        <w:tc>
          <w:tcPr>
            <w:tcW w:type="dxa" w:w="576"/>
            <w:vAlign w:val="top"/>
          </w:tcPr>
          <w:p>
            <w:pPr>
              <w:keepNext w:val="0"/>
              <w:spacing w:after="50" w:before="20" w:line="250" w:lineRule="auto"/>
            </w:pPr>
            <w:r>
              <w:rPr>
                <w:rFonts w:ascii="Arial" w:hAnsi="Arial"/>
                <w:sz w:val="18"/>
              </w:rPr>
              <w:t>9</w:t>
            </w:r>
          </w:p>
        </w:tc>
        <w:tc>
          <w:tcPr>
            <w:tcW w:type="dxa" w:w="4320"/>
            <w:vAlign w:val="top"/>
          </w:tcPr>
          <w:p>
            <w:pPr>
              <w:keepNext w:val="0"/>
              <w:spacing w:after="50" w:before="20" w:line="250" w:lineRule="auto"/>
            </w:pPr>
            <w:r>
              <w:rPr>
                <w:rFonts w:ascii="Arial" w:hAnsi="Arial"/>
                <w:sz w:val="18"/>
              </w:rPr>
              <w:t>Automated 'flows': review requests, birthday, follow-ups, rebooking</w:t>
            </w:r>
          </w:p>
        </w:tc>
        <w:tc>
          <w:tcPr>
            <w:tcW w:type="dxa" w:w="5328"/>
            <w:vAlign w:val="top"/>
          </w:tcPr>
          <w:p>
            <w:pPr>
              <w:keepNext w:val="0"/>
              <w:spacing w:after="50" w:before="20" w:line="250" w:lineRule="auto"/>
            </w:pPr>
            <w:r>
              <w:rPr>
                <w:rFonts w:ascii="Arial" w:hAnsi="Arial"/>
                <w:sz w:val="18"/>
              </w:rPr>
              <w:t>F108, F028, F050, F071</w:t>
              <w:br/>
              <w:t>Expanded. Reusable recipes with preview, pause and consent-aware delivery.</w:t>
            </w:r>
          </w:p>
        </w:tc>
      </w:tr>
      <w:tr>
        <w:trPr>
          <w:cantSplit/>
        </w:trPr>
        <w:tc>
          <w:tcPr>
            <w:tcW w:type="dxa" w:w="576"/>
            <w:vAlign w:val="top"/>
            <w:shd w:fill="F3F6F7"/>
          </w:tcPr>
          <w:p>
            <w:pPr>
              <w:keepNext w:val="0"/>
              <w:spacing w:after="50" w:before="20" w:line="250" w:lineRule="auto"/>
            </w:pPr>
            <w:r>
              <w:rPr>
                <w:rFonts w:ascii="Arial" w:hAnsi="Arial"/>
                <w:sz w:val="18"/>
              </w:rPr>
              <w:t>10</w:t>
            </w:r>
          </w:p>
        </w:tc>
        <w:tc>
          <w:tcPr>
            <w:tcW w:type="dxa" w:w="4320"/>
            <w:vAlign w:val="top"/>
            <w:shd w:fill="F3F6F7"/>
          </w:tcPr>
          <w:p>
            <w:pPr>
              <w:keepNext w:val="0"/>
              <w:spacing w:after="50" w:before="20" w:line="250" w:lineRule="auto"/>
            </w:pPr>
            <w:r>
              <w:rPr>
                <w:rFonts w:ascii="Arial" w:hAnsi="Arial"/>
                <w:sz w:val="18"/>
              </w:rPr>
              <w:t>Text replies auto-saved to client notes</w:t>
            </w:r>
          </w:p>
        </w:tc>
        <w:tc>
          <w:tcPr>
            <w:tcW w:type="dxa" w:w="5328"/>
            <w:vAlign w:val="top"/>
            <w:shd w:fill="F3F6F7"/>
          </w:tcPr>
          <w:p>
            <w:pPr>
              <w:keepNext w:val="0"/>
              <w:spacing w:after="50" w:before="20" w:line="250" w:lineRule="auto"/>
            </w:pPr>
            <w:r>
              <w:rPr>
                <w:rFonts w:ascii="Arial" w:hAnsi="Arial"/>
                <w:sz w:val="18"/>
              </w:rPr>
              <w:t>F025, F109, F063, F101</w:t>
              <w:br/>
              <w:t>Reframed. Save replies as attributed communication, not silently as signed clinical findings.</w:t>
            </w:r>
          </w:p>
        </w:tc>
      </w:tr>
      <w:tr>
        <w:trPr>
          <w:cantSplit/>
        </w:trPr>
        <w:tc>
          <w:tcPr>
            <w:tcW w:type="dxa" w:w="576"/>
            <w:vAlign w:val="top"/>
          </w:tcPr>
          <w:p>
            <w:pPr>
              <w:keepNext w:val="0"/>
              <w:spacing w:after="50" w:before="20" w:line="250" w:lineRule="auto"/>
            </w:pPr>
            <w:r>
              <w:rPr>
                <w:rFonts w:ascii="Arial" w:hAnsi="Arial"/>
                <w:sz w:val="18"/>
              </w:rPr>
              <w:t>11</w:t>
            </w:r>
          </w:p>
        </w:tc>
        <w:tc>
          <w:tcPr>
            <w:tcW w:type="dxa" w:w="4320"/>
            <w:vAlign w:val="top"/>
          </w:tcPr>
          <w:p>
            <w:pPr>
              <w:keepNext w:val="0"/>
              <w:spacing w:after="50" w:before="20" w:line="250" w:lineRule="auto"/>
            </w:pPr>
            <w:r>
              <w:rPr>
                <w:rFonts w:ascii="Arial" w:hAnsi="Arial"/>
                <w:sz w:val="18"/>
              </w:rPr>
              <w:t>Post-visit review link that routes to Google</w:t>
            </w:r>
          </w:p>
        </w:tc>
        <w:tc>
          <w:tcPr>
            <w:tcW w:type="dxa" w:w="5328"/>
            <w:vAlign w:val="top"/>
          </w:tcPr>
          <w:p>
            <w:pPr>
              <w:keepNext w:val="0"/>
              <w:spacing w:after="50" w:before="20" w:line="250" w:lineRule="auto"/>
            </w:pPr>
            <w:r>
              <w:rPr>
                <w:rFonts w:ascii="Arial" w:hAnsi="Arial"/>
                <w:sz w:val="18"/>
              </w:rPr>
              <w:t>F050, F033</w:t>
              <w:br/>
              <w:t>Retained. Google/public review links use fair review requests; no selective suppression.</w:t>
            </w:r>
          </w:p>
        </w:tc>
      </w:tr>
      <w:tr>
        <w:trPr>
          <w:cantSplit/>
        </w:trPr>
        <w:tc>
          <w:tcPr>
            <w:tcW w:type="dxa" w:w="576"/>
            <w:vAlign w:val="top"/>
            <w:shd w:fill="F3F6F7"/>
          </w:tcPr>
          <w:p>
            <w:pPr>
              <w:keepNext w:val="0"/>
              <w:spacing w:after="50" w:before="20" w:line="250" w:lineRule="auto"/>
            </w:pPr>
            <w:r>
              <w:rPr>
                <w:rFonts w:ascii="Arial" w:hAnsi="Arial"/>
                <w:sz w:val="18"/>
              </w:rPr>
              <w:t>12</w:t>
            </w:r>
          </w:p>
        </w:tc>
        <w:tc>
          <w:tcPr>
            <w:tcW w:type="dxa" w:w="4320"/>
            <w:vAlign w:val="top"/>
            <w:shd w:fill="F3F6F7"/>
          </w:tcPr>
          <w:p>
            <w:pPr>
              <w:keepNext w:val="0"/>
              <w:spacing w:after="50" w:before="20" w:line="250" w:lineRule="auto"/>
            </w:pPr>
            <w:r>
              <w:rPr>
                <w:rFonts w:ascii="Arial" w:hAnsi="Arial"/>
                <w:sz w:val="18"/>
              </w:rPr>
              <w:t>AI receptionist that answers missed calls/texts and books</w:t>
            </w:r>
          </w:p>
        </w:tc>
        <w:tc>
          <w:tcPr>
            <w:tcW w:type="dxa" w:w="5328"/>
            <w:vAlign w:val="top"/>
            <w:shd w:fill="F3F6F7"/>
          </w:tcPr>
          <w:p>
            <w:pPr>
              <w:keepNext w:val="0"/>
              <w:spacing w:after="50" w:before="20" w:line="250" w:lineRule="auto"/>
            </w:pPr>
            <w:r>
              <w:rPr>
                <w:rFonts w:ascii="Arial" w:hAnsi="Arial"/>
                <w:sz w:val="18"/>
              </w:rPr>
              <w:t>F145, F146, F060</w:t>
              <w:br/>
              <w:t>Expanded. Retained as existing industry feature; differentiate reliability and truthful handoff.</w:t>
            </w:r>
          </w:p>
        </w:tc>
      </w:tr>
      <w:tr>
        <w:trPr>
          <w:cantSplit/>
        </w:trPr>
        <w:tc>
          <w:tcPr>
            <w:tcW w:type="dxa" w:w="576"/>
            <w:vAlign w:val="top"/>
          </w:tcPr>
          <w:p>
            <w:pPr>
              <w:keepNext w:val="0"/>
              <w:spacing w:after="50" w:before="20" w:line="250" w:lineRule="auto"/>
            </w:pPr>
            <w:r>
              <w:rPr>
                <w:rFonts w:ascii="Arial" w:hAnsi="Arial"/>
                <w:sz w:val="18"/>
              </w:rPr>
              <w:t>13</w:t>
            </w:r>
          </w:p>
        </w:tc>
        <w:tc>
          <w:tcPr>
            <w:tcW w:type="dxa" w:w="4320"/>
            <w:vAlign w:val="top"/>
          </w:tcPr>
          <w:p>
            <w:pPr>
              <w:keepNext w:val="0"/>
              <w:spacing w:after="50" w:before="20" w:line="250" w:lineRule="auto"/>
            </w:pPr>
            <w:r>
              <w:rPr>
                <w:rFonts w:ascii="Arial" w:hAnsi="Arial"/>
                <w:sz w:val="18"/>
              </w:rPr>
              <w:t>Instant/same-day payouts and small-business capital</w:t>
            </w:r>
          </w:p>
        </w:tc>
        <w:tc>
          <w:tcPr>
            <w:tcW w:type="dxa" w:w="5328"/>
            <w:vAlign w:val="top"/>
          </w:tcPr>
          <w:p>
            <w:pPr>
              <w:keepNext w:val="0"/>
              <w:spacing w:after="50" w:before="20" w:line="250" w:lineRule="auto"/>
            </w:pPr>
            <w:r>
              <w:rPr>
                <w:rFonts w:ascii="Arial" w:hAnsi="Arial"/>
                <w:sz w:val="18"/>
              </w:rPr>
              <w:t>F090, F178</w:t>
              <w:br/>
              <w:t>Expanded. Launch payout visibility is retained; supported faster payout options require processor approval. Merchant financing and client financing remain separate later partner products.</w:t>
            </w:r>
          </w:p>
        </w:tc>
      </w:tr>
      <w:tr>
        <w:trPr>
          <w:cantSplit/>
        </w:trPr>
        <w:tc>
          <w:tcPr>
            <w:tcW w:type="dxa" w:w="576"/>
            <w:vAlign w:val="top"/>
            <w:shd w:fill="F3F6F7"/>
          </w:tcPr>
          <w:p>
            <w:pPr>
              <w:keepNext w:val="0"/>
              <w:spacing w:after="50" w:before="20" w:line="250" w:lineRule="auto"/>
            </w:pPr>
            <w:r>
              <w:rPr>
                <w:rFonts w:ascii="Arial" w:hAnsi="Arial"/>
                <w:sz w:val="18"/>
              </w:rPr>
              <w:t>14</w:t>
            </w:r>
          </w:p>
        </w:tc>
        <w:tc>
          <w:tcPr>
            <w:tcW w:type="dxa" w:w="4320"/>
            <w:vAlign w:val="top"/>
            <w:shd w:fill="F3F6F7"/>
          </w:tcPr>
          <w:p>
            <w:pPr>
              <w:keepNext w:val="0"/>
              <w:spacing w:after="50" w:before="20" w:line="250" w:lineRule="auto"/>
            </w:pPr>
            <w:r>
              <w:rPr>
                <w:rFonts w:ascii="Arial" w:hAnsi="Arial"/>
                <w:sz w:val="18"/>
              </w:rPr>
              <w:t>Client pay-over-time (BNPL) on bigger packages</w:t>
            </w:r>
          </w:p>
        </w:tc>
        <w:tc>
          <w:tcPr>
            <w:tcW w:type="dxa" w:w="5328"/>
            <w:vAlign w:val="top"/>
            <w:shd w:fill="F3F6F7"/>
          </w:tcPr>
          <w:p>
            <w:pPr>
              <w:keepNext w:val="0"/>
              <w:spacing w:after="50" w:before="20" w:line="250" w:lineRule="auto"/>
            </w:pPr>
            <w:r>
              <w:rPr>
                <w:rFonts w:ascii="Arial" w:hAnsi="Arial"/>
                <w:sz w:val="18"/>
              </w:rPr>
              <w:t>F186</w:t>
              <w:br/>
              <w:t>Deferred. Client BNPL retained as partner-led option, distinct from business loans.</w:t>
            </w:r>
          </w:p>
        </w:tc>
      </w:tr>
      <w:tr>
        <w:trPr>
          <w:cantSplit/>
        </w:trPr>
        <w:tc>
          <w:tcPr>
            <w:tcW w:type="dxa" w:w="576"/>
            <w:vAlign w:val="top"/>
          </w:tcPr>
          <w:p>
            <w:pPr>
              <w:keepNext w:val="0"/>
              <w:spacing w:after="50" w:before="20" w:line="250" w:lineRule="auto"/>
            </w:pPr>
            <w:r>
              <w:rPr>
                <w:rFonts w:ascii="Arial" w:hAnsi="Arial"/>
                <w:sz w:val="18"/>
              </w:rPr>
              <w:t>15</w:t>
            </w:r>
          </w:p>
        </w:tc>
        <w:tc>
          <w:tcPr>
            <w:tcW w:type="dxa" w:w="4320"/>
            <w:vAlign w:val="top"/>
          </w:tcPr>
          <w:p>
            <w:pPr>
              <w:keepNext w:val="0"/>
              <w:spacing w:after="50" w:before="20" w:line="250" w:lineRule="auto"/>
            </w:pPr>
            <w:r>
              <w:rPr>
                <w:rFonts w:ascii="Arial" w:hAnsi="Arial"/>
                <w:sz w:val="18"/>
              </w:rPr>
              <w:t>Fee offset (client covers part of card fees)</w:t>
            </w:r>
          </w:p>
        </w:tc>
        <w:tc>
          <w:tcPr>
            <w:tcW w:type="dxa" w:w="5328"/>
            <w:vAlign w:val="top"/>
          </w:tcPr>
          <w:p>
            <w:pPr>
              <w:keepNext w:val="0"/>
              <w:spacing w:after="50" w:before="20" w:line="250" w:lineRule="auto"/>
            </w:pPr>
            <w:r>
              <w:rPr>
                <w:rFonts w:ascii="Arial" w:hAnsi="Arial"/>
                <w:sz w:val="18"/>
              </w:rPr>
              <w:t>F187</w:t>
              <w:br/>
              <w:t>Deferred. Fee offset is optional and must satisfy jurisdiction, card-network and processor rules.</w:t>
            </w:r>
          </w:p>
        </w:tc>
      </w:tr>
      <w:tr>
        <w:trPr>
          <w:cantSplit/>
        </w:trPr>
        <w:tc>
          <w:tcPr>
            <w:tcW w:type="dxa" w:w="576"/>
            <w:vAlign w:val="top"/>
            <w:shd w:fill="F3F6F7"/>
          </w:tcPr>
          <w:p>
            <w:pPr>
              <w:keepNext w:val="0"/>
              <w:spacing w:after="50" w:before="20" w:line="250" w:lineRule="auto"/>
            </w:pPr>
            <w:r>
              <w:rPr>
                <w:rFonts w:ascii="Arial" w:hAnsi="Arial"/>
                <w:sz w:val="18"/>
              </w:rPr>
              <w:t>16</w:t>
            </w:r>
          </w:p>
        </w:tc>
        <w:tc>
          <w:tcPr>
            <w:tcW w:type="dxa" w:w="4320"/>
            <w:vAlign w:val="top"/>
            <w:shd w:fill="F3F6F7"/>
          </w:tcPr>
          <w:p>
            <w:pPr>
              <w:keepNext w:val="0"/>
              <w:spacing w:after="50" w:before="20" w:line="250" w:lineRule="auto"/>
            </w:pPr>
            <w:r>
              <w:rPr>
                <w:rFonts w:ascii="Arial" w:hAnsi="Arial"/>
                <w:sz w:val="18"/>
              </w:rPr>
              <w:t>Platform nudges you to turn on no-show protection and explains policy to clients</w:t>
            </w:r>
          </w:p>
        </w:tc>
        <w:tc>
          <w:tcPr>
            <w:tcW w:type="dxa" w:w="5328"/>
            <w:vAlign w:val="top"/>
            <w:shd w:fill="F3F6F7"/>
          </w:tcPr>
          <w:p>
            <w:pPr>
              <w:keepNext w:val="0"/>
              <w:spacing w:after="50" w:before="20" w:line="250" w:lineRule="auto"/>
            </w:pPr>
            <w:r>
              <w:rPr>
                <w:rFonts w:ascii="Arial" w:hAnsi="Arial"/>
                <w:sz w:val="18"/>
              </w:rPr>
              <w:t>F127, F088, F004, F153</w:t>
              <w:br/>
              <w:t>Expanded. Explainable nudge, acknowledged policy and later conversion-versus-recovery simulation.</w:t>
            </w:r>
          </w:p>
        </w:tc>
      </w:tr>
      <w:tr>
        <w:trPr>
          <w:cantSplit/>
        </w:trPr>
        <w:tc>
          <w:tcPr>
            <w:tcW w:type="dxa" w:w="576"/>
            <w:vAlign w:val="top"/>
          </w:tcPr>
          <w:p>
            <w:pPr>
              <w:keepNext w:val="0"/>
              <w:spacing w:after="50" w:before="20" w:line="250" w:lineRule="auto"/>
            </w:pPr>
            <w:r>
              <w:rPr>
                <w:rFonts w:ascii="Arial" w:hAnsi="Arial"/>
                <w:sz w:val="18"/>
              </w:rPr>
              <w:t>17</w:t>
            </w:r>
          </w:p>
        </w:tc>
        <w:tc>
          <w:tcPr>
            <w:tcW w:type="dxa" w:w="4320"/>
            <w:vAlign w:val="top"/>
          </w:tcPr>
          <w:p>
            <w:pPr>
              <w:keepNext w:val="0"/>
              <w:spacing w:after="50" w:before="20" w:line="250" w:lineRule="auto"/>
            </w:pPr>
            <w:r>
              <w:rPr>
                <w:rFonts w:ascii="Arial" w:hAnsi="Arial"/>
                <w:sz w:val="18"/>
              </w:rPr>
              <w:t>Side-by-side before/after photos with capture guides</w:t>
            </w:r>
          </w:p>
        </w:tc>
        <w:tc>
          <w:tcPr>
            <w:tcW w:type="dxa" w:w="5328"/>
            <w:vAlign w:val="top"/>
          </w:tcPr>
          <w:p>
            <w:pPr>
              <w:keepNext w:val="0"/>
              <w:spacing w:after="50" w:before="20" w:line="250" w:lineRule="auto"/>
            </w:pPr>
            <w:r>
              <w:rPr>
                <w:rFonts w:ascii="Arial" w:hAnsi="Arial"/>
                <w:sz w:val="18"/>
              </w:rPr>
              <w:t>F102, F063</w:t>
              <w:br/>
              <w:t>Expanded. Guided photos plus optional client-reported outcomes; preserve unmodified originals.</w:t>
            </w:r>
          </w:p>
        </w:tc>
      </w:tr>
      <w:tr>
        <w:trPr>
          <w:cantSplit/>
        </w:trPr>
        <w:tc>
          <w:tcPr>
            <w:tcW w:type="dxa" w:w="576"/>
            <w:vAlign w:val="top"/>
            <w:shd w:fill="F3F6F7"/>
          </w:tcPr>
          <w:p>
            <w:pPr>
              <w:keepNext w:val="0"/>
              <w:spacing w:after="50" w:before="20" w:line="250" w:lineRule="auto"/>
            </w:pPr>
            <w:r>
              <w:rPr>
                <w:rFonts w:ascii="Arial" w:hAnsi="Arial"/>
                <w:sz w:val="18"/>
              </w:rPr>
              <w:t>18</w:t>
            </w:r>
          </w:p>
        </w:tc>
        <w:tc>
          <w:tcPr>
            <w:tcW w:type="dxa" w:w="4320"/>
            <w:vAlign w:val="top"/>
            <w:shd w:fill="F3F6F7"/>
          </w:tcPr>
          <w:p>
            <w:pPr>
              <w:keepNext w:val="0"/>
              <w:spacing w:after="50" w:before="20" w:line="250" w:lineRule="auto"/>
            </w:pPr>
            <w:r>
              <w:rPr>
                <w:rFonts w:ascii="Arial" w:hAnsi="Arial"/>
                <w:sz w:val="18"/>
              </w:rPr>
              <w:t>Lapsed-client list (who hasn't been in lately)</w:t>
            </w:r>
          </w:p>
        </w:tc>
        <w:tc>
          <w:tcPr>
            <w:tcW w:type="dxa" w:w="5328"/>
            <w:vAlign w:val="top"/>
            <w:shd w:fill="F3F6F7"/>
          </w:tcPr>
          <w:p>
            <w:pPr>
              <w:keepNext w:val="0"/>
              <w:spacing w:after="50" w:before="20" w:line="250" w:lineRule="auto"/>
            </w:pPr>
            <w:r>
              <w:rPr>
                <w:rFonts w:ascii="Arial" w:hAnsi="Arial"/>
                <w:sz w:val="18"/>
              </w:rPr>
              <w:t>F019, F114, F165</w:t>
              <w:br/>
              <w:t>Expanded. Simple cadence-based list first; explainable predictive ranking only after sufficient data.</w:t>
            </w:r>
          </w:p>
        </w:tc>
      </w:tr>
      <w:tr>
        <w:trPr>
          <w:cantSplit/>
        </w:trPr>
        <w:tc>
          <w:tcPr>
            <w:tcW w:type="dxa" w:w="576"/>
            <w:vAlign w:val="top"/>
          </w:tcPr>
          <w:p>
            <w:pPr>
              <w:keepNext w:val="0"/>
              <w:spacing w:after="50" w:before="20" w:line="250" w:lineRule="auto"/>
            </w:pPr>
            <w:r>
              <w:rPr>
                <w:rFonts w:ascii="Arial" w:hAnsi="Arial"/>
                <w:sz w:val="18"/>
              </w:rPr>
              <w:t>19</w:t>
            </w:r>
          </w:p>
        </w:tc>
        <w:tc>
          <w:tcPr>
            <w:tcW w:type="dxa" w:w="4320"/>
            <w:vAlign w:val="top"/>
          </w:tcPr>
          <w:p>
            <w:pPr>
              <w:keepNext w:val="0"/>
              <w:spacing w:after="50" w:before="20" w:line="250" w:lineRule="auto"/>
            </w:pPr>
            <w:r>
              <w:rPr>
                <w:rFonts w:ascii="Arial" w:hAnsi="Arial"/>
                <w:sz w:val="18"/>
              </w:rPr>
              <w:t>Business phone line + texting inside the app</w:t>
            </w:r>
          </w:p>
        </w:tc>
        <w:tc>
          <w:tcPr>
            <w:tcW w:type="dxa" w:w="5328"/>
            <w:vAlign w:val="top"/>
          </w:tcPr>
          <w:p>
            <w:pPr>
              <w:keepNext w:val="0"/>
              <w:spacing w:after="50" w:before="20" w:line="250" w:lineRule="auto"/>
            </w:pPr>
            <w:r>
              <w:rPr>
                <w:rFonts w:ascii="Arial" w:hAnsi="Arial"/>
                <w:sz w:val="18"/>
              </w:rPr>
              <w:t>F072, F109, F110</w:t>
              <w:br/>
              <w:t>Expanded. Number privacy and portability alongside messaging/calling.</w:t>
            </w:r>
          </w:p>
        </w:tc>
      </w:tr>
      <w:tr>
        <w:trPr>
          <w:cantSplit/>
        </w:trPr>
        <w:tc>
          <w:tcPr>
            <w:tcW w:type="dxa" w:w="576"/>
            <w:vAlign w:val="top"/>
            <w:shd w:fill="F3F6F7"/>
          </w:tcPr>
          <w:p>
            <w:pPr>
              <w:keepNext w:val="0"/>
              <w:spacing w:after="50" w:before="20" w:line="250" w:lineRule="auto"/>
            </w:pPr>
            <w:r>
              <w:rPr>
                <w:rFonts w:ascii="Arial" w:hAnsi="Arial"/>
                <w:sz w:val="18"/>
              </w:rPr>
              <w:t>20</w:t>
            </w:r>
          </w:p>
        </w:tc>
        <w:tc>
          <w:tcPr>
            <w:tcW w:type="dxa" w:w="4320"/>
            <w:vAlign w:val="top"/>
            <w:shd w:fill="F3F6F7"/>
          </w:tcPr>
          <w:p>
            <w:pPr>
              <w:keepNext w:val="0"/>
              <w:spacing w:after="50" w:before="20" w:line="250" w:lineRule="auto"/>
            </w:pPr>
            <w:r>
              <w:rPr>
                <w:rFonts w:ascii="Arial" w:hAnsi="Arial"/>
                <w:sz w:val="18"/>
              </w:rPr>
              <w:t>Weekly goals &amp; sales trend nudges</w:t>
            </w:r>
          </w:p>
        </w:tc>
        <w:tc>
          <w:tcPr>
            <w:tcW w:type="dxa" w:w="5328"/>
            <w:vAlign w:val="top"/>
            <w:shd w:fill="F3F6F7"/>
          </w:tcPr>
          <w:p>
            <w:pPr>
              <w:keepNext w:val="0"/>
              <w:spacing w:after="50" w:before="20" w:line="250" w:lineRule="auto"/>
            </w:pPr>
            <w:r>
              <w:rPr>
                <w:rFonts w:ascii="Arial" w:hAnsi="Arial"/>
                <w:sz w:val="18"/>
              </w:rPr>
              <w:t>F020, F113, F127</w:t>
              <w:br/>
              <w:t>Expanded. Private goals and contextual trends without punitive staff rankings.</w:t>
            </w:r>
          </w:p>
        </w:tc>
      </w:tr>
      <w:tr>
        <w:trPr>
          <w:cantSplit/>
        </w:trPr>
        <w:tc>
          <w:tcPr>
            <w:tcW w:type="dxa" w:w="576"/>
            <w:vAlign w:val="top"/>
          </w:tcPr>
          <w:p>
            <w:pPr>
              <w:keepNext w:val="0"/>
              <w:spacing w:after="50" w:before="20" w:line="250" w:lineRule="auto"/>
            </w:pPr>
            <w:r>
              <w:rPr>
                <w:rFonts w:ascii="Arial" w:hAnsi="Arial"/>
                <w:sz w:val="18"/>
              </w:rPr>
              <w:t>21</w:t>
            </w:r>
          </w:p>
        </w:tc>
        <w:tc>
          <w:tcPr>
            <w:tcW w:type="dxa" w:w="4320"/>
            <w:vAlign w:val="top"/>
          </w:tcPr>
          <w:p>
            <w:pPr>
              <w:keepNext w:val="0"/>
              <w:spacing w:after="50" w:before="20" w:line="250" w:lineRule="auto"/>
            </w:pPr>
            <w:r>
              <w:rPr>
                <w:rFonts w:ascii="Arial" w:hAnsi="Arial"/>
                <w:sz w:val="18"/>
              </w:rPr>
              <w:t>Per-service tip prompts, auto referral codes, forms auto-sent by appointment type</w:t>
            </w:r>
          </w:p>
        </w:tc>
        <w:tc>
          <w:tcPr>
            <w:tcW w:type="dxa" w:w="5328"/>
            <w:vAlign w:val="top"/>
          </w:tcPr>
          <w:p>
            <w:pPr>
              <w:keepNext w:val="0"/>
              <w:spacing w:after="50" w:before="20" w:line="250" w:lineRule="auto"/>
            </w:pPr>
            <w:r>
              <w:rPr>
                <w:rFonts w:ascii="Arial" w:hAnsi="Arial"/>
                <w:sz w:val="18"/>
              </w:rPr>
              <w:t>F094, F051, F043</w:t>
              <w:br/>
              <w:t>Expanded. All three original ideas retained: service-aware tips, referral codes and automatic form sets.</w:t>
            </w:r>
          </w:p>
        </w:tc>
      </w:tr>
      <w:tr>
        <w:trPr>
          <w:cantSplit/>
        </w:trPr>
        <w:tc>
          <w:tcPr>
            <w:tcW w:type="dxa" w:w="576"/>
            <w:vAlign w:val="top"/>
            <w:shd w:fill="F3F6F7"/>
          </w:tcPr>
          <w:p>
            <w:pPr>
              <w:keepNext w:val="0"/>
              <w:spacing w:after="50" w:before="20" w:line="250" w:lineRule="auto"/>
            </w:pPr>
            <w:r>
              <w:rPr>
                <w:rFonts w:ascii="Arial" w:hAnsi="Arial"/>
                <w:sz w:val="18"/>
              </w:rPr>
              <w:t>22</w:t>
            </w:r>
          </w:p>
        </w:tc>
        <w:tc>
          <w:tcPr>
            <w:tcW w:type="dxa" w:w="4320"/>
            <w:vAlign w:val="top"/>
            <w:shd w:fill="F3F6F7"/>
          </w:tcPr>
          <w:p>
            <w:pPr>
              <w:keepNext w:val="0"/>
              <w:spacing w:after="50" w:before="20" w:line="250" w:lineRule="auto"/>
            </w:pPr>
            <w:r>
              <w:rPr>
                <w:rFonts w:ascii="Arial" w:hAnsi="Arial"/>
                <w:sz w:val="18"/>
              </w:rPr>
              <w:t>One checkout for services + retail + packages</w:t>
            </w:r>
          </w:p>
        </w:tc>
        <w:tc>
          <w:tcPr>
            <w:tcW w:type="dxa" w:w="5328"/>
            <w:vAlign w:val="top"/>
            <w:shd w:fill="F3F6F7"/>
          </w:tcPr>
          <w:p>
            <w:pPr>
              <w:keepNext w:val="0"/>
              <w:spacing w:after="50" w:before="20" w:line="250" w:lineRule="auto"/>
            </w:pPr>
            <w:r>
              <w:rPr>
                <w:rFonts w:ascii="Arial" w:hAnsi="Arial"/>
                <w:sz w:val="18"/>
              </w:rPr>
              <w:t>F085, F092, F096</w:t>
              <w:br/>
              <w:t>Expanded. Service, retail and entitlements share the same itemized ticket and ledger.</w:t>
            </w:r>
          </w:p>
        </w:tc>
      </w:tr>
      <w:tr>
        <w:trPr>
          <w:cantSplit/>
        </w:trPr>
        <w:tc>
          <w:tcPr>
            <w:tcW w:type="dxa" w:w="576"/>
            <w:vAlign w:val="top"/>
          </w:tcPr>
          <w:p>
            <w:pPr>
              <w:keepNext w:val="0"/>
              <w:spacing w:after="50" w:before="20" w:line="250" w:lineRule="auto"/>
            </w:pPr>
            <w:r>
              <w:rPr>
                <w:rFonts w:ascii="Arial" w:hAnsi="Arial"/>
                <w:sz w:val="18"/>
              </w:rPr>
              <w:t>23</w:t>
            </w:r>
          </w:p>
        </w:tc>
        <w:tc>
          <w:tcPr>
            <w:tcW w:type="dxa" w:w="4320"/>
            <w:vAlign w:val="top"/>
          </w:tcPr>
          <w:p>
            <w:pPr>
              <w:keepNext w:val="0"/>
              <w:spacing w:after="50" w:before="20" w:line="250" w:lineRule="auto"/>
            </w:pPr>
            <w:r>
              <w:rPr>
                <w:rFonts w:ascii="Arial" w:hAnsi="Arial"/>
                <w:sz w:val="18"/>
              </w:rPr>
              <w:t>Free, hands-on data migration</w:t>
            </w:r>
          </w:p>
        </w:tc>
        <w:tc>
          <w:tcPr>
            <w:tcW w:type="dxa" w:w="5328"/>
            <w:vAlign w:val="top"/>
          </w:tcPr>
          <w:p>
            <w:pPr>
              <w:keepNext w:val="0"/>
              <w:spacing w:after="50" w:before="20" w:line="250" w:lineRule="auto"/>
            </w:pPr>
            <w:r>
              <w:rPr>
                <w:rFonts w:ascii="Arial" w:hAnsi="Arial"/>
                <w:sz w:val="18"/>
              </w:rPr>
              <w:t>F104, F105, F189</w:t>
              <w:br/>
              <w:t>Reframed. Hands-on migration retained with freshness/reconciliation; define which migrations are included rather than promise unlimited free labor.</w:t>
            </w:r>
          </w:p>
        </w:tc>
      </w:tr>
    </w:tbl>
    <w:p>
      <w:pPr>
        <w:spacing w:after="40" w:before="0" w:line="240" w:lineRule="auto"/>
      </w:pPr>
      <w:r>
        <w:rPr>
          <w:sz w:val="4"/>
        </w:rPr>
      </w:r>
    </w:p>
    <w:p>
      <w:pPr>
        <w:pStyle w:val="Heading3"/>
      </w:pPr>
      <w:r>
        <w:t>Adjacent Industries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576"/>
        <w:gridCol w:w="4320"/>
        <w:gridCol w:w="5328"/>
      </w:tblGrid>
      <w:tr>
        <w:trPr>
          <w:tblHeader/>
        </w:trPr>
        <w:tc>
          <w:tcPr>
            <w:tcW w:type="dxa" w:w="576"/>
            <w:vAlign w:val="top"/>
            <w:shd w:fill="173F50"/>
          </w:tcPr>
          <w:p>
            <w:pPr>
              <w:keepNext/>
              <w:spacing w:after="50" w:before="20" w:line="250" w:lineRule="auto"/>
            </w:pPr>
            <w:r>
              <w:rPr>
                <w:rFonts w:ascii="Arial" w:hAnsi="Arial"/>
                <w:b/>
                <w:color w:val="FFFFFF"/>
                <w:sz w:val="18"/>
              </w:rPr>
              <w:t>Row</w:t>
            </w:r>
          </w:p>
        </w:tc>
        <w:tc>
          <w:tcPr>
            <w:tcW w:type="dxa" w:w="4320"/>
            <w:vAlign w:val="top"/>
            <w:shd w:fill="173F50"/>
          </w:tcPr>
          <w:p>
            <w:pPr>
              <w:keepNext/>
              <w:spacing w:after="50" w:before="20" w:line="250" w:lineRule="auto"/>
            </w:pPr>
            <w:r>
              <w:rPr>
                <w:rFonts w:ascii="Arial" w:hAnsi="Arial"/>
                <w:b/>
                <w:color w:val="FFFFFF"/>
                <w:sz w:val="18"/>
              </w:rPr>
              <w:t>Original idea</w:t>
            </w:r>
          </w:p>
        </w:tc>
        <w:tc>
          <w:tcPr>
            <w:tcW w:type="dxa" w:w="5328"/>
            <w:vAlign w:val="top"/>
            <w:shd w:fill="173F50"/>
          </w:tcPr>
          <w:p>
            <w:pPr>
              <w:keepNext/>
              <w:spacing w:after="50" w:before="20" w:line="250" w:lineRule="auto"/>
            </w:pPr>
            <w:r>
              <w:rPr>
                <w:rFonts w:ascii="Arial" w:hAnsi="Arial"/>
                <w:b/>
                <w:color w:val="FFFFFF"/>
                <w:sz w:val="18"/>
              </w:rPr>
              <w:t>Merged scope and decision</w:t>
            </w:r>
          </w:p>
        </w:tc>
      </w:tr>
      <w:tr>
        <w:trPr>
          <w:cantSplit/>
        </w:trPr>
        <w:tc>
          <w:tcPr>
            <w:tcW w:type="dxa" w:w="576"/>
            <w:vAlign w:val="top"/>
          </w:tcPr>
          <w:p>
            <w:pPr>
              <w:keepNext w:val="0"/>
              <w:spacing w:after="50" w:before="20" w:line="250" w:lineRule="auto"/>
            </w:pPr>
            <w:r>
              <w:rPr>
                <w:rFonts w:ascii="Arial" w:hAnsi="Arial"/>
                <w:sz w:val="18"/>
              </w:rPr>
              <w:t>5</w:t>
            </w:r>
          </w:p>
        </w:tc>
        <w:tc>
          <w:tcPr>
            <w:tcW w:type="dxa" w:w="4320"/>
            <w:vAlign w:val="top"/>
          </w:tcPr>
          <w:p>
            <w:pPr>
              <w:keepNext w:val="0"/>
              <w:spacing w:after="50" w:before="20" w:line="250" w:lineRule="auto"/>
            </w:pPr>
            <w:r>
              <w:rPr>
                <w:rFonts w:ascii="Arial" w:hAnsi="Arial"/>
                <w:sz w:val="18"/>
              </w:rPr>
              <w:t>Jane App — Low-cost entry tier capped by volume + paid AI scribe add-on</w:t>
            </w:r>
          </w:p>
        </w:tc>
        <w:tc>
          <w:tcPr>
            <w:tcW w:type="dxa" w:w="5328"/>
            <w:vAlign w:val="top"/>
          </w:tcPr>
          <w:p>
            <w:pPr>
              <w:keepNext w:val="0"/>
              <w:spacing w:after="50" w:before="20" w:line="250" w:lineRule="auto"/>
            </w:pPr>
            <w:r>
              <w:rPr>
                <w:rFonts w:ascii="Arial" w:hAnsi="Arial"/>
                <w:sz w:val="18"/>
              </w:rPr>
              <w:t>F189, F148, F012</w:t>
              <w:br/>
              <w:t>Expanded. Volume-capped entry pricing, metered optional AI and safe demo records retained as experiments; copied prices not treated as current.</w:t>
            </w:r>
          </w:p>
        </w:tc>
      </w:tr>
      <w:tr>
        <w:trPr>
          <w:cantSplit/>
        </w:trPr>
        <w:tc>
          <w:tcPr>
            <w:tcW w:type="dxa" w:w="576"/>
            <w:vAlign w:val="top"/>
            <w:shd w:fill="F3F6F7"/>
          </w:tcPr>
          <w:p>
            <w:pPr>
              <w:keepNext w:val="0"/>
              <w:spacing w:after="50" w:before="20" w:line="250" w:lineRule="auto"/>
            </w:pPr>
            <w:r>
              <w:rPr>
                <w:rFonts w:ascii="Arial" w:hAnsi="Arial"/>
                <w:sz w:val="18"/>
              </w:rPr>
              <w:t>6</w:t>
            </w:r>
          </w:p>
        </w:tc>
        <w:tc>
          <w:tcPr>
            <w:tcW w:type="dxa" w:w="4320"/>
            <w:vAlign w:val="top"/>
            <w:shd w:fill="F3F6F7"/>
          </w:tcPr>
          <w:p>
            <w:pPr>
              <w:keepNext w:val="0"/>
              <w:spacing w:after="50" w:before="20" w:line="250" w:lineRule="auto"/>
            </w:pPr>
            <w:r>
              <w:rPr>
                <w:rFonts w:ascii="Arial" w:hAnsi="Arial"/>
                <w:sz w:val="18"/>
              </w:rPr>
              <w:t>SimplePractice — Client portal with document requests, e-sign, telehealth on every plan</w:t>
            </w:r>
          </w:p>
        </w:tc>
        <w:tc>
          <w:tcPr>
            <w:tcW w:type="dxa" w:w="5328"/>
            <w:vAlign w:val="top"/>
            <w:shd w:fill="F3F6F7"/>
          </w:tcPr>
          <w:p>
            <w:pPr>
              <w:keepNext w:val="0"/>
              <w:spacing w:after="50" w:before="20" w:line="250" w:lineRule="auto"/>
            </w:pPr>
            <w:r>
              <w:rPr>
                <w:rFonts w:ascii="Arial" w:hAnsi="Arial"/>
                <w:sz w:val="18"/>
              </w:rPr>
              <w:t>F031, F035, F063, F065, F100</w:t>
              <w:br/>
              <w:t>Expanded. Portal, documents, e-signature, optional between-visit photos and partner video consultation.</w:t>
            </w:r>
          </w:p>
        </w:tc>
      </w:tr>
      <w:tr>
        <w:trPr>
          <w:cantSplit/>
        </w:trPr>
        <w:tc>
          <w:tcPr>
            <w:tcW w:type="dxa" w:w="576"/>
            <w:vAlign w:val="top"/>
          </w:tcPr>
          <w:p>
            <w:pPr>
              <w:keepNext w:val="0"/>
              <w:spacing w:after="50" w:before="20" w:line="250" w:lineRule="auto"/>
            </w:pPr>
            <w:r>
              <w:rPr>
                <w:rFonts w:ascii="Arial" w:hAnsi="Arial"/>
                <w:sz w:val="18"/>
              </w:rPr>
              <w:t>7</w:t>
            </w:r>
          </w:p>
        </w:tc>
        <w:tc>
          <w:tcPr>
            <w:tcW w:type="dxa" w:w="4320"/>
            <w:vAlign w:val="top"/>
          </w:tcPr>
          <w:p>
            <w:pPr>
              <w:keepNext w:val="0"/>
              <w:spacing w:after="50" w:before="20" w:line="250" w:lineRule="auto"/>
            </w:pPr>
            <w:r>
              <w:rPr>
                <w:rFonts w:ascii="Arial" w:hAnsi="Arial"/>
                <w:sz w:val="18"/>
              </w:rPr>
              <w:t>Jobber — Client Hub (self-serve quote approval, pay invoices, request work) + automated quote follow-ups</w:t>
            </w:r>
          </w:p>
        </w:tc>
        <w:tc>
          <w:tcPr>
            <w:tcW w:type="dxa" w:w="5328"/>
            <w:vAlign w:val="top"/>
          </w:tcPr>
          <w:p>
            <w:pPr>
              <w:keepNext w:val="0"/>
              <w:spacing w:after="50" w:before="20" w:line="250" w:lineRule="auto"/>
            </w:pPr>
            <w:r>
              <w:rPr>
                <w:rFonts w:ascii="Arial" w:hAnsi="Arial"/>
                <w:sz w:val="18"/>
              </w:rPr>
              <w:t>F044, F045, F107, F108</w:t>
              <w:br/>
              <w:t>Expanded. Treatment/service proposal approval and follow-up; avoid unsupported medical outcome promises.</w:t>
            </w:r>
          </w:p>
        </w:tc>
      </w:tr>
      <w:tr>
        <w:trPr>
          <w:cantSplit/>
        </w:trPr>
        <w:tc>
          <w:tcPr>
            <w:tcW w:type="dxa" w:w="576"/>
            <w:vAlign w:val="top"/>
            <w:shd w:fill="F3F6F7"/>
          </w:tcPr>
          <w:p>
            <w:pPr>
              <w:keepNext w:val="0"/>
              <w:spacing w:after="50" w:before="20" w:line="250" w:lineRule="auto"/>
            </w:pPr>
            <w:r>
              <w:rPr>
                <w:rFonts w:ascii="Arial" w:hAnsi="Arial"/>
                <w:sz w:val="18"/>
              </w:rPr>
              <w:t>8</w:t>
            </w:r>
          </w:p>
        </w:tc>
        <w:tc>
          <w:tcPr>
            <w:tcW w:type="dxa" w:w="4320"/>
            <w:vAlign w:val="top"/>
            <w:shd w:fill="F3F6F7"/>
          </w:tcPr>
          <w:p>
            <w:pPr>
              <w:keepNext w:val="0"/>
              <w:spacing w:after="50" w:before="20" w:line="250" w:lineRule="auto"/>
            </w:pPr>
            <w:r>
              <w:rPr>
                <w:rFonts w:ascii="Arial" w:hAnsi="Arial"/>
                <w:sz w:val="18"/>
              </w:rPr>
              <w:t>Housecall Pro — Consumer financing + Instapay + automated review requests</w:t>
            </w:r>
          </w:p>
        </w:tc>
        <w:tc>
          <w:tcPr>
            <w:tcW w:type="dxa" w:w="5328"/>
            <w:vAlign w:val="top"/>
            <w:shd w:fill="F3F6F7"/>
          </w:tcPr>
          <w:p>
            <w:pPr>
              <w:keepNext w:val="0"/>
              <w:spacing w:after="50" w:before="20" w:line="250" w:lineRule="auto"/>
            </w:pPr>
            <w:r>
              <w:rPr>
                <w:rFonts w:ascii="Arial" w:hAnsi="Arial"/>
                <w:sz w:val="18"/>
              </w:rPr>
              <w:t>F186, F090, F050</w:t>
              <w:br/>
              <w:t>Expanded. Launch payout visibility is retained; supported faster payout options require processor approval. Merchant financing and client financing remain separate later partner products.</w:t>
            </w:r>
          </w:p>
        </w:tc>
      </w:tr>
      <w:tr>
        <w:trPr>
          <w:cantSplit/>
        </w:trPr>
        <w:tc>
          <w:tcPr>
            <w:tcW w:type="dxa" w:w="576"/>
            <w:vAlign w:val="top"/>
          </w:tcPr>
          <w:p>
            <w:pPr>
              <w:keepNext w:val="0"/>
              <w:spacing w:after="50" w:before="20" w:line="250" w:lineRule="auto"/>
            </w:pPr>
            <w:r>
              <w:rPr>
                <w:rFonts w:ascii="Arial" w:hAnsi="Arial"/>
                <w:sz w:val="18"/>
              </w:rPr>
              <w:t>9</w:t>
            </w:r>
          </w:p>
        </w:tc>
        <w:tc>
          <w:tcPr>
            <w:tcW w:type="dxa" w:w="4320"/>
            <w:vAlign w:val="top"/>
          </w:tcPr>
          <w:p>
            <w:pPr>
              <w:keepNext w:val="0"/>
              <w:spacing w:after="50" w:before="20" w:line="250" w:lineRule="auto"/>
            </w:pPr>
            <w:r>
              <w:rPr>
                <w:rFonts w:ascii="Arial" w:hAnsi="Arial"/>
                <w:sz w:val="18"/>
              </w:rPr>
              <w:t>HoneyBook — Smart Files: services + proposal + contract + invoice + payment plan in one link</w:t>
            </w:r>
          </w:p>
        </w:tc>
        <w:tc>
          <w:tcPr>
            <w:tcW w:type="dxa" w:w="5328"/>
            <w:vAlign w:val="top"/>
          </w:tcPr>
          <w:p>
            <w:pPr>
              <w:keepNext w:val="0"/>
              <w:spacing w:after="50" w:before="20" w:line="250" w:lineRule="auto"/>
            </w:pPr>
            <w:r>
              <w:rPr>
                <w:rFonts w:ascii="Arial" w:hAnsi="Arial"/>
                <w:sz w:val="18"/>
              </w:rPr>
              <w:t>F107, F168, F100, F084</w:t>
              <w:br/>
              <w:t>Expanded. One link for service selection, contract/consent, payment and scheduling; bridal event coordination later.</w:t>
            </w:r>
          </w:p>
        </w:tc>
      </w:tr>
      <w:tr>
        <w:trPr>
          <w:cantSplit/>
        </w:trPr>
        <w:tc>
          <w:tcPr>
            <w:tcW w:type="dxa" w:w="576"/>
            <w:vAlign w:val="top"/>
            <w:shd w:fill="F3F6F7"/>
          </w:tcPr>
          <w:p>
            <w:pPr>
              <w:keepNext w:val="0"/>
              <w:spacing w:after="50" w:before="20" w:line="250" w:lineRule="auto"/>
            </w:pPr>
            <w:r>
              <w:rPr>
                <w:rFonts w:ascii="Arial" w:hAnsi="Arial"/>
                <w:sz w:val="18"/>
              </w:rPr>
              <w:t>10</w:t>
            </w:r>
          </w:p>
        </w:tc>
        <w:tc>
          <w:tcPr>
            <w:tcW w:type="dxa" w:w="4320"/>
            <w:vAlign w:val="top"/>
            <w:shd w:fill="F3F6F7"/>
          </w:tcPr>
          <w:p>
            <w:pPr>
              <w:keepNext w:val="0"/>
              <w:spacing w:after="50" w:before="20" w:line="250" w:lineRule="auto"/>
            </w:pPr>
            <w:r>
              <w:rPr>
                <w:rFonts w:ascii="Arial" w:hAnsi="Arial"/>
                <w:sz w:val="18"/>
              </w:rPr>
              <w:t>theCut — Free tier for pros; client pays a small per-transaction fee</w:t>
            </w:r>
          </w:p>
        </w:tc>
        <w:tc>
          <w:tcPr>
            <w:tcW w:type="dxa" w:w="5328"/>
            <w:vAlign w:val="top"/>
            <w:shd w:fill="F3F6F7"/>
          </w:tcPr>
          <w:p>
            <w:pPr>
              <w:keepNext w:val="0"/>
              <w:spacing w:after="50" w:before="20" w:line="250" w:lineRule="auto"/>
            </w:pPr>
            <w:r>
              <w:rPr>
                <w:rFonts w:ascii="Arial" w:hAnsi="Arial"/>
                <w:sz w:val="18"/>
              </w:rPr>
              <w:t>F189, F116, F187</w:t>
              <w:br/>
              <w:t>Reframed. Free-for-pro/client-fee model is a testable commercial option; distinguish platform booking fees from regulated card surcharges.</w:t>
            </w:r>
          </w:p>
        </w:tc>
      </w:tr>
      <w:tr>
        <w:trPr>
          <w:cantSplit/>
        </w:trPr>
        <w:tc>
          <w:tcPr>
            <w:tcW w:type="dxa" w:w="576"/>
            <w:vAlign w:val="top"/>
          </w:tcPr>
          <w:p>
            <w:pPr>
              <w:keepNext w:val="0"/>
              <w:spacing w:after="50" w:before="20" w:line="250" w:lineRule="auto"/>
            </w:pPr>
            <w:r>
              <w:rPr>
                <w:rFonts w:ascii="Arial" w:hAnsi="Arial"/>
                <w:sz w:val="18"/>
              </w:rPr>
              <w:t>11</w:t>
            </w:r>
          </w:p>
        </w:tc>
        <w:tc>
          <w:tcPr>
            <w:tcW w:type="dxa" w:w="4320"/>
            <w:vAlign w:val="top"/>
          </w:tcPr>
          <w:p>
            <w:pPr>
              <w:keepNext w:val="0"/>
              <w:spacing w:after="50" w:before="20" w:line="250" w:lineRule="auto"/>
            </w:pPr>
            <w:r>
              <w:rPr>
                <w:rFonts w:ascii="Arial" w:hAnsi="Arial"/>
                <w:sz w:val="18"/>
              </w:rPr>
              <w:t>SQUIRE — Waitlist with timed claim window; AI operator add-on</w:t>
            </w:r>
          </w:p>
        </w:tc>
        <w:tc>
          <w:tcPr>
            <w:tcW w:type="dxa" w:w="5328"/>
            <w:vAlign w:val="top"/>
          </w:tcPr>
          <w:p>
            <w:pPr>
              <w:keepNext w:val="0"/>
              <w:spacing w:after="50" w:before="20" w:line="250" w:lineRule="auto"/>
            </w:pPr>
            <w:r>
              <w:rPr>
                <w:rFonts w:ascii="Arial" w:hAnsi="Arial"/>
                <w:sz w:val="18"/>
              </w:rPr>
              <w:t>F081, F136, F145</w:t>
              <w:br/>
              <w:t>Expanded. Timed claim offers are retained; exact timeout is configurable rather than copied as a universal optimum.</w:t>
            </w:r>
          </w:p>
        </w:tc>
      </w:tr>
      <w:tr>
        <w:trPr>
          <w:cantSplit/>
        </w:trPr>
        <w:tc>
          <w:tcPr>
            <w:tcW w:type="dxa" w:w="576"/>
            <w:vAlign w:val="top"/>
            <w:shd w:fill="F3F6F7"/>
          </w:tcPr>
          <w:p>
            <w:pPr>
              <w:keepNext w:val="0"/>
              <w:spacing w:after="50" w:before="20" w:line="250" w:lineRule="auto"/>
            </w:pPr>
            <w:r>
              <w:rPr>
                <w:rFonts w:ascii="Arial" w:hAnsi="Arial"/>
                <w:sz w:val="18"/>
              </w:rPr>
              <w:t>12</w:t>
            </w:r>
          </w:p>
        </w:tc>
        <w:tc>
          <w:tcPr>
            <w:tcW w:type="dxa" w:w="4320"/>
            <w:vAlign w:val="top"/>
            <w:shd w:fill="F3F6F7"/>
          </w:tcPr>
          <w:p>
            <w:pPr>
              <w:keepNext w:val="0"/>
              <w:spacing w:after="50" w:before="20" w:line="250" w:lineRule="auto"/>
            </w:pPr>
            <w:r>
              <w:rPr>
                <w:rFonts w:ascii="Arial" w:hAnsi="Arial"/>
                <w:sz w:val="18"/>
              </w:rPr>
              <w:t>Gingr — Expiring-record tracking that blocks booking + photo 'report cards'</w:t>
            </w:r>
          </w:p>
        </w:tc>
        <w:tc>
          <w:tcPr>
            <w:tcW w:type="dxa" w:w="5328"/>
            <w:vAlign w:val="top"/>
            <w:shd w:fill="F3F6F7"/>
          </w:tcPr>
          <w:p>
            <w:pPr>
              <w:keepNext w:val="0"/>
              <w:spacing w:after="50" w:before="20" w:line="250" w:lineRule="auto"/>
            </w:pPr>
            <w:r>
              <w:rPr>
                <w:rFonts w:ascii="Arial" w:hAnsi="Arial"/>
                <w:sz w:val="18"/>
              </w:rPr>
              <w:t>F042, F126, F129, F040</w:t>
              <w:br/>
              <w:t>Reframed. Use professional-defined readiness/expiry checks and approved visit summaries. Do not turn pregnancy, medicines or a guessed patch-test interval into automatic clinical decisions.</w:t>
            </w:r>
          </w:p>
        </w:tc>
      </w:tr>
      <w:tr>
        <w:trPr>
          <w:cantSplit/>
        </w:trPr>
        <w:tc>
          <w:tcPr>
            <w:tcW w:type="dxa" w:w="576"/>
            <w:vAlign w:val="top"/>
          </w:tcPr>
          <w:p>
            <w:pPr>
              <w:keepNext w:val="0"/>
              <w:spacing w:after="50" w:before="20" w:line="250" w:lineRule="auto"/>
            </w:pPr>
            <w:r>
              <w:rPr>
                <w:rFonts w:ascii="Arial" w:hAnsi="Arial"/>
                <w:sz w:val="18"/>
              </w:rPr>
              <w:t>13</w:t>
            </w:r>
          </w:p>
        </w:tc>
        <w:tc>
          <w:tcPr>
            <w:tcW w:type="dxa" w:w="4320"/>
            <w:vAlign w:val="top"/>
          </w:tcPr>
          <w:p>
            <w:pPr>
              <w:keepNext w:val="0"/>
              <w:spacing w:after="50" w:before="20" w:line="250" w:lineRule="auto"/>
            </w:pPr>
            <w:r>
              <w:rPr>
                <w:rFonts w:ascii="Arial" w:hAnsi="Arial"/>
                <w:sz w:val="18"/>
              </w:rPr>
              <w:t>OpenTable — 'Notify me' waitlist, deposits/card holds, prepaid ticketed Experiences</w:t>
            </w:r>
          </w:p>
        </w:tc>
        <w:tc>
          <w:tcPr>
            <w:tcW w:type="dxa" w:w="5328"/>
            <w:vAlign w:val="top"/>
          </w:tcPr>
          <w:p>
            <w:pPr>
              <w:keepNext w:val="0"/>
              <w:spacing w:after="50" w:before="20" w:line="250" w:lineRule="auto"/>
            </w:pPr>
            <w:r>
              <w:rPr>
                <w:rFonts w:ascii="Arial" w:hAnsi="Arial"/>
                <w:sz w:val="18"/>
              </w:rPr>
              <w:t>F081, F084, F080, F168</w:t>
              <w:br/>
              <w:t>Expanded. Waitlist and supported authorizations plus prepaid group/service experiences.</w:t>
            </w:r>
          </w:p>
        </w:tc>
      </w:tr>
      <w:tr>
        <w:trPr>
          <w:cantSplit/>
        </w:trPr>
        <w:tc>
          <w:tcPr>
            <w:tcW w:type="dxa" w:w="576"/>
            <w:vAlign w:val="top"/>
            <w:shd w:fill="F3F6F7"/>
          </w:tcPr>
          <w:p>
            <w:pPr>
              <w:keepNext w:val="0"/>
              <w:spacing w:after="50" w:before="20" w:line="250" w:lineRule="auto"/>
            </w:pPr>
            <w:r>
              <w:rPr>
                <w:rFonts w:ascii="Arial" w:hAnsi="Arial"/>
                <w:sz w:val="18"/>
              </w:rPr>
              <w:t>14</w:t>
            </w:r>
          </w:p>
        </w:tc>
        <w:tc>
          <w:tcPr>
            <w:tcW w:type="dxa" w:w="4320"/>
            <w:vAlign w:val="top"/>
            <w:shd w:fill="F3F6F7"/>
          </w:tcPr>
          <w:p>
            <w:pPr>
              <w:keepNext w:val="0"/>
              <w:spacing w:after="50" w:before="20" w:line="250" w:lineRule="auto"/>
            </w:pPr>
            <w:r>
              <w:rPr>
                <w:rFonts w:ascii="Arial" w:hAnsi="Arial"/>
                <w:sz w:val="18"/>
              </w:rPr>
              <w:t>Toast Tables — Two-way SMS waitlist with guest notes/VIP flags</w:t>
            </w:r>
          </w:p>
        </w:tc>
        <w:tc>
          <w:tcPr>
            <w:tcW w:type="dxa" w:w="5328"/>
            <w:vAlign w:val="top"/>
            <w:shd w:fill="F3F6F7"/>
          </w:tcPr>
          <w:p>
            <w:pPr>
              <w:keepNext w:val="0"/>
              <w:spacing w:after="50" w:before="20" w:line="250" w:lineRule="auto"/>
            </w:pPr>
            <w:r>
              <w:rPr>
                <w:rFonts w:ascii="Arial" w:hAnsi="Arial"/>
                <w:sz w:val="18"/>
              </w:rPr>
              <w:t>F066, F109, F013, F095</w:t>
              <w:br/>
              <w:t>Expanded. Private walk-in queue, SMS status, preferences and optional loyalty; no public exposure of VIP or client data.</w:t>
            </w:r>
          </w:p>
        </w:tc>
      </w:tr>
      <w:tr>
        <w:trPr>
          <w:cantSplit/>
        </w:trPr>
        <w:tc>
          <w:tcPr>
            <w:tcW w:type="dxa" w:w="576"/>
            <w:vAlign w:val="top"/>
          </w:tcPr>
          <w:p>
            <w:pPr>
              <w:keepNext w:val="0"/>
              <w:spacing w:after="50" w:before="20" w:line="250" w:lineRule="auto"/>
            </w:pPr>
            <w:r>
              <w:rPr>
                <w:rFonts w:ascii="Arial" w:hAnsi="Arial"/>
                <w:sz w:val="18"/>
              </w:rPr>
              <w:t>15</w:t>
            </w:r>
          </w:p>
        </w:tc>
        <w:tc>
          <w:tcPr>
            <w:tcW w:type="dxa" w:w="4320"/>
            <w:vAlign w:val="top"/>
          </w:tcPr>
          <w:p>
            <w:pPr>
              <w:keepNext w:val="0"/>
              <w:spacing w:after="50" w:before="20" w:line="250" w:lineRule="auto"/>
            </w:pPr>
            <w:r>
              <w:rPr>
                <w:rFonts w:ascii="Arial" w:hAnsi="Arial"/>
                <w:sz w:val="18"/>
              </w:rPr>
              <w:t>ClassPass — Fill only unfilled inventory at a floor rate set by the business</w:t>
            </w:r>
          </w:p>
        </w:tc>
        <w:tc>
          <w:tcPr>
            <w:tcW w:type="dxa" w:w="5328"/>
            <w:vAlign w:val="top"/>
          </w:tcPr>
          <w:p>
            <w:pPr>
              <w:keepNext w:val="0"/>
              <w:spacing w:after="50" w:before="20" w:line="250" w:lineRule="auto"/>
            </w:pPr>
            <w:r>
              <w:rPr>
                <w:rFonts w:ascii="Arial" w:hAnsi="Arial"/>
                <w:sz w:val="18"/>
              </w:rPr>
              <w:t>F143, F152, F177, F115</w:t>
              <w:br/>
              <w:t>Reframed. Opt-in off-peak offers with price/contribution floors and cannibalization measurement; no guarantee discounts never affect regulars.</w:t>
            </w:r>
          </w:p>
        </w:tc>
      </w:tr>
      <w:tr>
        <w:trPr>
          <w:cantSplit/>
        </w:trPr>
        <w:tc>
          <w:tcPr>
            <w:tcW w:type="dxa" w:w="576"/>
            <w:vAlign w:val="top"/>
            <w:shd w:fill="F3F6F7"/>
          </w:tcPr>
          <w:p>
            <w:pPr>
              <w:keepNext w:val="0"/>
              <w:spacing w:after="50" w:before="20" w:line="250" w:lineRule="auto"/>
            </w:pPr>
            <w:r>
              <w:rPr>
                <w:rFonts w:ascii="Arial" w:hAnsi="Arial"/>
                <w:sz w:val="18"/>
              </w:rPr>
              <w:t>16</w:t>
            </w:r>
          </w:p>
        </w:tc>
        <w:tc>
          <w:tcPr>
            <w:tcW w:type="dxa" w:w="4320"/>
            <w:vAlign w:val="top"/>
            <w:shd w:fill="F3F6F7"/>
          </w:tcPr>
          <w:p>
            <w:pPr>
              <w:keepNext w:val="0"/>
              <w:spacing w:after="50" w:before="20" w:line="250" w:lineRule="auto"/>
            </w:pPr>
            <w:r>
              <w:rPr>
                <w:rFonts w:ascii="Arial" w:hAnsi="Arial"/>
                <w:sz w:val="18"/>
              </w:rPr>
              <w:t>Calendly — Genuinely free single-user plan</w:t>
            </w:r>
          </w:p>
        </w:tc>
        <w:tc>
          <w:tcPr>
            <w:tcW w:type="dxa" w:w="5328"/>
            <w:vAlign w:val="top"/>
            <w:shd w:fill="F3F6F7"/>
          </w:tcPr>
          <w:p>
            <w:pPr>
              <w:keepNext w:val="0"/>
              <w:spacing w:after="50" w:before="20" w:line="250" w:lineRule="auto"/>
            </w:pPr>
            <w:r>
              <w:rPr>
                <w:rFonts w:ascii="Arial" w:hAnsi="Arial"/>
                <w:sz w:val="18"/>
              </w:rPr>
              <w:t>F189, F075</w:t>
              <w:br/>
              <w:t>Expanded. Free core booking is a commercial hypothesis with limits and measured support/payment economics.</w:t>
            </w:r>
          </w:p>
        </w:tc>
      </w:tr>
    </w:tbl>
    <w:p>
      <w:pPr>
        <w:spacing w:after="40" w:before="0" w:line="240" w:lineRule="auto"/>
      </w:pPr>
      <w:r>
        <w:rPr>
          <w:sz w:val="4"/>
        </w:rPr>
      </w:r>
    </w:p>
    <w:p>
      <w:pPr>
        <w:pStyle w:val="Heading2"/>
      </w:pPr>
      <w:r>
        <w:t>10 3 Pricing sheet context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088"/>
        <w:gridCol w:w="3600"/>
        <w:gridCol w:w="4536"/>
      </w:tblGrid>
      <w:tr>
        <w:trPr>
          <w:tblHeader/>
        </w:trPr>
        <w:tc>
          <w:tcPr>
            <w:tcW w:type="dxa" w:w="2088"/>
            <w:vAlign w:val="top"/>
            <w:shd w:fill="173F50"/>
          </w:tcPr>
          <w:p>
            <w:pPr>
              <w:keepNext/>
              <w:spacing w:after="50" w:before="20" w:line="250" w:lineRule="auto"/>
            </w:pPr>
            <w:r>
              <w:rPr>
                <w:rFonts w:ascii="Arial" w:hAnsi="Arial"/>
                <w:b/>
                <w:color w:val="FFFFFF"/>
                <w:sz w:val="18"/>
              </w:rPr>
              <w:t>App and row</w:t>
            </w:r>
          </w:p>
        </w:tc>
        <w:tc>
          <w:tcPr>
            <w:tcW w:type="dxa" w:w="3600"/>
            <w:vAlign w:val="top"/>
            <w:shd w:fill="173F50"/>
          </w:tcPr>
          <w:p>
            <w:pPr>
              <w:keepNext/>
              <w:spacing w:after="50" w:before="20" w:line="250" w:lineRule="auto"/>
            </w:pPr>
            <w:r>
              <w:rPr>
                <w:rFonts w:ascii="Arial" w:hAnsi="Arial"/>
                <w:b/>
                <w:color w:val="FFFFFF"/>
                <w:sz w:val="18"/>
              </w:rPr>
              <w:t>Retained design lesson</w:t>
            </w:r>
          </w:p>
        </w:tc>
        <w:tc>
          <w:tcPr>
            <w:tcW w:type="dxa" w:w="4536"/>
            <w:vAlign w:val="top"/>
            <w:shd w:fill="173F50"/>
          </w:tcPr>
          <w:p>
            <w:pPr>
              <w:keepNext/>
              <w:spacing w:after="50" w:before="20" w:line="250" w:lineRule="auto"/>
            </w:pPr>
            <w:r>
              <w:rPr>
                <w:rFonts w:ascii="Arial" w:hAnsi="Arial"/>
                <w:b/>
                <w:color w:val="FFFFFF"/>
                <w:sz w:val="18"/>
              </w:rPr>
              <w:t>Correction or qualification</w:t>
            </w:r>
          </w:p>
        </w:tc>
      </w:tr>
      <w:tr>
        <w:trPr>
          <w:cantSplit/>
        </w:trPr>
        <w:tc>
          <w:tcPr>
            <w:tcW w:type="dxa" w:w="2088"/>
            <w:vAlign w:val="top"/>
          </w:tcPr>
          <w:p>
            <w:pPr>
              <w:keepNext w:val="0"/>
              <w:spacing w:after="50" w:before="20" w:line="250" w:lineRule="auto"/>
            </w:pPr>
            <w:r>
              <w:rPr>
                <w:rFonts w:ascii="Arial" w:hAnsi="Arial"/>
                <w:b/>
                <w:sz w:val="18"/>
              </w:rPr>
              <w:t>GlossGenius</w:t>
            </w:r>
            <w:r>
              <w:rPr>
                <w:rFonts w:ascii="Arial" w:hAnsi="Arial"/>
                <w:b w:val="0"/>
                <w:sz w:val="18"/>
              </w:rPr>
              <w:br/>
              <w:t>Row 5; F017, F061, F090, F189</w:t>
            </w:r>
          </w:p>
        </w:tc>
        <w:tc>
          <w:tcPr>
            <w:tcW w:type="dxa" w:w="3600"/>
            <w:vAlign w:val="top"/>
          </w:tcPr>
          <w:p>
            <w:pPr>
              <w:keepNext w:val="0"/>
              <w:spacing w:after="50" w:before="20" w:line="250" w:lineRule="auto"/>
            </w:pPr>
            <w:r>
              <w:rPr>
                <w:rFonts w:ascii="Arial" w:hAnsi="Arial"/>
                <w:sz w:val="18"/>
              </w:rPr>
              <w:t>Retain plan/add-on/channel-based cost comparison.</w:t>
            </w:r>
          </w:p>
        </w:tc>
        <w:tc>
          <w:tcPr>
            <w:tcW w:type="dxa" w:w="4536"/>
            <w:vAlign w:val="top"/>
          </w:tcPr>
          <w:p>
            <w:pPr>
              <w:keepNext w:val="0"/>
              <w:spacing w:after="50" w:before="20" w:line="250" w:lineRule="auto"/>
            </w:pPr>
            <w:r>
              <w:rPr>
                <w:rFonts w:ascii="Arial" w:hAnsi="Arial"/>
                <w:sz w:val="18"/>
              </w:rPr>
              <w:t>Fetched official pages and app listing show inconsistent processing-rate messaging; do not treat workbook's reported future effective date or competitor-blog claim as verified. Current official pages advertise AI and Medspa tiers.</w:t>
            </w:r>
          </w:p>
        </w:tc>
      </w:tr>
      <w:tr>
        <w:trPr>
          <w:cantSplit/>
        </w:trPr>
        <w:tc>
          <w:tcPr>
            <w:tcW w:type="dxa" w:w="2088"/>
            <w:vAlign w:val="top"/>
            <w:shd w:fill="F3F6F7"/>
          </w:tcPr>
          <w:p>
            <w:pPr>
              <w:keepNext w:val="0"/>
              <w:spacing w:after="50" w:before="20" w:line="250" w:lineRule="auto"/>
            </w:pPr>
            <w:r>
              <w:rPr>
                <w:rFonts w:ascii="Arial" w:hAnsi="Arial"/>
                <w:b/>
                <w:sz w:val="18"/>
              </w:rPr>
              <w:t>Vagaro</w:t>
            </w:r>
            <w:r>
              <w:rPr>
                <w:rFonts w:ascii="Arial" w:hAnsi="Arial"/>
                <w:b w:val="0"/>
                <w:sz w:val="18"/>
              </w:rPr>
              <w:br/>
              <w:t>Row 6; F017, F061, F189</w:t>
            </w:r>
          </w:p>
        </w:tc>
        <w:tc>
          <w:tcPr>
            <w:tcW w:type="dxa" w:w="3600"/>
            <w:vAlign w:val="top"/>
            <w:shd w:fill="F3F6F7"/>
          </w:tcPr>
          <w:p>
            <w:pPr>
              <w:keepNext w:val="0"/>
              <w:spacing w:after="50" w:before="20" w:line="250" w:lineRule="auto"/>
            </w:pPr>
            <w:r>
              <w:rPr>
                <w:rFonts w:ascii="Arial" w:hAnsi="Arial"/>
                <w:sz w:val="18"/>
              </w:rPr>
              <w:t>Retain calendar licenses, paid add-ons and message-credit economics.</w:t>
            </w:r>
          </w:p>
        </w:tc>
        <w:tc>
          <w:tcPr>
            <w:tcW w:type="dxa" w:w="4536"/>
            <w:vAlign w:val="top"/>
            <w:shd w:fill="F3F6F7"/>
          </w:tcPr>
          <w:p>
            <w:pPr>
              <w:keepNext w:val="0"/>
              <w:spacing w:after="50" w:before="20" w:line="250" w:lineRule="auto"/>
            </w:pPr>
            <w:r>
              <w:rPr>
                <w:rFonts w:ascii="Arial" w:hAnsi="Arial"/>
                <w:sz w:val="18"/>
              </w:rPr>
              <w:t>Region, transaction method, merchant tier and temporary offers matter. Vera support/pricing pages conflict on temporary free versus paid access; avoid a universal fixed price.</w:t>
            </w:r>
          </w:p>
        </w:tc>
      </w:tr>
      <w:tr>
        <w:trPr>
          <w:cantSplit/>
        </w:trPr>
        <w:tc>
          <w:tcPr>
            <w:tcW w:type="dxa" w:w="2088"/>
            <w:vAlign w:val="top"/>
          </w:tcPr>
          <w:p>
            <w:pPr>
              <w:keepNext w:val="0"/>
              <w:spacing w:after="50" w:before="20" w:line="250" w:lineRule="auto"/>
            </w:pPr>
            <w:r>
              <w:rPr>
                <w:rFonts w:ascii="Arial" w:hAnsi="Arial"/>
                <w:b/>
                <w:sz w:val="18"/>
              </w:rPr>
              <w:t>Boulevard</w:t>
            </w:r>
            <w:r>
              <w:rPr>
                <w:rFonts w:ascii="Arial" w:hAnsi="Arial"/>
                <w:b w:val="0"/>
                <w:sz w:val="18"/>
              </w:rPr>
              <w:br/>
              <w:t>Row 7; F017, F061, F186, F187</w:t>
            </w:r>
          </w:p>
        </w:tc>
        <w:tc>
          <w:tcPr>
            <w:tcW w:type="dxa" w:w="3600"/>
            <w:vAlign w:val="top"/>
          </w:tcPr>
          <w:p>
            <w:pPr>
              <w:keepNext w:val="0"/>
              <w:spacing w:after="50" w:before="20" w:line="250" w:lineRule="auto"/>
            </w:pPr>
            <w:r>
              <w:rPr>
                <w:rFonts w:ascii="Arial" w:hAnsi="Arial"/>
                <w:sz w:val="18"/>
              </w:rPr>
              <w:t>Retain per-location/add-on economics, BNPL and fee-offset concept.</w:t>
            </w:r>
          </w:p>
        </w:tc>
        <w:tc>
          <w:tcPr>
            <w:tcW w:type="dxa" w:w="4536"/>
            <w:vAlign w:val="top"/>
          </w:tcPr>
          <w:p>
            <w:pPr>
              <w:keepNext w:val="0"/>
              <w:spacing w:after="50" w:before="20" w:line="250" w:lineRule="auto"/>
            </w:pPr>
            <w:r>
              <w:rPr>
                <w:rFonts w:ascii="Arial" w:hAnsi="Arial"/>
                <w:sz w:val="18"/>
              </w:rPr>
              <w:t>Promotions, post-November AI pricing and user-reported contracts require current primary-source/quote confirmation; no blanket contract assertion.</w:t>
            </w:r>
          </w:p>
        </w:tc>
      </w:tr>
      <w:tr>
        <w:trPr>
          <w:cantSplit/>
        </w:trPr>
        <w:tc>
          <w:tcPr>
            <w:tcW w:type="dxa" w:w="2088"/>
            <w:vAlign w:val="top"/>
            <w:shd w:fill="F3F6F7"/>
          </w:tcPr>
          <w:p>
            <w:pPr>
              <w:keepNext w:val="0"/>
              <w:spacing w:after="50" w:before="20" w:line="250" w:lineRule="auto"/>
            </w:pPr>
            <w:r>
              <w:rPr>
                <w:rFonts w:ascii="Arial" w:hAnsi="Arial"/>
                <w:b/>
                <w:sz w:val="18"/>
              </w:rPr>
              <w:t>Fresha</w:t>
            </w:r>
            <w:r>
              <w:rPr>
                <w:rFonts w:ascii="Arial" w:hAnsi="Arial"/>
                <w:b w:val="0"/>
                <w:sz w:val="18"/>
              </w:rPr>
              <w:br/>
              <w:t>Row 8; F017, F061, F116, F189</w:t>
            </w:r>
          </w:p>
        </w:tc>
        <w:tc>
          <w:tcPr>
            <w:tcW w:type="dxa" w:w="3600"/>
            <w:vAlign w:val="top"/>
            <w:shd w:fill="F3F6F7"/>
          </w:tcPr>
          <w:p>
            <w:pPr>
              <w:keepNext w:val="0"/>
              <w:spacing w:after="50" w:before="20" w:line="250" w:lineRule="auto"/>
            </w:pPr>
            <w:r>
              <w:rPr>
                <w:rFonts w:ascii="Arial" w:hAnsi="Arial"/>
                <w:sz w:val="18"/>
              </w:rPr>
              <w:t>Retain per-member, usage and acquisition-fee economics.</w:t>
            </w:r>
          </w:p>
        </w:tc>
        <w:tc>
          <w:tcPr>
            <w:tcW w:type="dxa" w:w="4536"/>
            <w:vAlign w:val="top"/>
            <w:shd w:fill="F3F6F7"/>
          </w:tcPr>
          <w:p>
            <w:pPr>
              <w:keepNext w:val="0"/>
              <w:spacing w:after="50" w:before="20" w:line="250" w:lineRule="auto"/>
            </w:pPr>
            <w:r>
              <w:rPr>
                <w:rFonts w:ascii="Arial" w:hAnsi="Arial"/>
                <w:sz w:val="18"/>
              </w:rPr>
              <w:t>Do not describe Fresha as universally free based on older reputation. Separate acquisition commission from direct-booking costs and confirm current terms.</w:t>
            </w:r>
          </w:p>
        </w:tc>
      </w:tr>
      <w:tr>
        <w:trPr>
          <w:cantSplit/>
        </w:trPr>
        <w:tc>
          <w:tcPr>
            <w:tcW w:type="dxa" w:w="2088"/>
            <w:vAlign w:val="top"/>
          </w:tcPr>
          <w:p>
            <w:pPr>
              <w:keepNext w:val="0"/>
              <w:spacing w:after="50" w:before="20" w:line="250" w:lineRule="auto"/>
            </w:pPr>
            <w:r>
              <w:rPr>
                <w:rFonts w:ascii="Arial" w:hAnsi="Arial"/>
                <w:b/>
                <w:sz w:val="18"/>
              </w:rPr>
              <w:t>Square Appointments</w:t>
            </w:r>
            <w:r>
              <w:rPr>
                <w:rFonts w:ascii="Arial" w:hAnsi="Arial"/>
                <w:b w:val="0"/>
                <w:sz w:val="18"/>
              </w:rPr>
              <w:br/>
              <w:t>Row 9; F017, F061, F189</w:t>
            </w:r>
          </w:p>
        </w:tc>
        <w:tc>
          <w:tcPr>
            <w:tcW w:type="dxa" w:w="3600"/>
            <w:vAlign w:val="top"/>
          </w:tcPr>
          <w:p>
            <w:pPr>
              <w:keepNext w:val="0"/>
              <w:spacing w:after="50" w:before="20" w:line="250" w:lineRule="auto"/>
            </w:pPr>
            <w:r>
              <w:rPr>
                <w:rFonts w:ascii="Arial" w:hAnsi="Arial"/>
                <w:sz w:val="18"/>
              </w:rPr>
              <w:t>Retain free-tier acquisition strategy and connected POS ecosystem.</w:t>
            </w:r>
          </w:p>
        </w:tc>
        <w:tc>
          <w:tcPr>
            <w:tcW w:type="dxa" w:w="4536"/>
            <w:vAlign w:val="top"/>
          </w:tcPr>
          <w:p>
            <w:pPr>
              <w:keepNext w:val="0"/>
              <w:spacing w:after="50" w:before="20" w:line="250" w:lineRule="auto"/>
            </w:pPr>
            <w:r>
              <w:rPr>
                <w:rFonts w:ascii="Arial" w:hAnsi="Arial"/>
                <w:sz w:val="18"/>
              </w:rPr>
              <w:t>Verify current plan/rate version and regional bundle; avoid adding card rates and add-ons from incompatible pricing vintages.</w:t>
            </w:r>
          </w:p>
        </w:tc>
      </w:tr>
      <w:tr>
        <w:trPr>
          <w:cantSplit/>
        </w:trPr>
        <w:tc>
          <w:tcPr>
            <w:tcW w:type="dxa" w:w="2088"/>
            <w:vAlign w:val="top"/>
            <w:shd w:fill="F3F6F7"/>
          </w:tcPr>
          <w:p>
            <w:pPr>
              <w:keepNext w:val="0"/>
              <w:spacing w:after="50" w:before="20" w:line="250" w:lineRule="auto"/>
            </w:pPr>
            <w:r>
              <w:rPr>
                <w:rFonts w:ascii="Arial" w:hAnsi="Arial"/>
                <w:b/>
                <w:sz w:val="18"/>
              </w:rPr>
              <w:t>Mangomint</w:t>
            </w:r>
            <w:r>
              <w:rPr>
                <w:rFonts w:ascii="Arial" w:hAnsi="Arial"/>
                <w:b w:val="0"/>
                <w:sz w:val="18"/>
              </w:rPr>
              <w:br/>
              <w:t>Row 10; F017, F061, F189</w:t>
            </w:r>
          </w:p>
        </w:tc>
        <w:tc>
          <w:tcPr>
            <w:tcW w:type="dxa" w:w="3600"/>
            <w:vAlign w:val="top"/>
            <w:shd w:fill="F3F6F7"/>
          </w:tcPr>
          <w:p>
            <w:pPr>
              <w:keepNext w:val="0"/>
              <w:spacing w:after="50" w:before="20" w:line="250" w:lineRule="auto"/>
            </w:pPr>
            <w:r>
              <w:rPr>
                <w:rFonts w:ascii="Arial" w:hAnsi="Arial"/>
                <w:sz w:val="18"/>
              </w:rPr>
              <w:t>Retain location/user/add-on modeling and included-notification distinction.</w:t>
            </w:r>
          </w:p>
        </w:tc>
        <w:tc>
          <w:tcPr>
            <w:tcW w:type="dxa" w:w="4536"/>
            <w:vAlign w:val="top"/>
            <w:shd w:fill="F3F6F7"/>
          </w:tcPr>
          <w:p>
            <w:pPr>
              <w:keepNext w:val="0"/>
              <w:spacing w:after="50" w:before="20" w:line="250" w:lineRule="auto"/>
            </w:pPr>
            <w:r>
              <w:rPr>
                <w:rFonts w:ascii="Arial" w:hAnsi="Arial"/>
                <w:sz w:val="18"/>
              </w:rPr>
              <w:t>Current pricing structure must come from fresh official research; do not substitute older tier prices or assert all messaging is included.</w:t>
            </w:r>
          </w:p>
        </w:tc>
      </w:tr>
      <w:tr>
        <w:trPr>
          <w:cantSplit/>
        </w:trPr>
        <w:tc>
          <w:tcPr>
            <w:tcW w:type="dxa" w:w="2088"/>
            <w:vAlign w:val="top"/>
          </w:tcPr>
          <w:p>
            <w:pPr>
              <w:keepNext w:val="0"/>
              <w:spacing w:after="50" w:before="20" w:line="250" w:lineRule="auto"/>
            </w:pPr>
            <w:r>
              <w:rPr>
                <w:rFonts w:ascii="Arial" w:hAnsi="Arial"/>
                <w:b/>
                <w:sz w:val="18"/>
              </w:rPr>
              <w:t>Booksy</w:t>
            </w:r>
            <w:r>
              <w:rPr>
                <w:rFonts w:ascii="Arial" w:hAnsi="Arial"/>
                <w:b w:val="0"/>
                <w:sz w:val="18"/>
              </w:rPr>
              <w:br/>
              <w:t>Row 11; F017, F061, F116, F189</w:t>
            </w:r>
          </w:p>
        </w:tc>
        <w:tc>
          <w:tcPr>
            <w:tcW w:type="dxa" w:w="3600"/>
            <w:vAlign w:val="top"/>
          </w:tcPr>
          <w:p>
            <w:pPr>
              <w:keepNext w:val="0"/>
              <w:spacing w:after="50" w:before="20" w:line="250" w:lineRule="auto"/>
            </w:pPr>
            <w:r>
              <w:rPr>
                <w:rFonts w:ascii="Arial" w:hAnsi="Arial"/>
                <w:sz w:val="18"/>
              </w:rPr>
              <w:t>Retain optional acquisition promotion, per-user pricing and payout-fee distinction.</w:t>
            </w:r>
          </w:p>
        </w:tc>
        <w:tc>
          <w:tcPr>
            <w:tcW w:type="dxa" w:w="4536"/>
            <w:vAlign w:val="top"/>
          </w:tcPr>
          <w:p>
            <w:pPr>
              <w:keepNext w:val="0"/>
              <w:spacing w:after="50" w:before="20" w:line="250" w:lineRule="auto"/>
            </w:pPr>
            <w:r>
              <w:rPr>
                <w:rFonts w:ascii="Arial" w:hAnsi="Arial"/>
                <w:sz w:val="18"/>
              </w:rPr>
              <w:t>Confirm Boost attribution/minimum/cap and direct-link treatment. Report cost model rather than stale arithmetic.</w:t>
            </w:r>
          </w:p>
        </w:tc>
      </w:tr>
      <w:tr>
        <w:trPr>
          <w:cantSplit/>
        </w:trPr>
        <w:tc>
          <w:tcPr>
            <w:tcW w:type="dxa" w:w="2088"/>
            <w:vAlign w:val="top"/>
            <w:shd w:fill="F3F6F7"/>
          </w:tcPr>
          <w:p>
            <w:pPr>
              <w:keepNext w:val="0"/>
              <w:spacing w:after="50" w:before="20" w:line="250" w:lineRule="auto"/>
            </w:pPr>
            <w:r>
              <w:rPr>
                <w:rFonts w:ascii="Arial" w:hAnsi="Arial"/>
                <w:b/>
                <w:sz w:val="18"/>
              </w:rPr>
              <w:t>Zenoti</w:t>
            </w:r>
            <w:r>
              <w:rPr>
                <w:rFonts w:ascii="Arial" w:hAnsi="Arial"/>
                <w:b w:val="0"/>
                <w:sz w:val="18"/>
              </w:rPr>
              <w:br/>
              <w:t>Row 12; F017, F061, F160</w:t>
            </w:r>
          </w:p>
        </w:tc>
        <w:tc>
          <w:tcPr>
            <w:tcW w:type="dxa" w:w="3600"/>
            <w:vAlign w:val="top"/>
            <w:shd w:fill="F3F6F7"/>
          </w:tcPr>
          <w:p>
            <w:pPr>
              <w:keepNext w:val="0"/>
              <w:spacing w:after="50" w:before="20" w:line="250" w:lineRule="auto"/>
            </w:pPr>
            <w:r>
              <w:rPr>
                <w:rFonts w:ascii="Arial" w:hAnsi="Arial"/>
                <w:sz w:val="18"/>
              </w:rPr>
              <w:t>Retain quote-based enterprise procurement and implementation/usage costs.</w:t>
            </w:r>
          </w:p>
        </w:tc>
        <w:tc>
          <w:tcPr>
            <w:tcW w:type="dxa" w:w="4536"/>
            <w:vAlign w:val="top"/>
            <w:shd w:fill="F3F6F7"/>
          </w:tcPr>
          <w:p>
            <w:pPr>
              <w:keepNext w:val="0"/>
              <w:spacing w:after="50" w:before="20" w:line="250" w:lineRule="auto"/>
            </w:pPr>
            <w:r>
              <w:rPr>
                <w:rFonts w:ascii="Arial" w:hAnsi="Arial"/>
                <w:sz w:val="18"/>
              </w:rPr>
              <w:t>Workbook third-party estimates, add-on ranges and franchise-specific contract terms are not universal current Zenoti prices.</w:t>
            </w:r>
          </w:p>
        </w:tc>
      </w:tr>
      <w:tr>
        <w:trPr>
          <w:cantSplit/>
        </w:trPr>
        <w:tc>
          <w:tcPr>
            <w:tcW w:type="dxa" w:w="2088"/>
            <w:vAlign w:val="top"/>
          </w:tcPr>
          <w:p>
            <w:pPr>
              <w:keepNext w:val="0"/>
              <w:spacing w:after="50" w:before="20" w:line="250" w:lineRule="auto"/>
            </w:pPr>
            <w:r>
              <w:rPr>
                <w:rFonts w:ascii="Arial" w:hAnsi="Arial"/>
                <w:b/>
                <w:sz w:val="18"/>
              </w:rPr>
              <w:t>Mindbody</w:t>
            </w:r>
            <w:r>
              <w:rPr>
                <w:rFonts w:ascii="Arial" w:hAnsi="Arial"/>
                <w:b w:val="0"/>
                <w:sz w:val="18"/>
              </w:rPr>
              <w:br/>
              <w:t>Row 13; F017, F061, F177, F189</w:t>
            </w:r>
          </w:p>
        </w:tc>
        <w:tc>
          <w:tcPr>
            <w:tcW w:type="dxa" w:w="3600"/>
            <w:vAlign w:val="top"/>
          </w:tcPr>
          <w:p>
            <w:pPr>
              <w:keepNext w:val="0"/>
              <w:spacing w:after="50" w:before="20" w:line="250" w:lineRule="auto"/>
            </w:pPr>
            <w:r>
              <w:rPr>
                <w:rFonts w:ascii="Arial" w:hAnsi="Arial"/>
                <w:sz w:val="18"/>
              </w:rPr>
              <w:t>Retain marketplace economics and contract/implementation due diligence.</w:t>
            </w:r>
          </w:p>
        </w:tc>
        <w:tc>
          <w:tcPr>
            <w:tcW w:type="dxa" w:w="4536"/>
            <w:vAlign w:val="top"/>
          </w:tcPr>
          <w:p>
            <w:pPr>
              <w:keepNext w:val="0"/>
              <w:spacing w:after="50" w:before="20" w:line="250" w:lineRule="auto"/>
            </w:pPr>
            <w:r>
              <w:rPr>
                <w:rFonts w:ascii="Arial" w:hAnsi="Arial"/>
                <w:sz w:val="18"/>
              </w:rPr>
              <w:t>Legacy Booker card rates are not a current general Mindbody rate. Long terms are reported experiences/individual agreements, not universal facts.</w:t>
            </w:r>
          </w:p>
        </w:tc>
      </w:tr>
      <w:tr>
        <w:trPr>
          <w:cantSplit/>
        </w:trPr>
        <w:tc>
          <w:tcPr>
            <w:tcW w:type="dxa" w:w="2088"/>
            <w:vAlign w:val="top"/>
            <w:shd w:fill="F3F6F7"/>
          </w:tcPr>
          <w:p>
            <w:pPr>
              <w:keepNext w:val="0"/>
              <w:spacing w:after="50" w:before="20" w:line="250" w:lineRule="auto"/>
            </w:pPr>
            <w:r>
              <w:rPr>
                <w:rFonts w:ascii="Arial" w:hAnsi="Arial"/>
                <w:b/>
                <w:sz w:val="18"/>
              </w:rPr>
              <w:t>Acuity Scheduling</w:t>
            </w:r>
            <w:r>
              <w:rPr>
                <w:rFonts w:ascii="Arial" w:hAnsi="Arial"/>
                <w:b w:val="0"/>
                <w:sz w:val="18"/>
              </w:rPr>
              <w:br/>
              <w:t>Row 14; F017, F061, F189</w:t>
            </w:r>
          </w:p>
        </w:tc>
        <w:tc>
          <w:tcPr>
            <w:tcW w:type="dxa" w:w="3600"/>
            <w:vAlign w:val="top"/>
            <w:shd w:fill="F3F6F7"/>
          </w:tcPr>
          <w:p>
            <w:pPr>
              <w:keepNext w:val="0"/>
              <w:spacing w:after="50" w:before="20" w:line="250" w:lineRule="auto"/>
            </w:pPr>
            <w:r>
              <w:rPr>
                <w:rFonts w:ascii="Arial" w:hAnsi="Arial"/>
                <w:sz w:val="18"/>
              </w:rPr>
              <w:t>Retain calendar-tier and processor-choice comparison.</w:t>
            </w:r>
          </w:p>
        </w:tc>
        <w:tc>
          <w:tcPr>
            <w:tcW w:type="dxa" w:w="4536"/>
            <w:vAlign w:val="top"/>
            <w:shd w:fill="F3F6F7"/>
          </w:tcPr>
          <w:p>
            <w:pPr>
              <w:keepNext w:val="0"/>
              <w:spacing w:after="50" w:before="20" w:line="250" w:lineRule="auto"/>
            </w:pPr>
            <w:r>
              <w:rPr>
                <w:rFonts w:ascii="Arial" w:hAnsi="Arial"/>
                <w:sz w:val="18"/>
              </w:rPr>
              <w:t>Reverify tier-specific features and fees. A separate processor is an architecture choice, not necessarily a product defect.</w:t>
            </w:r>
          </w:p>
        </w:tc>
      </w:tr>
      <w:tr>
        <w:trPr>
          <w:cantSplit/>
        </w:trPr>
        <w:tc>
          <w:tcPr>
            <w:tcW w:type="dxa" w:w="2088"/>
            <w:vAlign w:val="top"/>
          </w:tcPr>
          <w:p>
            <w:pPr>
              <w:keepNext w:val="0"/>
              <w:spacing w:after="50" w:before="20" w:line="250" w:lineRule="auto"/>
            </w:pPr>
            <w:r>
              <w:rPr>
                <w:rFonts w:ascii="Arial" w:hAnsi="Arial"/>
                <w:b/>
                <w:sz w:val="18"/>
              </w:rPr>
              <w:t>Schedulicity</w:t>
            </w:r>
            <w:r>
              <w:rPr>
                <w:rFonts w:ascii="Arial" w:hAnsi="Arial"/>
                <w:b w:val="0"/>
                <w:sz w:val="18"/>
              </w:rPr>
              <w:br/>
              <w:t>Row 15; F104, F105, F190</w:t>
            </w:r>
          </w:p>
        </w:tc>
        <w:tc>
          <w:tcPr>
            <w:tcW w:type="dxa" w:w="3600"/>
            <w:vAlign w:val="top"/>
          </w:tcPr>
          <w:p>
            <w:pPr>
              <w:keepNext w:val="0"/>
              <w:spacing w:after="50" w:before="20" w:line="250" w:lineRule="auto"/>
            </w:pPr>
            <w:r>
              <w:rPr>
                <w:rFonts w:ascii="Arial" w:hAnsi="Arial"/>
                <w:sz w:val="18"/>
              </w:rPr>
              <w:t>Retain migration/consolidation lesson.</w:t>
            </w:r>
          </w:p>
        </w:tc>
        <w:tc>
          <w:tcPr>
            <w:tcW w:type="dxa" w:w="4536"/>
            <w:vAlign w:val="top"/>
          </w:tcPr>
          <w:p>
            <w:pPr>
              <w:keepNext w:val="0"/>
              <w:spacing w:after="50" w:before="20" w:line="250" w:lineRule="auto"/>
            </w:pPr>
            <w:r>
              <w:rPr>
                <w:rFonts w:ascii="Arial" w:hAnsi="Arial"/>
                <w:sz w:val="18"/>
              </w:rPr>
              <w:t>Treat as a legacy migration reference after Vagaro acquisition, not automatically a current standalone buying option.</w:t>
            </w:r>
          </w:p>
        </w:tc>
      </w:tr>
      <w:tr>
        <w:trPr>
          <w:cantSplit/>
        </w:trPr>
        <w:tc>
          <w:tcPr>
            <w:tcW w:type="dxa" w:w="2088"/>
            <w:vAlign w:val="top"/>
            <w:shd w:fill="F3F6F7"/>
          </w:tcPr>
          <w:p>
            <w:pPr>
              <w:keepNext w:val="0"/>
              <w:spacing w:after="50" w:before="20" w:line="250" w:lineRule="auto"/>
            </w:pPr>
            <w:r>
              <w:rPr>
                <w:rFonts w:ascii="Arial" w:hAnsi="Arial"/>
                <w:b/>
                <w:sz w:val="18"/>
              </w:rPr>
              <w:t>Pabau</w:t>
            </w:r>
            <w:r>
              <w:rPr>
                <w:rFonts w:ascii="Arial" w:hAnsi="Arial"/>
                <w:b w:val="0"/>
                <w:sz w:val="18"/>
              </w:rPr>
              <w:br/>
              <w:t>Row 16; F017, F061, F161</w:t>
            </w:r>
          </w:p>
        </w:tc>
        <w:tc>
          <w:tcPr>
            <w:tcW w:type="dxa" w:w="3600"/>
            <w:vAlign w:val="top"/>
            <w:shd w:fill="F3F6F7"/>
          </w:tcPr>
          <w:p>
            <w:pPr>
              <w:keepNext w:val="0"/>
              <w:spacing w:after="50" w:before="20" w:line="250" w:lineRule="auto"/>
            </w:pPr>
            <w:r>
              <w:rPr>
                <w:rFonts w:ascii="Arial" w:hAnsi="Arial"/>
                <w:sz w:val="18"/>
              </w:rPr>
              <w:t>Retain quote-based clinical suite plus onboarding, messaging and add-ons.</w:t>
            </w:r>
          </w:p>
        </w:tc>
        <w:tc>
          <w:tcPr>
            <w:tcW w:type="dxa" w:w="4536"/>
            <w:vAlign w:val="top"/>
            <w:shd w:fill="F3F6F7"/>
          </w:tcPr>
          <w:p>
            <w:pPr>
              <w:keepNext w:val="0"/>
              <w:spacing w:after="50" w:before="20" w:line="250" w:lineRule="auto"/>
            </w:pPr>
            <w:r>
              <w:rPr>
                <w:rFonts w:ascii="Arial" w:hAnsi="Arial"/>
                <w:sz w:val="18"/>
              </w:rPr>
              <w:t>One sample quote and UK/USD figures cannot establish universal US pricing, refund guarantees or contract terms.</w:t>
            </w:r>
          </w:p>
        </w:tc>
      </w:tr>
      <w:tr>
        <w:trPr>
          <w:cantSplit/>
        </w:trPr>
        <w:tc>
          <w:tcPr>
            <w:tcW w:type="dxa" w:w="2088"/>
            <w:vAlign w:val="top"/>
          </w:tcPr>
          <w:p>
            <w:pPr>
              <w:keepNext w:val="0"/>
              <w:spacing w:after="50" w:before="20" w:line="250" w:lineRule="auto"/>
            </w:pPr>
            <w:r>
              <w:rPr>
                <w:rFonts w:ascii="Arial" w:hAnsi="Arial"/>
                <w:b/>
                <w:sz w:val="18"/>
              </w:rPr>
              <w:t>Aesthetic Record</w:t>
            </w:r>
            <w:r>
              <w:rPr>
                <w:rFonts w:ascii="Arial" w:hAnsi="Arial"/>
                <w:b w:val="0"/>
                <w:sz w:val="18"/>
              </w:rPr>
              <w:br/>
              <w:t>Row 17; F017, F061, F161</w:t>
            </w:r>
          </w:p>
        </w:tc>
        <w:tc>
          <w:tcPr>
            <w:tcW w:type="dxa" w:w="3600"/>
            <w:vAlign w:val="top"/>
          </w:tcPr>
          <w:p>
            <w:pPr>
              <w:keepNext w:val="0"/>
              <w:spacing w:after="50" w:before="20" w:line="250" w:lineRule="auto"/>
            </w:pPr>
            <w:r>
              <w:rPr>
                <w:rFonts w:ascii="Arial" w:hAnsi="Arial"/>
                <w:sz w:val="18"/>
              </w:rPr>
              <w:t>Retain low headline per-user price versus onboarding/storage/communications total.</w:t>
            </w:r>
          </w:p>
        </w:tc>
        <w:tc>
          <w:tcPr>
            <w:tcW w:type="dxa" w:w="4536"/>
            <w:vAlign w:val="top"/>
          </w:tcPr>
          <w:p>
            <w:pPr>
              <w:keepNext w:val="0"/>
              <w:spacing w:after="50" w:before="20" w:line="250" w:lineRule="auto"/>
            </w:pPr>
            <w:r>
              <w:rPr>
                <w:rFonts w:ascii="Arial" w:hAnsi="Arial"/>
                <w:sz w:val="18"/>
              </w:rPr>
              <w:t>Unverified card rates and startup/AI/eRx figures need current primary confirmation; do not claim low total cost from the base fee.</w:t>
            </w:r>
          </w:p>
        </w:tc>
      </w:tr>
      <w:tr>
        <w:trPr>
          <w:cantSplit/>
        </w:trPr>
        <w:tc>
          <w:tcPr>
            <w:tcW w:type="dxa" w:w="2088"/>
            <w:vAlign w:val="top"/>
            <w:shd w:fill="F3F6F7"/>
          </w:tcPr>
          <w:p>
            <w:pPr>
              <w:keepNext w:val="0"/>
              <w:spacing w:after="50" w:before="20" w:line="250" w:lineRule="auto"/>
            </w:pPr>
            <w:r>
              <w:rPr>
                <w:rFonts w:ascii="Arial" w:hAnsi="Arial"/>
                <w:b/>
                <w:sz w:val="18"/>
              </w:rPr>
              <w:t>Comb (comb.works)</w:t>
            </w:r>
            <w:r>
              <w:rPr>
                <w:rFonts w:ascii="Arial" w:hAnsi="Arial"/>
                <w:b w:val="0"/>
                <w:sz w:val="18"/>
              </w:rPr>
              <w:br/>
              <w:t>Row 18; F017, F189, F038</w:t>
            </w:r>
          </w:p>
        </w:tc>
        <w:tc>
          <w:tcPr>
            <w:tcW w:type="dxa" w:w="3600"/>
            <w:vAlign w:val="top"/>
            <w:shd w:fill="F3F6F7"/>
          </w:tcPr>
          <w:p>
            <w:pPr>
              <w:keepNext w:val="0"/>
              <w:spacing w:after="50" w:before="20" w:line="250" w:lineRule="auto"/>
            </w:pPr>
            <w:r>
              <w:rPr>
                <w:rFonts w:ascii="Arial" w:hAnsi="Arial"/>
                <w:sz w:val="18"/>
              </w:rPr>
              <w:t>Retain emerging esthetics-focused competitor and solo positioning.</w:t>
            </w:r>
          </w:p>
        </w:tc>
        <w:tc>
          <w:tcPr>
            <w:tcW w:type="dxa" w:w="4536"/>
            <w:vAlign w:val="top"/>
            <w:shd w:fill="F3F6F7"/>
          </w:tcPr>
          <w:p>
            <w:pPr>
              <w:keepNext w:val="0"/>
              <w:spacing w:after="50" w:before="20" w:line="250" w:lineRule="auto"/>
            </w:pPr>
            <w:r>
              <w:rPr>
                <w:rFonts w:ascii="Arial" w:hAnsi="Arial"/>
                <w:sz w:val="18"/>
              </w:rPr>
              <w:t>Workbook prices/processing/trial terms remain legacy evidence unless current primary research confirms them.</w:t>
            </w:r>
          </w:p>
        </w:tc>
      </w:tr>
      <w:tr>
        <w:trPr>
          <w:cantSplit/>
        </w:trPr>
        <w:tc>
          <w:tcPr>
            <w:tcW w:type="dxa" w:w="2088"/>
            <w:vAlign w:val="top"/>
          </w:tcPr>
          <w:p>
            <w:pPr>
              <w:keepNext w:val="0"/>
              <w:spacing w:after="50" w:before="20" w:line="250" w:lineRule="auto"/>
            </w:pPr>
            <w:r>
              <w:rPr>
                <w:rFonts w:ascii="Arial" w:hAnsi="Arial"/>
                <w:b/>
                <w:sz w:val="18"/>
              </w:rPr>
              <w:t>StyleSeat</w:t>
            </w:r>
            <w:r>
              <w:rPr>
                <w:rFonts w:ascii="Arial" w:hAnsi="Arial"/>
                <w:b w:val="0"/>
                <w:sz w:val="18"/>
              </w:rPr>
              <w:br/>
              <w:t>Row 19; F116, F177, F189</w:t>
            </w:r>
          </w:p>
        </w:tc>
        <w:tc>
          <w:tcPr>
            <w:tcW w:type="dxa" w:w="3600"/>
            <w:vAlign w:val="top"/>
          </w:tcPr>
          <w:p>
            <w:pPr>
              <w:keepNext w:val="0"/>
              <w:spacing w:after="50" w:before="20" w:line="250" w:lineRule="auto"/>
            </w:pPr>
            <w:r>
              <w:rPr>
                <w:rFonts w:ascii="Arial" w:hAnsi="Arial"/>
                <w:sz w:val="18"/>
              </w:rPr>
              <w:t>Retain marketplace acquisition monetization benchmark.</w:t>
            </w:r>
          </w:p>
        </w:tc>
        <w:tc>
          <w:tcPr>
            <w:tcW w:type="dxa" w:w="4536"/>
            <w:vAlign w:val="top"/>
          </w:tcPr>
          <w:p>
            <w:pPr>
              <w:keepNext w:val="0"/>
              <w:spacing w:after="50" w:before="20" w:line="250" w:lineRule="auto"/>
            </w:pPr>
            <w:r>
              <w:rPr>
                <w:rFonts w:ascii="Arial" w:hAnsi="Arial"/>
                <w:sz w:val="18"/>
              </w:rPr>
              <w:t>Verify current optional promotion/commission, client fees and processing terms before commercial comparisons.</w:t>
            </w:r>
          </w:p>
        </w:tc>
      </w:tr>
    </w:tbl>
    <w:p>
      <w:pPr>
        <w:spacing w:after="40" w:before="0" w:line="240" w:lineRule="auto"/>
      </w:pPr>
      <w:r>
        <w:rPr>
          <w:sz w:val="4"/>
        </w:rPr>
      </w:r>
    </w:p>
    <w:p>
      <w:pPr>
        <w:pStyle w:val="Heading2"/>
      </w:pPr>
      <w:r>
        <w:t>10 4 Reviews by App sheet context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2088"/>
        <w:gridCol w:w="3600"/>
        <w:gridCol w:w="4536"/>
      </w:tblGrid>
      <w:tr>
        <w:trPr>
          <w:tblHeader/>
        </w:trPr>
        <w:tc>
          <w:tcPr>
            <w:tcW w:type="dxa" w:w="2088"/>
            <w:vAlign w:val="top"/>
            <w:shd w:fill="173F50"/>
          </w:tcPr>
          <w:p>
            <w:pPr>
              <w:keepNext/>
              <w:spacing w:after="50" w:before="20" w:line="250" w:lineRule="auto"/>
            </w:pPr>
            <w:r>
              <w:rPr>
                <w:rFonts w:ascii="Arial" w:hAnsi="Arial"/>
                <w:b/>
                <w:color w:val="FFFFFF"/>
                <w:sz w:val="18"/>
              </w:rPr>
              <w:t>App and row</w:t>
            </w:r>
          </w:p>
        </w:tc>
        <w:tc>
          <w:tcPr>
            <w:tcW w:type="dxa" w:w="3600"/>
            <w:vAlign w:val="top"/>
            <w:shd w:fill="173F50"/>
          </w:tcPr>
          <w:p>
            <w:pPr>
              <w:keepNext/>
              <w:spacing w:after="50" w:before="20" w:line="250" w:lineRule="auto"/>
            </w:pPr>
            <w:r>
              <w:rPr>
                <w:rFonts w:ascii="Arial" w:hAnsi="Arial"/>
                <w:b/>
                <w:color w:val="FFFFFF"/>
                <w:sz w:val="18"/>
              </w:rPr>
              <w:t>Retained design lesson</w:t>
            </w:r>
          </w:p>
        </w:tc>
        <w:tc>
          <w:tcPr>
            <w:tcW w:type="dxa" w:w="4536"/>
            <w:vAlign w:val="top"/>
            <w:shd w:fill="173F50"/>
          </w:tcPr>
          <w:p>
            <w:pPr>
              <w:keepNext/>
              <w:spacing w:after="50" w:before="20" w:line="250" w:lineRule="auto"/>
            </w:pPr>
            <w:r>
              <w:rPr>
                <w:rFonts w:ascii="Arial" w:hAnsi="Arial"/>
                <w:b/>
                <w:color w:val="FFFFFF"/>
                <w:sz w:val="18"/>
              </w:rPr>
              <w:t>Correction or qualification</w:t>
            </w:r>
          </w:p>
        </w:tc>
      </w:tr>
      <w:tr>
        <w:trPr>
          <w:cantSplit/>
        </w:trPr>
        <w:tc>
          <w:tcPr>
            <w:tcW w:type="dxa" w:w="2088"/>
            <w:vAlign w:val="top"/>
          </w:tcPr>
          <w:p>
            <w:pPr>
              <w:keepNext w:val="0"/>
              <w:spacing w:after="50" w:before="20" w:line="250" w:lineRule="auto"/>
            </w:pPr>
            <w:r>
              <w:rPr>
                <w:rFonts w:ascii="Arial" w:hAnsi="Arial"/>
                <w:b/>
                <w:sz w:val="18"/>
              </w:rPr>
              <w:t>GlossGenius</w:t>
            </w:r>
            <w:r>
              <w:rPr>
                <w:rFonts w:ascii="Arial" w:hAnsi="Arial"/>
                <w:b w:val="0"/>
                <w:sz w:val="18"/>
              </w:rPr>
              <w:br/>
              <w:t>Row 5; F075, F032, F090, F060, F149, F085</w:t>
            </w:r>
          </w:p>
        </w:tc>
        <w:tc>
          <w:tcPr>
            <w:tcW w:type="dxa" w:w="3600"/>
            <w:vAlign w:val="top"/>
          </w:tcPr>
          <w:p>
            <w:pPr>
              <w:keepNext w:val="0"/>
              <w:spacing w:after="50" w:before="20" w:line="250" w:lineRule="auto"/>
            </w:pPr>
            <w:r>
              <w:rPr>
                <w:rFonts w:ascii="Arial" w:hAnsi="Arial"/>
                <w:sz w:val="18"/>
              </w:rPr>
              <w:t>Keep praise for client booking, appearance, reminders and consolidation; investigate payout/support friction.</w:t>
            </w:r>
          </w:p>
        </w:tc>
        <w:tc>
          <w:tcPr>
            <w:tcW w:type="dxa" w:w="4536"/>
            <w:vAlign w:val="top"/>
          </w:tcPr>
          <w:p>
            <w:pPr>
              <w:keepNext w:val="0"/>
              <w:spacing w:after="50" w:before="20" w:line="250" w:lineRule="auto"/>
            </w:pPr>
            <w:r>
              <w:rPr>
                <w:rFonts w:ascii="Arial" w:hAnsi="Arial"/>
                <w:sz w:val="18"/>
              </w:rPr>
              <w:t>Correct historic missing-feature claims: current pages advertise sophisticated analytics, charting and membership/package support; vendor says multi-professional checkout exists. Ratings differ sharply across sample sources and are not comparable population scores.</w:t>
            </w:r>
          </w:p>
        </w:tc>
      </w:tr>
      <w:tr>
        <w:trPr>
          <w:cantSplit/>
        </w:trPr>
        <w:tc>
          <w:tcPr>
            <w:tcW w:type="dxa" w:w="2088"/>
            <w:vAlign w:val="top"/>
            <w:shd w:fill="F3F6F7"/>
          </w:tcPr>
          <w:p>
            <w:pPr>
              <w:keepNext w:val="0"/>
              <w:spacing w:after="50" w:before="20" w:line="250" w:lineRule="auto"/>
            </w:pPr>
            <w:r>
              <w:rPr>
                <w:rFonts w:ascii="Arial" w:hAnsi="Arial"/>
                <w:b/>
                <w:sz w:val="18"/>
              </w:rPr>
              <w:t>Vagaro</w:t>
            </w:r>
            <w:r>
              <w:rPr>
                <w:rFonts w:ascii="Arial" w:hAnsi="Arial"/>
                <w:b w:val="0"/>
                <w:sz w:val="18"/>
              </w:rPr>
              <w:br/>
              <w:t>Row 6; F010, F017, F061, F075, F104</w:t>
            </w:r>
          </w:p>
        </w:tc>
        <w:tc>
          <w:tcPr>
            <w:tcW w:type="dxa" w:w="3600"/>
            <w:vAlign w:val="top"/>
            <w:shd w:fill="F3F6F7"/>
          </w:tcPr>
          <w:p>
            <w:pPr>
              <w:keepNext w:val="0"/>
              <w:spacing w:after="50" w:before="20" w:line="250" w:lineRule="auto"/>
            </w:pPr>
            <w:r>
              <w:rPr>
                <w:rFonts w:ascii="Arial" w:hAnsi="Arial"/>
                <w:sz w:val="18"/>
              </w:rPr>
              <w:t>Keep breadth/customization and predictable-cost/client-effort opportunities.</w:t>
            </w:r>
          </w:p>
        </w:tc>
        <w:tc>
          <w:tcPr>
            <w:tcW w:type="dxa" w:w="4536"/>
            <w:vAlign w:val="top"/>
            <w:shd w:fill="F3F6F7"/>
          </w:tcPr>
          <w:p>
            <w:pPr>
              <w:keepNext w:val="0"/>
              <w:spacing w:after="50" w:before="20" w:line="250" w:lineRule="auto"/>
            </w:pPr>
            <w:r>
              <w:rPr>
                <w:rFonts w:ascii="Arial" w:hAnsi="Arial"/>
                <w:sz w:val="18"/>
              </w:rPr>
              <w:t>Do not restate forced app download or all marketplace-fee claims as universal current facts. Current Vera web/SMS scope differs; marketplace policy varies by campaign/geography.</w:t>
            </w:r>
          </w:p>
        </w:tc>
      </w:tr>
      <w:tr>
        <w:trPr>
          <w:cantSplit/>
        </w:trPr>
        <w:tc>
          <w:tcPr>
            <w:tcW w:type="dxa" w:w="2088"/>
            <w:vAlign w:val="top"/>
          </w:tcPr>
          <w:p>
            <w:pPr>
              <w:keepNext w:val="0"/>
              <w:spacing w:after="50" w:before="20" w:line="250" w:lineRule="auto"/>
            </w:pPr>
            <w:r>
              <w:rPr>
                <w:rFonts w:ascii="Arial" w:hAnsi="Arial"/>
                <w:b/>
                <w:sz w:val="18"/>
              </w:rPr>
              <w:t>Boulevard</w:t>
            </w:r>
            <w:r>
              <w:rPr>
                <w:rFonts w:ascii="Arial" w:hAnsi="Arial"/>
                <w:b w:val="0"/>
                <w:sz w:val="18"/>
              </w:rPr>
              <w:br/>
              <w:t>Row 7; F120, F102, F017, F112, F187</w:t>
            </w:r>
          </w:p>
        </w:tc>
        <w:tc>
          <w:tcPr>
            <w:tcW w:type="dxa" w:w="3600"/>
            <w:vAlign w:val="top"/>
          </w:tcPr>
          <w:p>
            <w:pPr>
              <w:keepNext w:val="0"/>
              <w:spacing w:after="50" w:before="20" w:line="250" w:lineRule="auto"/>
            </w:pPr>
            <w:r>
              <w:rPr>
                <w:rFonts w:ascii="Arial" w:hAnsi="Arial"/>
                <w:sz w:val="18"/>
              </w:rPr>
              <w:t>Keep polished workflow praise and mobile/photo/reporting/cost investigation topics.</w:t>
            </w:r>
          </w:p>
        </w:tc>
        <w:tc>
          <w:tcPr>
            <w:tcW w:type="dxa" w:w="4536"/>
            <w:vAlign w:val="top"/>
          </w:tcPr>
          <w:p>
            <w:pPr>
              <w:keepNext w:val="0"/>
              <w:spacing w:after="50" w:before="20" w:line="250" w:lineRule="auto"/>
            </w:pPr>
            <w:r>
              <w:rPr>
                <w:rFonts w:ascii="Arial" w:hAnsi="Arial"/>
                <w:sz w:val="18"/>
              </w:rPr>
              <w:t>Legacy reviewer complaints do not prove current absence; current features, support coverage and contract terms must be validated individually.</w:t>
            </w:r>
          </w:p>
        </w:tc>
      </w:tr>
      <w:tr>
        <w:trPr>
          <w:cantSplit/>
        </w:trPr>
        <w:tc>
          <w:tcPr>
            <w:tcW w:type="dxa" w:w="2088"/>
            <w:vAlign w:val="top"/>
            <w:shd w:fill="F3F6F7"/>
          </w:tcPr>
          <w:p>
            <w:pPr>
              <w:keepNext w:val="0"/>
              <w:spacing w:after="50" w:before="20" w:line="250" w:lineRule="auto"/>
            </w:pPr>
            <w:r>
              <w:rPr>
                <w:rFonts w:ascii="Arial" w:hAnsi="Arial"/>
                <w:b/>
                <w:sz w:val="18"/>
              </w:rPr>
              <w:t>Fresha</w:t>
            </w:r>
            <w:r>
              <w:rPr>
                <w:rFonts w:ascii="Arial" w:hAnsi="Arial"/>
                <w:b w:val="0"/>
                <w:sz w:val="18"/>
              </w:rPr>
              <w:br/>
              <w:t>Row 8; F116, F017, F061, F177</w:t>
            </w:r>
          </w:p>
        </w:tc>
        <w:tc>
          <w:tcPr>
            <w:tcW w:type="dxa" w:w="3600"/>
            <w:vAlign w:val="top"/>
            <w:shd w:fill="F3F6F7"/>
          </w:tcPr>
          <w:p>
            <w:pPr>
              <w:keepNext w:val="0"/>
              <w:spacing w:after="50" w:before="20" w:line="250" w:lineRule="auto"/>
            </w:pPr>
            <w:r>
              <w:rPr>
                <w:rFonts w:ascii="Arial" w:hAnsi="Arial"/>
                <w:sz w:val="18"/>
              </w:rPr>
              <w:t>Keep acquisition attribution and bill clarity concerns alongside marketplace/discovery value.</w:t>
            </w:r>
          </w:p>
        </w:tc>
        <w:tc>
          <w:tcPr>
            <w:tcW w:type="dxa" w:w="4536"/>
            <w:vAlign w:val="top"/>
            <w:shd w:fill="F3F6F7"/>
          </w:tcPr>
          <w:p>
            <w:pPr>
              <w:keepNext w:val="0"/>
              <w:spacing w:after="50" w:before="20" w:line="250" w:lineRule="auto"/>
            </w:pPr>
            <w:r>
              <w:rPr>
                <w:rFonts w:ascii="Arial" w:hAnsi="Arial"/>
                <w:sz w:val="18"/>
              </w:rPr>
              <w:t>Consumer and business-partner Trustpilot reviews are mixed; a high aggregate rating is not a salon-owner satisfaction measure.</w:t>
            </w:r>
          </w:p>
        </w:tc>
      </w:tr>
      <w:tr>
        <w:trPr>
          <w:cantSplit/>
        </w:trPr>
        <w:tc>
          <w:tcPr>
            <w:tcW w:type="dxa" w:w="2088"/>
            <w:vAlign w:val="top"/>
          </w:tcPr>
          <w:p>
            <w:pPr>
              <w:keepNext w:val="0"/>
              <w:spacing w:after="50" w:before="20" w:line="250" w:lineRule="auto"/>
            </w:pPr>
            <w:r>
              <w:rPr>
                <w:rFonts w:ascii="Arial" w:hAnsi="Arial"/>
                <w:b/>
                <w:sz w:val="18"/>
              </w:rPr>
              <w:t>Square Appointments</w:t>
            </w:r>
            <w:r>
              <w:rPr>
                <w:rFonts w:ascii="Arial" w:hAnsi="Arial"/>
                <w:b w:val="0"/>
                <w:sz w:val="18"/>
              </w:rPr>
              <w:br/>
              <w:t>Row 9; F038, F035, F040, F075, F189</w:t>
            </w:r>
          </w:p>
        </w:tc>
        <w:tc>
          <w:tcPr>
            <w:tcW w:type="dxa" w:w="3600"/>
            <w:vAlign w:val="top"/>
          </w:tcPr>
          <w:p>
            <w:pPr>
              <w:keepNext w:val="0"/>
              <w:spacing w:after="50" w:before="20" w:line="250" w:lineRule="auto"/>
            </w:pPr>
            <w:r>
              <w:rPr>
                <w:rFonts w:ascii="Arial" w:hAnsi="Arial"/>
                <w:sz w:val="18"/>
              </w:rPr>
              <w:t>Keep easy entry/POS strengths and esthetics-depth opportunity.</w:t>
            </w:r>
          </w:p>
        </w:tc>
        <w:tc>
          <w:tcPr>
            <w:tcW w:type="dxa" w:w="4536"/>
            <w:vAlign w:val="top"/>
          </w:tcPr>
          <w:p>
            <w:pPr>
              <w:keepNext w:val="0"/>
              <w:spacing w:after="50" w:before="20" w:line="250" w:lineRule="auto"/>
            </w:pPr>
            <w:r>
              <w:rPr>
                <w:rFonts w:ascii="Arial" w:hAnsi="Arial"/>
                <w:sz w:val="18"/>
              </w:rPr>
              <w:t>Treat 'no true intake forms' and app-push statements as dated workflow reports; verify current native/integration options before an absence claim.</w:t>
            </w:r>
          </w:p>
        </w:tc>
      </w:tr>
      <w:tr>
        <w:trPr>
          <w:cantSplit/>
        </w:trPr>
        <w:tc>
          <w:tcPr>
            <w:tcW w:type="dxa" w:w="2088"/>
            <w:vAlign w:val="top"/>
            <w:shd w:fill="F3F6F7"/>
          </w:tcPr>
          <w:p>
            <w:pPr>
              <w:keepNext w:val="0"/>
              <w:spacing w:after="50" w:before="20" w:line="250" w:lineRule="auto"/>
            </w:pPr>
            <w:r>
              <w:rPr>
                <w:rFonts w:ascii="Arial" w:hAnsi="Arial"/>
                <w:b/>
                <w:sz w:val="18"/>
              </w:rPr>
              <w:t>Mangomint</w:t>
            </w:r>
            <w:r>
              <w:rPr>
                <w:rFonts w:ascii="Arial" w:hAnsi="Arial"/>
                <w:b w:val="0"/>
                <w:sz w:val="18"/>
              </w:rPr>
              <w:br/>
              <w:t>Row 10; F107, F085, F108, F104, F124, F094</w:t>
            </w:r>
          </w:p>
        </w:tc>
        <w:tc>
          <w:tcPr>
            <w:tcW w:type="dxa" w:w="3600"/>
            <w:vAlign w:val="top"/>
            <w:shd w:fill="F3F6F7"/>
          </w:tcPr>
          <w:p>
            <w:pPr>
              <w:keepNext w:val="0"/>
              <w:spacing w:after="50" w:before="20" w:line="250" w:lineRule="auto"/>
            </w:pPr>
            <w:r>
              <w:rPr>
                <w:rFonts w:ascii="Arial" w:hAnsi="Arial"/>
                <w:sz w:val="18"/>
              </w:rPr>
              <w:t>Keep express booking, self-checkout, flows, human support and migration inspiration.</w:t>
            </w:r>
          </w:p>
        </w:tc>
        <w:tc>
          <w:tcPr>
            <w:tcW w:type="dxa" w:w="4536"/>
            <w:vAlign w:val="top"/>
            <w:shd w:fill="F3F6F7"/>
          </w:tcPr>
          <w:p>
            <w:pPr>
              <w:keepNext w:val="0"/>
              <w:spacing w:after="50" w:before="20" w:line="250" w:lineRule="auto"/>
            </w:pPr>
            <w:r>
              <w:rPr>
                <w:rFonts w:ascii="Arial" w:hAnsi="Arial"/>
                <w:sz w:val="18"/>
              </w:rPr>
              <w:t>Retain fractional stock and zero-balance tip requirements even if vendor status has changed; review-specific limits are not universal current facts.</w:t>
            </w:r>
          </w:p>
        </w:tc>
      </w:tr>
      <w:tr>
        <w:trPr>
          <w:cantSplit/>
        </w:trPr>
        <w:tc>
          <w:tcPr>
            <w:tcW w:type="dxa" w:w="2088"/>
            <w:vAlign w:val="top"/>
          </w:tcPr>
          <w:p>
            <w:pPr>
              <w:keepNext w:val="0"/>
              <w:spacing w:after="50" w:before="20" w:line="250" w:lineRule="auto"/>
            </w:pPr>
            <w:r>
              <w:rPr>
                <w:rFonts w:ascii="Arial" w:hAnsi="Arial"/>
                <w:b/>
                <w:sz w:val="18"/>
              </w:rPr>
              <w:t>Booksy</w:t>
            </w:r>
            <w:r>
              <w:rPr>
                <w:rFonts w:ascii="Arial" w:hAnsi="Arial"/>
                <w:b w:val="0"/>
                <w:sz w:val="18"/>
              </w:rPr>
              <w:br/>
              <w:t>Row 11; F116, F088, F089, F127, F075</w:t>
            </w:r>
          </w:p>
        </w:tc>
        <w:tc>
          <w:tcPr>
            <w:tcW w:type="dxa" w:w="3600"/>
            <w:vAlign w:val="top"/>
          </w:tcPr>
          <w:p>
            <w:pPr>
              <w:keepNext w:val="0"/>
              <w:spacing w:after="50" w:before="20" w:line="250" w:lineRule="auto"/>
            </w:pPr>
            <w:r>
              <w:rPr>
                <w:rFonts w:ascii="Arial" w:hAnsi="Arial"/>
                <w:sz w:val="18"/>
              </w:rPr>
              <w:t>Keep proactive no-show education and attributable acquisition value.</w:t>
            </w:r>
          </w:p>
        </w:tc>
        <w:tc>
          <w:tcPr>
            <w:tcW w:type="dxa" w:w="4536"/>
            <w:vAlign w:val="top"/>
          </w:tcPr>
          <w:p>
            <w:pPr>
              <w:keepNext w:val="0"/>
              <w:spacing w:after="50" w:before="20" w:line="250" w:lineRule="auto"/>
            </w:pPr>
            <w:r>
              <w:rPr>
                <w:rFonts w:ascii="Arial" w:hAnsi="Arial"/>
                <w:sz w:val="18"/>
              </w:rPr>
              <w:t>One user's 86% uncollected no-show claim is not a platform failure rate. Boost disputes and referral-link friction require direct workflow validation.</w:t>
            </w:r>
          </w:p>
        </w:tc>
      </w:tr>
      <w:tr>
        <w:trPr>
          <w:cantSplit/>
        </w:trPr>
        <w:tc>
          <w:tcPr>
            <w:tcW w:type="dxa" w:w="2088"/>
            <w:vAlign w:val="top"/>
            <w:shd w:fill="F3F6F7"/>
          </w:tcPr>
          <w:p>
            <w:pPr>
              <w:keepNext w:val="0"/>
              <w:spacing w:after="50" w:before="20" w:line="250" w:lineRule="auto"/>
            </w:pPr>
            <w:r>
              <w:rPr>
                <w:rFonts w:ascii="Arial" w:hAnsi="Arial"/>
                <w:b/>
                <w:sz w:val="18"/>
              </w:rPr>
              <w:t>Zenoti</w:t>
            </w:r>
            <w:r>
              <w:rPr>
                <w:rFonts w:ascii="Arial" w:hAnsi="Arial"/>
                <w:b w:val="0"/>
                <w:sz w:val="18"/>
              </w:rPr>
              <w:br/>
              <w:t>Row 12; F010, F012, F060, F102, F145, F148</w:t>
            </w:r>
          </w:p>
        </w:tc>
        <w:tc>
          <w:tcPr>
            <w:tcW w:type="dxa" w:w="3600"/>
            <w:vAlign w:val="top"/>
            <w:shd w:fill="F3F6F7"/>
          </w:tcPr>
          <w:p>
            <w:pPr>
              <w:keepNext w:val="0"/>
              <w:spacing w:after="50" w:before="20" w:line="250" w:lineRule="auto"/>
            </w:pPr>
            <w:r>
              <w:rPr>
                <w:rFonts w:ascii="Arial" w:hAnsi="Arial"/>
                <w:sz w:val="18"/>
              </w:rPr>
              <w:t>Keep enterprise depth, onboarding, photo guides and AI inspiration.</w:t>
            </w:r>
          </w:p>
        </w:tc>
        <w:tc>
          <w:tcPr>
            <w:tcW w:type="dxa" w:w="4536"/>
            <w:vAlign w:val="top"/>
            <w:shd w:fill="F3F6F7"/>
          </w:tcPr>
          <w:p>
            <w:pPr>
              <w:keepNext w:val="0"/>
              <w:spacing w:after="50" w:before="20" w:line="250" w:lineRule="auto"/>
            </w:pPr>
            <w:r>
              <w:rPr>
                <w:rFonts w:ascii="Arial" w:hAnsi="Arial"/>
                <w:sz w:val="18"/>
              </w:rPr>
              <w:t>Do not treat one review's phone-support statement or quote-specific contract as universal current service policy.</w:t>
            </w:r>
          </w:p>
        </w:tc>
      </w:tr>
      <w:tr>
        <w:trPr>
          <w:cantSplit/>
        </w:trPr>
        <w:tc>
          <w:tcPr>
            <w:tcW w:type="dxa" w:w="2088"/>
            <w:vAlign w:val="top"/>
          </w:tcPr>
          <w:p>
            <w:pPr>
              <w:keepNext w:val="0"/>
              <w:spacing w:after="50" w:before="20" w:line="250" w:lineRule="auto"/>
            </w:pPr>
            <w:r>
              <w:rPr>
                <w:rFonts w:ascii="Arial" w:hAnsi="Arial"/>
                <w:b/>
                <w:sz w:val="18"/>
              </w:rPr>
              <w:t>Mindbody</w:t>
            </w:r>
            <w:r>
              <w:rPr>
                <w:rFonts w:ascii="Arial" w:hAnsi="Arial"/>
                <w:b w:val="0"/>
                <w:sz w:val="18"/>
              </w:rPr>
              <w:br/>
              <w:t>Row 13; F080, F093, F010, F120, F190</w:t>
            </w:r>
          </w:p>
        </w:tc>
        <w:tc>
          <w:tcPr>
            <w:tcW w:type="dxa" w:w="3600"/>
            <w:vAlign w:val="top"/>
          </w:tcPr>
          <w:p>
            <w:pPr>
              <w:keepNext w:val="0"/>
              <w:spacing w:after="50" w:before="20" w:line="250" w:lineRule="auto"/>
            </w:pPr>
            <w:r>
              <w:rPr>
                <w:rFonts w:ascii="Arial" w:hAnsi="Arial"/>
                <w:sz w:val="18"/>
              </w:rPr>
              <w:t>Keep class/membership depth, marketplace reach and complexity/cancellation questions.</w:t>
            </w:r>
          </w:p>
        </w:tc>
        <w:tc>
          <w:tcPr>
            <w:tcW w:type="dxa" w:w="4536"/>
            <w:vAlign w:val="top"/>
          </w:tcPr>
          <w:p>
            <w:pPr>
              <w:keepNext w:val="0"/>
              <w:spacing w:after="50" w:before="20" w:line="250" w:lineRule="auto"/>
            </w:pPr>
            <w:r>
              <w:rPr>
                <w:rFonts w:ascii="Arial" w:hAnsi="Arial"/>
                <w:sz w:val="18"/>
              </w:rPr>
              <w:t>One-waiver and contract allegations need current tier/workflow checks; compare fitness versus esthetics use cases.</w:t>
            </w:r>
          </w:p>
        </w:tc>
      </w:tr>
      <w:tr>
        <w:trPr>
          <w:cantSplit/>
        </w:trPr>
        <w:tc>
          <w:tcPr>
            <w:tcW w:type="dxa" w:w="2088"/>
            <w:vAlign w:val="top"/>
            <w:shd w:fill="F3F6F7"/>
          </w:tcPr>
          <w:p>
            <w:pPr>
              <w:keepNext w:val="0"/>
              <w:spacing w:after="50" w:before="20" w:line="250" w:lineRule="auto"/>
            </w:pPr>
            <w:r>
              <w:rPr>
                <w:rFonts w:ascii="Arial" w:hAnsi="Arial"/>
                <w:b/>
                <w:sz w:val="18"/>
              </w:rPr>
              <w:t>Acuity Scheduling</w:t>
            </w:r>
            <w:r>
              <w:rPr>
                <w:rFonts w:ascii="Arial" w:hAnsi="Arial"/>
                <w:b w:val="0"/>
                <w:sz w:val="18"/>
              </w:rPr>
              <w:br/>
              <w:t>Row 14; F035, F038, F040, F189</w:t>
            </w:r>
          </w:p>
        </w:tc>
        <w:tc>
          <w:tcPr>
            <w:tcW w:type="dxa" w:w="3600"/>
            <w:vAlign w:val="top"/>
            <w:shd w:fill="F3F6F7"/>
          </w:tcPr>
          <w:p>
            <w:pPr>
              <w:keepNext w:val="0"/>
              <w:spacing w:after="50" w:before="20" w:line="250" w:lineRule="auto"/>
            </w:pPr>
            <w:r>
              <w:rPr>
                <w:rFonts w:ascii="Arial" w:hAnsi="Arial"/>
                <w:sz w:val="18"/>
              </w:rPr>
              <w:t>Keep flexible general scheduling/intake and beauty-specific record opportunities.</w:t>
            </w:r>
          </w:p>
        </w:tc>
        <w:tc>
          <w:tcPr>
            <w:tcW w:type="dxa" w:w="4536"/>
            <w:vAlign w:val="top"/>
            <w:shd w:fill="F3F6F7"/>
          </w:tcPr>
          <w:p>
            <w:pPr>
              <w:keepNext w:val="0"/>
              <w:spacing w:after="50" w:before="20" w:line="250" w:lineRule="auto"/>
            </w:pPr>
            <w:r>
              <w:rPr>
                <w:rFonts w:ascii="Arial" w:hAnsi="Arial"/>
                <w:sz w:val="18"/>
              </w:rPr>
              <w:t>A business can add clinical context through custom intake; distinguish missing specialized workflows from no capability to collect a field.</w:t>
            </w:r>
          </w:p>
        </w:tc>
      </w:tr>
      <w:tr>
        <w:trPr>
          <w:cantSplit/>
        </w:trPr>
        <w:tc>
          <w:tcPr>
            <w:tcW w:type="dxa" w:w="2088"/>
            <w:vAlign w:val="top"/>
          </w:tcPr>
          <w:p>
            <w:pPr>
              <w:keepNext w:val="0"/>
              <w:spacing w:after="50" w:before="20" w:line="250" w:lineRule="auto"/>
            </w:pPr>
            <w:r>
              <w:rPr>
                <w:rFonts w:ascii="Arial" w:hAnsi="Arial"/>
                <w:b/>
                <w:sz w:val="18"/>
              </w:rPr>
              <w:t>Schedulicity</w:t>
            </w:r>
            <w:r>
              <w:rPr>
                <w:rFonts w:ascii="Arial" w:hAnsi="Arial"/>
                <w:b w:val="0"/>
                <w:sz w:val="18"/>
              </w:rPr>
              <w:br/>
              <w:t>Row 15; F104, F105, F190</w:t>
            </w:r>
          </w:p>
        </w:tc>
        <w:tc>
          <w:tcPr>
            <w:tcW w:type="dxa" w:w="3600"/>
            <w:vAlign w:val="top"/>
          </w:tcPr>
          <w:p>
            <w:pPr>
              <w:keepNext w:val="0"/>
              <w:spacing w:after="50" w:before="20" w:line="250" w:lineRule="auto"/>
            </w:pPr>
            <w:r>
              <w:rPr>
                <w:rFonts w:ascii="Arial" w:hAnsi="Arial"/>
                <w:sz w:val="18"/>
              </w:rPr>
              <w:t>Keep consolidation, onboarding and migration risk lesson.</w:t>
            </w:r>
          </w:p>
        </w:tc>
        <w:tc>
          <w:tcPr>
            <w:tcW w:type="dxa" w:w="4536"/>
            <w:vAlign w:val="top"/>
          </w:tcPr>
          <w:p>
            <w:pPr>
              <w:keepNext w:val="0"/>
              <w:spacing w:after="50" w:before="20" w:line="250" w:lineRule="auto"/>
            </w:pPr>
            <w:r>
              <w:rPr>
                <w:rFonts w:ascii="Arial" w:hAnsi="Arial"/>
                <w:sz w:val="18"/>
              </w:rPr>
              <w:t>Present as a legacy/acquired product; do not rank as a fully independent current alternative.</w:t>
            </w:r>
          </w:p>
        </w:tc>
      </w:tr>
      <w:tr>
        <w:trPr>
          <w:cantSplit/>
        </w:trPr>
        <w:tc>
          <w:tcPr>
            <w:tcW w:type="dxa" w:w="2088"/>
            <w:vAlign w:val="top"/>
            <w:shd w:fill="F3F6F7"/>
          </w:tcPr>
          <w:p>
            <w:pPr>
              <w:keepNext w:val="0"/>
              <w:spacing w:after="50" w:before="20" w:line="250" w:lineRule="auto"/>
            </w:pPr>
            <w:r>
              <w:rPr>
                <w:rFonts w:ascii="Arial" w:hAnsi="Arial"/>
                <w:b/>
                <w:sz w:val="18"/>
              </w:rPr>
              <w:t>Pabau</w:t>
            </w:r>
            <w:r>
              <w:rPr>
                <w:rFonts w:ascii="Arial" w:hAnsi="Arial"/>
                <w:b w:val="0"/>
                <w:sz w:val="18"/>
              </w:rPr>
              <w:br/>
              <w:t>Row 16; F161, F101, F038, F148, F061</w:t>
            </w:r>
          </w:p>
        </w:tc>
        <w:tc>
          <w:tcPr>
            <w:tcW w:type="dxa" w:w="3600"/>
            <w:vAlign w:val="top"/>
            <w:shd w:fill="F3F6F7"/>
          </w:tcPr>
          <w:p>
            <w:pPr>
              <w:keepNext w:val="0"/>
              <w:spacing w:after="50" w:before="20" w:line="250" w:lineRule="auto"/>
            </w:pPr>
            <w:r>
              <w:rPr>
                <w:rFonts w:ascii="Arial" w:hAnsi="Arial"/>
                <w:sz w:val="18"/>
              </w:rPr>
              <w:t>Keep deep clinical documentation and setup/usage-cost themes.</w:t>
            </w:r>
          </w:p>
        </w:tc>
        <w:tc>
          <w:tcPr>
            <w:tcW w:type="dxa" w:w="4536"/>
            <w:vAlign w:val="top"/>
            <w:shd w:fill="F3F6F7"/>
          </w:tcPr>
          <w:p>
            <w:pPr>
              <w:keepNext w:val="0"/>
              <w:spacing w:after="50" w:before="20" w:line="250" w:lineRule="auto"/>
            </w:pPr>
            <w:r>
              <w:rPr>
                <w:rFonts w:ascii="Arial" w:hAnsi="Arial"/>
                <w:sz w:val="18"/>
              </w:rPr>
              <w:t>Workbook says complaint evidence came from search summaries without captured direct quotes; low-confidence discovery leads only.</w:t>
            </w:r>
          </w:p>
        </w:tc>
      </w:tr>
      <w:tr>
        <w:trPr>
          <w:cantSplit/>
        </w:trPr>
        <w:tc>
          <w:tcPr>
            <w:tcW w:type="dxa" w:w="2088"/>
            <w:vAlign w:val="top"/>
          </w:tcPr>
          <w:p>
            <w:pPr>
              <w:keepNext w:val="0"/>
              <w:spacing w:after="50" w:before="20" w:line="250" w:lineRule="auto"/>
            </w:pPr>
            <w:r>
              <w:rPr>
                <w:rFonts w:ascii="Arial" w:hAnsi="Arial"/>
                <w:b/>
                <w:sz w:val="18"/>
              </w:rPr>
              <w:t>Aesthetic Record</w:t>
            </w:r>
            <w:r>
              <w:rPr>
                <w:rFonts w:ascii="Arial" w:hAnsi="Arial"/>
                <w:b w:val="0"/>
                <w:sz w:val="18"/>
              </w:rPr>
              <w:br/>
              <w:t>Row 17; F102, F101, F060, F119, F120</w:t>
            </w:r>
          </w:p>
        </w:tc>
        <w:tc>
          <w:tcPr>
            <w:tcW w:type="dxa" w:w="3600"/>
            <w:vAlign w:val="top"/>
          </w:tcPr>
          <w:p>
            <w:pPr>
              <w:keepNext w:val="0"/>
              <w:spacing w:after="50" w:before="20" w:line="250" w:lineRule="auto"/>
            </w:pPr>
            <w:r>
              <w:rPr>
                <w:rFonts w:ascii="Arial" w:hAnsi="Arial"/>
                <w:sz w:val="18"/>
              </w:rPr>
              <w:t>Keep photo comparison and clinical depth; investigate export, support and device friction.</w:t>
            </w:r>
          </w:p>
        </w:tc>
        <w:tc>
          <w:tcPr>
            <w:tcW w:type="dxa" w:w="4536"/>
            <w:vAlign w:val="top"/>
          </w:tcPr>
          <w:p>
            <w:pPr>
              <w:keepNext w:val="0"/>
              <w:spacing w:after="50" w:before="20" w:line="250" w:lineRule="auto"/>
            </w:pPr>
            <w:r>
              <w:rPr>
                <w:rFonts w:ascii="Arial" w:hAnsi="Arial"/>
                <w:sz w:val="18"/>
              </w:rPr>
              <w:t>A single $1,120 export quote is not universal pricing; iPad/web and support limits may change. No clinical quality conclusion follows from app ratings.</w:t>
            </w:r>
          </w:p>
        </w:tc>
      </w:tr>
    </w:tbl>
    <w:p>
      <w:pPr>
        <w:spacing w:after="40" w:before="0" w:line="240" w:lineRule="auto"/>
      </w:pPr>
      <w:r>
        <w:rPr>
          <w:sz w:val="4"/>
        </w:rPr>
      </w:r>
    </w:p>
    <w:p>
      <w:r>
        <w:t>Coverage check: all 111 expected source rows are present, every row maps to valid stable feature IDs, and deferred ideas remain visible. Deferral is a sequencing decision, not an omission.</w:t>
      </w:r>
    </w:p>
    <w:p>
      <w:bookmarkStart w:id="12" w:name="sources"/>
      <w:pPr>
        <w:pStyle w:val="Heading1"/>
        <w:pageBreakBefore/>
      </w:pPr>
      <w:r>
        <w:t>11 Sources</w:t>
      </w:r>
      <w:bookmarkEnd w:id="12"/>
    </w:p>
    <w:p>
      <w:r>
        <w:t>Research accessed 25 October 2026 unless a different date is explicitly stated. Official materials support advertised capabilities, not independent testing. Review sources support the existence of individual reports. Proposed requirements and hypotheses are original synthesis. Follow the linked source titles for the underlying material; claims may change after this snapshot.</w:t>
      </w:r>
    </w:p>
    <w:p>
      <w:pPr>
        <w:pStyle w:val="Heading2"/>
      </w:pPr>
      <w:r>
        <w:t>GlossGenius official sources</w:t>
      </w:r>
    </w:p>
    <w:p>
      <w:bookmarkStart w:id="13" w:name="src_GG01"/>
      <w:pPr>
        <w:spacing w:after="100" w:line="247" w:lineRule="auto"/>
      </w:pPr>
      <w:bookmarkEnd w:id="13"/>
      <w:r>
        <w:rPr>
          <w:b/>
          <w:sz w:val="18"/>
        </w:rPr>
        <w:t xml:space="preserve">GG01  </w:t>
      </w:r>
      <w:hyperlink r:id="rId11">
        <w:r>
          <w:rPr>
            <w:color w:val="1B5278"/>
            <w:u w:val="single"/>
            <w:sz w:val="18"/>
          </w:rPr>
          <w:t>GlossGenius pricing</w:t>
        </w:r>
      </w:hyperlink>
      <w:r>
        <w:rPr>
          <w:sz w:val="17"/>
        </w:rPr>
        <w:br/>
        <w:t>undated live page · Official or review evidence as classified in the relevant chapter</w:t>
      </w:r>
    </w:p>
    <w:p>
      <w:bookmarkStart w:id="14" w:name="src_GG02"/>
      <w:pPr>
        <w:spacing w:after="100" w:line="247" w:lineRule="auto"/>
      </w:pPr>
      <w:bookmarkEnd w:id="14"/>
      <w:r>
        <w:rPr>
          <w:b/>
          <w:sz w:val="18"/>
        </w:rPr>
        <w:t xml:space="preserve">GG02  </w:t>
      </w:r>
      <w:hyperlink r:id="rId12">
        <w:r>
          <w:rPr>
            <w:color w:val="1B5278"/>
            <w:u w:val="single"/>
            <w:sz w:val="18"/>
          </w:rPr>
          <w:t>GlossGenius custom website builder</w:t>
        </w:r>
      </w:hyperlink>
      <w:r>
        <w:rPr>
          <w:sz w:val="17"/>
        </w:rPr>
        <w:br/>
        <w:t>undated live page · Official or review evidence as classified in the relevant chapter</w:t>
      </w:r>
    </w:p>
    <w:p>
      <w:bookmarkStart w:id="15" w:name="src_GG03"/>
      <w:pPr>
        <w:spacing w:after="100" w:line="247" w:lineRule="auto"/>
      </w:pPr>
      <w:bookmarkEnd w:id="15"/>
      <w:r>
        <w:rPr>
          <w:b/>
          <w:sz w:val="18"/>
        </w:rPr>
        <w:t xml:space="preserve">GG03  </w:t>
      </w:r>
      <w:hyperlink r:id="rId13">
        <w:r>
          <w:rPr>
            <w:color w:val="1B5278"/>
            <w:u w:val="single"/>
            <w:sz w:val="18"/>
          </w:rPr>
          <w:t>GlossGenius forms and waivers</w:t>
        </w:r>
      </w:hyperlink>
      <w:r>
        <w:rPr>
          <w:sz w:val="17"/>
        </w:rPr>
        <w:br/>
        <w:t>undated live page · Official or review evidence as classified in the relevant chapter</w:t>
      </w:r>
    </w:p>
    <w:p>
      <w:bookmarkStart w:id="16" w:name="src_GG04"/>
      <w:pPr>
        <w:spacing w:after="100" w:line="247" w:lineRule="auto"/>
      </w:pPr>
      <w:bookmarkEnd w:id="16"/>
      <w:r>
        <w:rPr>
          <w:b/>
          <w:sz w:val="18"/>
        </w:rPr>
        <w:t xml:space="preserve">GG04  </w:t>
      </w:r>
      <w:hyperlink r:id="rId14">
        <w:r>
          <w:rPr>
            <w:color w:val="1B5278"/>
            <w:u w:val="single"/>
            <w:sz w:val="18"/>
          </w:rPr>
          <w:t>GlossGenius calendar and scheduling</w:t>
        </w:r>
      </w:hyperlink>
      <w:r>
        <w:rPr>
          <w:sz w:val="17"/>
        </w:rPr>
        <w:br/>
        <w:t>undated live page · Official or review evidence as classified in the relevant chapter</w:t>
      </w:r>
    </w:p>
    <w:p>
      <w:bookmarkStart w:id="17" w:name="src_GG05"/>
      <w:pPr>
        <w:spacing w:after="100" w:line="247" w:lineRule="auto"/>
      </w:pPr>
      <w:bookmarkEnd w:id="17"/>
      <w:r>
        <w:rPr>
          <w:b/>
          <w:sz w:val="18"/>
        </w:rPr>
        <w:t xml:space="preserve">GG05  </w:t>
      </w:r>
      <w:hyperlink r:id="rId15">
        <w:r>
          <w:rPr>
            <w:color w:val="1B5278"/>
            <w:u w:val="single"/>
            <w:sz w:val="18"/>
          </w:rPr>
          <w:t>GlossGenius client insights</w:t>
        </w:r>
      </w:hyperlink>
      <w:r>
        <w:rPr>
          <w:sz w:val="17"/>
        </w:rPr>
        <w:br/>
        <w:t>undated live page · Official or review evidence as classified in the relevant chapter</w:t>
      </w:r>
    </w:p>
    <w:p>
      <w:bookmarkStart w:id="18" w:name="src_GG06"/>
      <w:pPr>
        <w:spacing w:after="100" w:line="247" w:lineRule="auto"/>
      </w:pPr>
      <w:bookmarkEnd w:id="18"/>
      <w:r>
        <w:rPr>
          <w:b/>
          <w:sz w:val="18"/>
        </w:rPr>
        <w:t xml:space="preserve">GG06  </w:t>
      </w:r>
      <w:hyperlink r:id="rId16">
        <w:r>
          <w:rPr>
            <w:color w:val="1B5278"/>
            <w:u w:val="single"/>
            <w:sz w:val="18"/>
          </w:rPr>
          <w:t>GlossGenius reports and analytics</w:t>
        </w:r>
      </w:hyperlink>
      <w:r>
        <w:rPr>
          <w:sz w:val="17"/>
        </w:rPr>
        <w:br/>
        <w:t>undated live page · Official or review evidence as classified in the relevant chapter</w:t>
      </w:r>
    </w:p>
    <w:p>
      <w:bookmarkStart w:id="19" w:name="src_GG07"/>
      <w:pPr>
        <w:spacing w:after="100" w:line="247" w:lineRule="auto"/>
      </w:pPr>
      <w:bookmarkEnd w:id="19"/>
      <w:r>
        <w:rPr>
          <w:b/>
          <w:sz w:val="18"/>
        </w:rPr>
        <w:t xml:space="preserve">GG07  </w:t>
      </w:r>
      <w:hyperlink r:id="rId17">
        <w:r>
          <w:rPr>
            <w:color w:val="1B5278"/>
            <w:u w:val="single"/>
            <w:sz w:val="18"/>
          </w:rPr>
          <w:t>GlossGenius finances</w:t>
        </w:r>
      </w:hyperlink>
      <w:r>
        <w:rPr>
          <w:sz w:val="17"/>
        </w:rPr>
        <w:br/>
        <w:t>undated live page · Official or review evidence as classified in the relevant chapter</w:t>
      </w:r>
    </w:p>
    <w:p>
      <w:bookmarkStart w:id="20" w:name="src_GG08"/>
      <w:pPr>
        <w:spacing w:after="100" w:line="247" w:lineRule="auto"/>
      </w:pPr>
      <w:bookmarkEnd w:id="20"/>
      <w:r>
        <w:rPr>
          <w:b/>
          <w:sz w:val="18"/>
        </w:rPr>
        <w:t xml:space="preserve">GG08  </w:t>
      </w:r>
      <w:hyperlink r:id="rId18">
        <w:r>
          <w:rPr>
            <w:color w:val="1B5278"/>
            <w:u w:val="single"/>
            <w:sz w:val="18"/>
          </w:rPr>
          <w:t>GlossGenius memberships and packages</w:t>
        </w:r>
      </w:hyperlink>
      <w:r>
        <w:rPr>
          <w:sz w:val="17"/>
        </w:rPr>
        <w:br/>
        <w:t>undated live page · Official or review evidence as classified in the relevant chapter</w:t>
      </w:r>
    </w:p>
    <w:p>
      <w:bookmarkStart w:id="21" w:name="src_GG09"/>
      <w:pPr>
        <w:spacing w:after="100" w:line="247" w:lineRule="auto"/>
      </w:pPr>
      <w:bookmarkEnd w:id="21"/>
      <w:r>
        <w:rPr>
          <w:b/>
          <w:sz w:val="18"/>
        </w:rPr>
        <w:t xml:space="preserve">GG09  </w:t>
      </w:r>
      <w:hyperlink r:id="rId19">
        <w:r>
          <w:rPr>
            <w:color w:val="1B5278"/>
            <w:u w:val="single"/>
            <w:sz w:val="18"/>
          </w:rPr>
          <w:t>GlossGenius AI business tools</w:t>
        </w:r>
      </w:hyperlink>
      <w:r>
        <w:rPr>
          <w:sz w:val="17"/>
        </w:rPr>
        <w:br/>
        <w:t>undated live page · Official or review evidence as classified in the relevant chapter</w:t>
      </w:r>
    </w:p>
    <w:p>
      <w:bookmarkStart w:id="22" w:name="src_GG10"/>
      <w:pPr>
        <w:spacing w:after="100" w:line="247" w:lineRule="auto"/>
      </w:pPr>
      <w:bookmarkEnd w:id="22"/>
      <w:r>
        <w:rPr>
          <w:b/>
          <w:sz w:val="18"/>
        </w:rPr>
        <w:t xml:space="preserve">GG10  </w:t>
      </w:r>
      <w:hyperlink r:id="rId20">
        <w:r>
          <w:rPr>
            <w:color w:val="1B5278"/>
            <w:u w:val="single"/>
            <w:sz w:val="18"/>
          </w:rPr>
          <w:t>GlossGenius charting</w:t>
        </w:r>
      </w:hyperlink>
      <w:r>
        <w:rPr>
          <w:sz w:val="17"/>
        </w:rPr>
        <w:br/>
        <w:t>undated live page · Official or review evidence as classified in the relevant chapter</w:t>
      </w:r>
    </w:p>
    <w:p>
      <w:bookmarkStart w:id="23" w:name="src_GG11"/>
      <w:pPr>
        <w:spacing w:after="100" w:line="247" w:lineRule="auto"/>
      </w:pPr>
      <w:bookmarkEnd w:id="23"/>
      <w:r>
        <w:rPr>
          <w:b/>
          <w:sz w:val="18"/>
        </w:rPr>
        <w:t xml:space="preserve">GG11  </w:t>
      </w:r>
      <w:hyperlink r:id="rId21">
        <w:r>
          <w:rPr>
            <w:color w:val="1B5278"/>
            <w:u w:val="single"/>
            <w:sz w:val="18"/>
          </w:rPr>
          <w:t>GlossGenius client management</w:t>
        </w:r>
      </w:hyperlink>
      <w:r>
        <w:rPr>
          <w:sz w:val="17"/>
        </w:rPr>
        <w:br/>
        <w:t>undated live page · Official or review evidence as classified in the relevant chapter</w:t>
      </w:r>
    </w:p>
    <w:p>
      <w:bookmarkStart w:id="24" w:name="src_GG12"/>
      <w:pPr>
        <w:spacing w:after="100" w:line="247" w:lineRule="auto"/>
      </w:pPr>
      <w:bookmarkEnd w:id="24"/>
      <w:r>
        <w:rPr>
          <w:b/>
          <w:sz w:val="18"/>
        </w:rPr>
        <w:t xml:space="preserve">GG12  </w:t>
      </w:r>
      <w:hyperlink r:id="rId22">
        <w:r>
          <w:rPr>
            <w:color w:val="1B5278"/>
            <w:u w:val="single"/>
            <w:sz w:val="18"/>
          </w:rPr>
          <w:t>GlossGenius inventory</w:t>
        </w:r>
      </w:hyperlink>
      <w:r>
        <w:rPr>
          <w:sz w:val="17"/>
        </w:rPr>
        <w:br/>
        <w:t>undated live page · Official or review evidence as classified in the relevant chapter</w:t>
      </w:r>
    </w:p>
    <w:p>
      <w:bookmarkStart w:id="25" w:name="src_GG13"/>
      <w:pPr>
        <w:spacing w:after="100" w:line="247" w:lineRule="auto"/>
      </w:pPr>
      <w:bookmarkEnd w:id="25"/>
      <w:r>
        <w:rPr>
          <w:b/>
          <w:sz w:val="18"/>
        </w:rPr>
        <w:t xml:space="preserve">GG13  </w:t>
      </w:r>
      <w:hyperlink r:id="rId23">
        <w:r>
          <w:rPr>
            <w:color w:val="1B5278"/>
            <w:u w:val="single"/>
            <w:sz w:val="18"/>
          </w:rPr>
          <w:t>GlossGenius payments</w:t>
        </w:r>
      </w:hyperlink>
      <w:r>
        <w:rPr>
          <w:sz w:val="17"/>
        </w:rPr>
        <w:br/>
        <w:t>undated live page · Official or review evidence as classified in the relevant chapter</w:t>
      </w:r>
    </w:p>
    <w:p>
      <w:bookmarkStart w:id="26" w:name="src_GG14"/>
      <w:pPr>
        <w:spacing w:after="100" w:line="247" w:lineRule="auto"/>
      </w:pPr>
      <w:bookmarkEnd w:id="26"/>
      <w:r>
        <w:rPr>
          <w:b/>
          <w:sz w:val="18"/>
        </w:rPr>
        <w:t xml:space="preserve">GG14  </w:t>
      </w:r>
      <w:hyperlink r:id="rId24">
        <w:r>
          <w:rPr>
            <w:color w:val="1B5278"/>
            <w:u w:val="single"/>
            <w:sz w:val="18"/>
          </w:rPr>
          <w:t>GlossGenius payroll</w:t>
        </w:r>
      </w:hyperlink>
      <w:r>
        <w:rPr>
          <w:sz w:val="17"/>
        </w:rPr>
        <w:br/>
        <w:t>undated live page · Official or review evidence as classified in the relevant chapter</w:t>
      </w:r>
    </w:p>
    <w:p>
      <w:bookmarkStart w:id="27" w:name="src_GG15"/>
      <w:pPr>
        <w:spacing w:after="100" w:line="247" w:lineRule="auto"/>
      </w:pPr>
      <w:bookmarkEnd w:id="27"/>
      <w:r>
        <w:rPr>
          <w:b/>
          <w:sz w:val="18"/>
        </w:rPr>
        <w:t xml:space="preserve">GG15  </w:t>
      </w:r>
      <w:hyperlink r:id="rId25">
        <w:r>
          <w:rPr>
            <w:color w:val="1B5278"/>
            <w:u w:val="single"/>
            <w:sz w:val="18"/>
          </w:rPr>
          <w:t>GlossGenius waitlist</w:t>
        </w:r>
      </w:hyperlink>
      <w:r>
        <w:rPr>
          <w:sz w:val="17"/>
        </w:rPr>
        <w:br/>
        <w:t>undated live page · Official or review evidence as classified in the relevant chapter</w:t>
      </w:r>
    </w:p>
    <w:p>
      <w:bookmarkStart w:id="28" w:name="src_GG16"/>
      <w:pPr>
        <w:spacing w:after="100" w:line="247" w:lineRule="auto"/>
      </w:pPr>
      <w:bookmarkEnd w:id="28"/>
      <w:r>
        <w:rPr>
          <w:b/>
          <w:sz w:val="18"/>
        </w:rPr>
        <w:t xml:space="preserve">GG16  </w:t>
      </w:r>
      <w:hyperlink r:id="rId26">
        <w:r>
          <w:rPr>
            <w:color w:val="1B5278"/>
            <w:u w:val="single"/>
            <w:sz w:val="18"/>
          </w:rPr>
          <w:t>GlossGenius overview</w:t>
        </w:r>
      </w:hyperlink>
      <w:r>
        <w:rPr>
          <w:sz w:val="17"/>
        </w:rPr>
        <w:br/>
        <w:t>undated live page · Official or review evidence as classified in the relevant chapter</w:t>
      </w:r>
    </w:p>
    <w:p>
      <w:pPr>
        <w:pStyle w:val="Heading2"/>
      </w:pPr>
      <w:r>
        <w:t>Vagaro official sources</w:t>
      </w:r>
    </w:p>
    <w:p>
      <w:bookmarkStart w:id="29" w:name="src_VG01"/>
      <w:pPr>
        <w:spacing w:after="100" w:line="247" w:lineRule="auto"/>
      </w:pPr>
      <w:bookmarkEnd w:id="29"/>
      <w:r>
        <w:rPr>
          <w:b/>
          <w:sz w:val="18"/>
        </w:rPr>
        <w:t xml:space="preserve">VG01  </w:t>
      </w:r>
      <w:hyperlink r:id="rId27">
        <w:r>
          <w:rPr>
            <w:color w:val="1B5278"/>
            <w:u w:val="single"/>
            <w:sz w:val="18"/>
          </w:rPr>
          <w:t>Vagaro base subscription features</w:t>
        </w:r>
      </w:hyperlink>
      <w:r>
        <w:rPr>
          <w:sz w:val="17"/>
        </w:rPr>
        <w:br/>
        <w:t>2026-07-01 · Official or review evidence as classified in the relevant chapter</w:t>
      </w:r>
    </w:p>
    <w:p>
      <w:bookmarkStart w:id="30" w:name="src_VG02"/>
      <w:pPr>
        <w:spacing w:after="100" w:line="247" w:lineRule="auto"/>
      </w:pPr>
      <w:bookmarkEnd w:id="30"/>
      <w:r>
        <w:rPr>
          <w:b/>
          <w:sz w:val="18"/>
        </w:rPr>
        <w:t xml:space="preserve">VG02  </w:t>
      </w:r>
      <w:hyperlink r:id="rId28">
        <w:r>
          <w:rPr>
            <w:color w:val="1B5278"/>
            <w:u w:val="single"/>
            <w:sz w:val="18"/>
          </w:rPr>
          <w:t>Vagaro plans, pricing and premium features</w:t>
        </w:r>
      </w:hyperlink>
      <w:r>
        <w:rPr>
          <w:sz w:val="17"/>
        </w:rPr>
        <w:br/>
        <w:t>2026-10-12 · Official or review evidence as classified in the relevant chapter</w:t>
      </w:r>
    </w:p>
    <w:p>
      <w:bookmarkStart w:id="31" w:name="src_VG03"/>
      <w:pPr>
        <w:spacing w:after="100" w:line="247" w:lineRule="auto"/>
      </w:pPr>
      <w:bookmarkEnd w:id="31"/>
      <w:r>
        <w:rPr>
          <w:b/>
          <w:sz w:val="18"/>
        </w:rPr>
        <w:t xml:space="preserve">VG03  </w:t>
      </w:r>
      <w:hyperlink r:id="rId29">
        <w:r>
          <w:rPr>
            <w:color w:val="1B5278"/>
            <w:u w:val="single"/>
            <w:sz w:val="18"/>
          </w:rPr>
          <w:t>Vagaro waitlist</w:t>
        </w:r>
      </w:hyperlink>
      <w:r>
        <w:rPr>
          <w:sz w:val="17"/>
        </w:rPr>
        <w:br/>
        <w:t>live help page · Official or review evidence as classified in the relevant chapter</w:t>
      </w:r>
    </w:p>
    <w:p>
      <w:bookmarkStart w:id="32" w:name="src_VG04"/>
      <w:pPr>
        <w:spacing w:after="100" w:line="247" w:lineRule="auto"/>
      </w:pPr>
      <w:bookmarkEnd w:id="32"/>
      <w:r>
        <w:rPr>
          <w:b/>
          <w:sz w:val="18"/>
        </w:rPr>
        <w:t xml:space="preserve">VG04  </w:t>
      </w:r>
      <w:hyperlink r:id="rId30">
        <w:r>
          <w:rPr>
            <w:color w:val="1B5278"/>
            <w:u w:val="single"/>
            <w:sz w:val="18"/>
          </w:rPr>
          <w:t>Vagaro online appointment rules</w:t>
        </w:r>
      </w:hyperlink>
      <w:r>
        <w:rPr>
          <w:sz w:val="17"/>
        </w:rPr>
        <w:br/>
        <w:t>live help page · Official or review evidence as classified in the relevant chapter</w:t>
      </w:r>
    </w:p>
    <w:p>
      <w:bookmarkStart w:id="33" w:name="src_VG05"/>
      <w:pPr>
        <w:spacing w:after="100" w:line="247" w:lineRule="auto"/>
      </w:pPr>
      <w:bookmarkEnd w:id="33"/>
      <w:r>
        <w:rPr>
          <w:b/>
          <w:sz w:val="18"/>
        </w:rPr>
        <w:t xml:space="preserve">VG05  </w:t>
      </w:r>
      <w:hyperlink r:id="rId31">
        <w:r>
          <w:rPr>
            <w:color w:val="1B5278"/>
            <w:u w:val="single"/>
            <w:sz w:val="18"/>
          </w:rPr>
          <w:t>Vagaro gap processing</w:t>
        </w:r>
      </w:hyperlink>
      <w:r>
        <w:rPr>
          <w:sz w:val="17"/>
        </w:rPr>
        <w:br/>
        <w:t>live help page · Official or review evidence as classified in the relevant chapter</w:t>
      </w:r>
    </w:p>
    <w:p>
      <w:bookmarkStart w:id="34" w:name="src_VG06"/>
      <w:pPr>
        <w:spacing w:after="100" w:line="247" w:lineRule="auto"/>
      </w:pPr>
      <w:bookmarkEnd w:id="34"/>
      <w:r>
        <w:rPr>
          <w:b/>
          <w:sz w:val="18"/>
        </w:rPr>
        <w:t xml:space="preserve">VG06  </w:t>
      </w:r>
      <w:hyperlink r:id="rId32">
        <w:r>
          <w:rPr>
            <w:color w:val="1B5278"/>
            <w:u w:val="single"/>
            <w:sz w:val="18"/>
          </w:rPr>
          <w:t>Vagaro automatic rent collection</w:t>
        </w:r>
      </w:hyperlink>
      <w:r>
        <w:rPr>
          <w:sz w:val="17"/>
        </w:rPr>
        <w:br/>
        <w:t>2026-07-01 · Official or review evidence as classified in the relevant chapter</w:t>
      </w:r>
    </w:p>
    <w:p>
      <w:bookmarkStart w:id="35" w:name="src_VG07"/>
      <w:pPr>
        <w:spacing w:after="100" w:line="247" w:lineRule="auto"/>
      </w:pPr>
      <w:bookmarkEnd w:id="35"/>
      <w:r>
        <w:rPr>
          <w:b/>
          <w:sz w:val="18"/>
        </w:rPr>
        <w:t xml:space="preserve">VG07  </w:t>
      </w:r>
      <w:hyperlink r:id="rId33">
        <w:r>
          <w:rPr>
            <w:color w:val="1B5278"/>
            <w:u w:val="single"/>
            <w:sz w:val="18"/>
          </w:rPr>
          <w:t>Vagaro webhooks</w:t>
        </w:r>
      </w:hyperlink>
      <w:r>
        <w:rPr>
          <w:sz w:val="17"/>
        </w:rPr>
        <w:br/>
        <w:t>live help page; cited comment 2025-01-02 · Official or review evidence as classified in the relevant chapter</w:t>
      </w:r>
    </w:p>
    <w:p>
      <w:bookmarkStart w:id="36" w:name="src_VG08"/>
      <w:pPr>
        <w:spacing w:after="100" w:line="247" w:lineRule="auto"/>
      </w:pPr>
      <w:bookmarkEnd w:id="36"/>
      <w:r>
        <w:rPr>
          <w:b/>
          <w:sz w:val="18"/>
        </w:rPr>
        <w:t xml:space="preserve">VG08  </w:t>
      </w:r>
      <w:hyperlink r:id="rId34">
        <w:r>
          <w:rPr>
            <w:color w:val="1B5278"/>
            <w:u w:val="single"/>
            <w:sz w:val="18"/>
          </w:rPr>
          <w:t>Vagaro Connect</w:t>
        </w:r>
      </w:hyperlink>
      <w:r>
        <w:rPr>
          <w:sz w:val="17"/>
        </w:rPr>
        <w:br/>
        <w:t>2025-05-29; cited comment 2026-01-16 · Official or review evidence as classified in the relevant chapter</w:t>
      </w:r>
    </w:p>
    <w:p>
      <w:bookmarkStart w:id="37" w:name="src_VG09"/>
      <w:pPr>
        <w:spacing w:after="100" w:line="247" w:lineRule="auto"/>
      </w:pPr>
      <w:bookmarkEnd w:id="37"/>
      <w:r>
        <w:rPr>
          <w:b/>
          <w:sz w:val="18"/>
        </w:rPr>
        <w:t xml:space="preserve">VG09  </w:t>
      </w:r>
      <w:hyperlink r:id="rId35">
        <w:r>
          <w:rPr>
            <w:color w:val="1B5278"/>
            <w:u w:val="single"/>
            <w:sz w:val="18"/>
          </w:rPr>
          <w:t>Vagaro MySite</w:t>
        </w:r>
      </w:hyperlink>
      <w:r>
        <w:rPr>
          <w:sz w:val="17"/>
        </w:rPr>
        <w:br/>
        <w:t>2026-03-16 · Official or review evidence as classified in the relevant chapter</w:t>
      </w:r>
    </w:p>
    <w:p>
      <w:bookmarkStart w:id="38" w:name="src_VG10"/>
      <w:pPr>
        <w:spacing w:after="100" w:line="247" w:lineRule="auto"/>
      </w:pPr>
      <w:bookmarkEnd w:id="38"/>
      <w:r>
        <w:rPr>
          <w:b/>
          <w:sz w:val="18"/>
        </w:rPr>
        <w:t xml:space="preserve">VG10  </w:t>
      </w:r>
      <w:hyperlink r:id="rId36">
        <w:r>
          <w:rPr>
            <w:color w:val="1B5278"/>
            <w:u w:val="single"/>
            <w:sz w:val="18"/>
          </w:rPr>
          <w:t>Vagaro branded app</w:t>
        </w:r>
      </w:hyperlink>
      <w:r>
        <w:rPr>
          <w:sz w:val="17"/>
        </w:rPr>
        <w:br/>
        <w:t>2026-07-02 · Official or review evidence as classified in the relevant chapter</w:t>
      </w:r>
    </w:p>
    <w:p>
      <w:bookmarkStart w:id="39" w:name="src_VG11"/>
      <w:pPr>
        <w:spacing w:after="100" w:line="247" w:lineRule="auto"/>
      </w:pPr>
      <w:bookmarkEnd w:id="39"/>
      <w:r>
        <w:rPr>
          <w:b/>
          <w:sz w:val="18"/>
        </w:rPr>
        <w:t xml:space="preserve">VG11  </w:t>
      </w:r>
      <w:hyperlink r:id="rId37">
        <w:r>
          <w:rPr>
            <w:color w:val="1B5278"/>
            <w:u w:val="single"/>
            <w:sz w:val="18"/>
          </w:rPr>
          <w:t>Vagaro Vera Receptionist</w:t>
        </w:r>
      </w:hyperlink>
      <w:r>
        <w:rPr>
          <w:sz w:val="17"/>
        </w:rPr>
        <w:br/>
        <w:t>2026-10-23; cited comment 2026-07-03 · Official or review evidence as classified in the relevant chapter</w:t>
      </w:r>
    </w:p>
    <w:p>
      <w:bookmarkStart w:id="40" w:name="src_VG12"/>
      <w:pPr>
        <w:spacing w:after="100" w:line="247" w:lineRule="auto"/>
      </w:pPr>
      <w:bookmarkEnd w:id="40"/>
      <w:r>
        <w:rPr>
          <w:b/>
          <w:sz w:val="18"/>
        </w:rPr>
        <w:t xml:space="preserve">VG12  </w:t>
      </w:r>
      <w:hyperlink r:id="rId38">
        <w:r>
          <w:rPr>
            <w:color w:val="1B5278"/>
            <w:u w:val="single"/>
            <w:sz w:val="18"/>
          </w:rPr>
          <w:t>Vagaro Data Lake</w:t>
        </w:r>
      </w:hyperlink>
      <w:r>
        <w:rPr>
          <w:sz w:val="17"/>
        </w:rPr>
        <w:br/>
        <w:t>2026-01-30; cited comments 2026-01-05 · Official or review evidence as classified in the relevant chapter</w:t>
      </w:r>
    </w:p>
    <w:p>
      <w:bookmarkStart w:id="41" w:name="src_VG13"/>
      <w:pPr>
        <w:spacing w:after="100" w:line="247" w:lineRule="auto"/>
      </w:pPr>
      <w:bookmarkEnd w:id="41"/>
      <w:r>
        <w:rPr>
          <w:b/>
          <w:sz w:val="18"/>
        </w:rPr>
        <w:t xml:space="preserve">VG13  </w:t>
      </w:r>
      <w:hyperlink r:id="rId39">
        <w:r>
          <w:rPr>
            <w:color w:val="1B5278"/>
            <w:u w:val="single"/>
            <w:sz w:val="18"/>
          </w:rPr>
          <w:t>Vagaro Forms activation</w:t>
        </w:r>
      </w:hyperlink>
      <w:r>
        <w:rPr>
          <w:sz w:val="17"/>
        </w:rPr>
        <w:br/>
        <w:t>2026-07-01 · Official or review evidence as classified in the relevant chapter</w:t>
      </w:r>
    </w:p>
    <w:p>
      <w:bookmarkStart w:id="42" w:name="src_VG14"/>
      <w:pPr>
        <w:spacing w:after="100" w:line="247" w:lineRule="auto"/>
      </w:pPr>
      <w:bookmarkEnd w:id="42"/>
      <w:r>
        <w:rPr>
          <w:b/>
          <w:sz w:val="18"/>
        </w:rPr>
        <w:t xml:space="preserve">VG14  </w:t>
      </w:r>
      <w:hyperlink r:id="rId40">
        <w:r>
          <w:rPr>
            <w:color w:val="1B5278"/>
            <w:u w:val="single"/>
            <w:sz w:val="18"/>
          </w:rPr>
          <w:t>Vagaro Fill My Books</w:t>
        </w:r>
      </w:hyperlink>
      <w:r>
        <w:rPr>
          <w:sz w:val="17"/>
        </w:rPr>
        <w:br/>
        <w:t>2026-10-22 · Official or review evidence as classified in the relevant chapter</w:t>
      </w:r>
    </w:p>
    <w:p>
      <w:bookmarkStart w:id="43" w:name="src_VG15"/>
      <w:pPr>
        <w:spacing w:after="100" w:line="247" w:lineRule="auto"/>
      </w:pPr>
      <w:bookmarkEnd w:id="43"/>
      <w:r>
        <w:rPr>
          <w:b/>
          <w:sz w:val="18"/>
        </w:rPr>
        <w:t xml:space="preserve">VG15  </w:t>
      </w:r>
      <w:hyperlink r:id="rId41">
        <w:r>
          <w:rPr>
            <w:color w:val="1B5278"/>
            <w:u w:val="single"/>
            <w:sz w:val="18"/>
          </w:rPr>
          <w:t>Vagaro SOAP notes</w:t>
        </w:r>
      </w:hyperlink>
      <w:r>
        <w:rPr>
          <w:sz w:val="17"/>
        </w:rPr>
        <w:br/>
        <w:t>live help page · Official or review evidence as classified in the relevant chapter</w:t>
      </w:r>
    </w:p>
    <w:p>
      <w:bookmarkStart w:id="44" w:name="src_VG16"/>
      <w:pPr>
        <w:spacing w:after="100" w:line="247" w:lineRule="auto"/>
      </w:pPr>
      <w:bookmarkEnd w:id="44"/>
      <w:r>
        <w:rPr>
          <w:b/>
          <w:sz w:val="18"/>
        </w:rPr>
        <w:t xml:space="preserve">VG16  </w:t>
      </w:r>
      <w:hyperlink r:id="rId42">
        <w:r>
          <w:rPr>
            <w:color w:val="1B5278"/>
            <w:u w:val="single"/>
            <w:sz w:val="18"/>
          </w:rPr>
          <w:t>Vagaro US pricing</w:t>
        </w:r>
      </w:hyperlink>
      <w:r>
        <w:rPr>
          <w:sz w:val="17"/>
        </w:rPr>
        <w:br/>
        <w:t>undated live page · Official or review evidence as classified in the relevant chapter</w:t>
      </w:r>
    </w:p>
    <w:p>
      <w:pPr>
        <w:pStyle w:val="Heading2"/>
      </w:pPr>
      <w:r>
        <w:t>GlossGenius and Vagaro review sources</w:t>
      </w:r>
    </w:p>
    <w:p>
      <w:bookmarkStart w:id="45" w:name="src_RG01"/>
      <w:pPr>
        <w:spacing w:after="100" w:line="247" w:lineRule="auto"/>
      </w:pPr>
      <w:bookmarkEnd w:id="45"/>
      <w:r>
        <w:rPr>
          <w:b/>
          <w:sz w:val="18"/>
        </w:rPr>
        <w:t xml:space="preserve">RG01  </w:t>
      </w:r>
      <w:hyperlink r:id="rId43">
        <w:r>
          <w:rPr>
            <w:color w:val="1B5278"/>
            <w:u w:val="single"/>
            <w:sz w:val="18"/>
          </w:rPr>
          <w:t>GlossGenius Trustpilot user reviews</w:t>
        </w:r>
      </w:hyperlink>
      <w:r>
        <w:rPr>
          <w:sz w:val="17"/>
        </w:rPr>
        <w:br/>
        <w:t>individual experiences 2026-09-15 and 2026-10-23 · Official or review evidence as classified in the relevant chapter</w:t>
      </w:r>
    </w:p>
    <w:p>
      <w:bookmarkStart w:id="46" w:name="src_RG02"/>
      <w:pPr>
        <w:spacing w:after="100" w:line="247" w:lineRule="auto"/>
      </w:pPr>
      <w:bookmarkEnd w:id="46"/>
      <w:r>
        <w:rPr>
          <w:b/>
          <w:sz w:val="18"/>
        </w:rPr>
        <w:t xml:space="preserve">RG02  </w:t>
      </w:r>
      <w:hyperlink r:id="rId44">
        <w:r>
          <w:rPr>
            <w:color w:val="1B5278"/>
            <w:u w:val="single"/>
            <w:sz w:val="18"/>
          </w:rPr>
          <w:t>Vagaro Trustpilot user reviews</w:t>
        </w:r>
      </w:hyperlink>
      <w:r>
        <w:rPr>
          <w:sz w:val="17"/>
        </w:rPr>
        <w:br/>
        <w:t>individual reviews 2026-10-07, 2026-10-13, 2026-10-15; add-on experience 2026-09-19 · Official or review evidence as classified in the relevant chapter</w:t>
      </w:r>
    </w:p>
    <w:p>
      <w:bookmarkStart w:id="47" w:name="src_RG03"/>
      <w:pPr>
        <w:spacing w:after="100" w:line="247" w:lineRule="auto"/>
      </w:pPr>
      <w:bookmarkEnd w:id="47"/>
      <w:r>
        <w:rPr>
          <w:b/>
          <w:sz w:val="18"/>
        </w:rPr>
        <w:t xml:space="preserve">RG03  </w:t>
      </w:r>
      <w:hyperlink r:id="rId45">
        <w:r>
          <w:rPr>
            <w:color w:val="1B5278"/>
            <w:u w:val="single"/>
            <w:sz w:val="18"/>
          </w:rPr>
          <w:t>GlossGenius App Store reviews</w:t>
        </w:r>
      </w:hyperlink>
      <w:r>
        <w:rPr>
          <w:sz w:val="17"/>
        </w:rPr>
        <w:br/>
        <w:t>cited reviews 2023-05-15 and 2024-05-30 · Official or review evidence as classified in the relevant chapter</w:t>
      </w:r>
    </w:p>
    <w:p>
      <w:bookmarkStart w:id="48" w:name="src_RG04"/>
      <w:pPr>
        <w:spacing w:after="100" w:line="247" w:lineRule="auto"/>
      </w:pPr>
      <w:bookmarkEnd w:id="48"/>
      <w:r>
        <w:rPr>
          <w:b/>
          <w:sz w:val="18"/>
        </w:rPr>
        <w:t xml:space="preserve">RG04  </w:t>
      </w:r>
      <w:hyperlink r:id="rId46">
        <w:r>
          <w:rPr>
            <w:color w:val="1B5278"/>
            <w:u w:val="single"/>
            <w:sz w:val="18"/>
          </w:rPr>
          <w:t>Esthetics Reddit: booking system for solo esthetician</w:t>
        </w:r>
      </w:hyperlink>
      <w:r>
        <w:rPr>
          <w:sz w:val="17"/>
        </w:rPr>
        <w:br/>
        <w:t>2025 thread; exact day not established by opened page · Official or review evidence as classified in the relevant chapter</w:t>
      </w:r>
    </w:p>
    <w:p>
      <w:bookmarkStart w:id="49" w:name="src_RG05"/>
      <w:pPr>
        <w:spacing w:after="100" w:line="247" w:lineRule="auto"/>
      </w:pPr>
      <w:bookmarkEnd w:id="49"/>
      <w:r>
        <w:rPr>
          <w:b/>
          <w:sz w:val="18"/>
        </w:rPr>
        <w:t xml:space="preserve">RG05  </w:t>
      </w:r>
      <w:hyperlink r:id="rId47">
        <w:r>
          <w:rPr>
            <w:color w:val="1B5278"/>
            <w:u w:val="single"/>
            <w:sz w:val="18"/>
          </w:rPr>
          <w:t>GlossGenius Capterra reviews</w:t>
        </w:r>
      </w:hyperlink>
      <w:r>
        <w:rPr>
          <w:sz w:val="17"/>
        </w:rPr>
        <w:br/>
        <w:t>review date not established in search extract · Official or review evidence as classified in the relevant chapter</w:t>
      </w:r>
    </w:p>
    <w:p>
      <w:bookmarkStart w:id="50" w:name="src_RG06"/>
      <w:pPr>
        <w:spacing w:after="100" w:line="247" w:lineRule="auto"/>
      </w:pPr>
      <w:bookmarkEnd w:id="50"/>
      <w:r>
        <w:rPr>
          <w:b/>
          <w:sz w:val="18"/>
        </w:rPr>
        <w:t xml:space="preserve">RG06  </w:t>
      </w:r>
      <w:hyperlink r:id="rId48">
        <w:r>
          <w:rPr>
            <w:color w:val="1B5278"/>
            <w:u w:val="single"/>
            <w:sz w:val="18"/>
          </w:rPr>
          <w:t>GlossGenius Capterra page 2</w:t>
        </w:r>
      </w:hyperlink>
      <w:r>
        <w:rPr>
          <w:sz w:val="17"/>
        </w:rPr>
        <w:br/>
        <w:t>review date not established in search extract · Official or review evidence as classified in the relevant chapter</w:t>
      </w:r>
    </w:p>
    <w:p>
      <w:pPr>
        <w:pStyle w:val="Heading2"/>
      </w:pPr>
      <w:r>
        <w:t>Broader competitor sources</w:t>
      </w:r>
    </w:p>
    <w:p>
      <w:bookmarkStart w:id="51" w:name="src_CMP01"/>
      <w:pPr>
        <w:spacing w:after="100" w:line="247" w:lineRule="auto"/>
      </w:pPr>
      <w:bookmarkEnd w:id="51"/>
      <w:r>
        <w:rPr>
          <w:b/>
          <w:sz w:val="18"/>
        </w:rPr>
        <w:t xml:space="preserve">CMP01  </w:t>
      </w:r>
      <w:hyperlink r:id="rId49">
        <w:r>
          <w:rPr>
            <w:color w:val="1B5278"/>
            <w:u w:val="single"/>
            <w:sz w:val="18"/>
          </w:rPr>
          <w:t>Square Appointments pricing and feature comparison</w:t>
        </w:r>
      </w:hyperlink>
      <w:r>
        <w:rPr>
          <w:sz w:val="17"/>
        </w:rPr>
        <w:br/>
        <w:t>Accessed 2026-10-25 · Official or review evidence as classified in the relevant chapter</w:t>
      </w:r>
    </w:p>
    <w:p>
      <w:bookmarkStart w:id="52" w:name="src_CMP02"/>
      <w:pPr>
        <w:spacing w:after="100" w:line="247" w:lineRule="auto"/>
      </w:pPr>
      <w:bookmarkEnd w:id="52"/>
      <w:r>
        <w:rPr>
          <w:b/>
          <w:sz w:val="18"/>
        </w:rPr>
        <w:t xml:space="preserve">CMP02  </w:t>
      </w:r>
      <w:hyperlink r:id="rId50">
        <w:r>
          <w:rPr>
            <w:color w:val="1B5278"/>
            <w:u w:val="single"/>
            <w:sz w:val="18"/>
          </w:rPr>
          <w:t>Square appointments waitlist setup</w:t>
        </w:r>
      </w:hyperlink>
      <w:r>
        <w:rPr>
          <w:sz w:val="17"/>
        </w:rPr>
        <w:br/>
        <w:t>Accessed 2026-10-25 · Official or review evidence as classified in the relevant chapter</w:t>
      </w:r>
    </w:p>
    <w:p>
      <w:bookmarkStart w:id="53" w:name="src_CMP03"/>
      <w:pPr>
        <w:spacing w:after="100" w:line="247" w:lineRule="auto"/>
      </w:pPr>
      <w:bookmarkEnd w:id="53"/>
      <w:r>
        <w:rPr>
          <w:b/>
          <w:sz w:val="18"/>
        </w:rPr>
        <w:t xml:space="preserve">CMP03  </w:t>
      </w:r>
      <w:hyperlink r:id="rId51">
        <w:r>
          <w:rPr>
            <w:color w:val="1B5278"/>
            <w:u w:val="single"/>
            <w:sz w:val="18"/>
          </w:rPr>
          <w:t>Fresha pricing and feature list</w:t>
        </w:r>
      </w:hyperlink>
      <w:r>
        <w:rPr>
          <w:sz w:val="17"/>
        </w:rPr>
        <w:br/>
        <w:t>Accessed 2026-10-25 · Official or review evidence as classified in the relevant chapter</w:t>
      </w:r>
    </w:p>
    <w:p>
      <w:bookmarkStart w:id="54" w:name="src_CMP04"/>
      <w:pPr>
        <w:spacing w:after="100" w:line="247" w:lineRule="auto"/>
      </w:pPr>
      <w:bookmarkEnd w:id="54"/>
      <w:r>
        <w:rPr>
          <w:b/>
          <w:sz w:val="18"/>
        </w:rPr>
        <w:t xml:space="preserve">CMP04  </w:t>
      </w:r>
      <w:hyperlink r:id="rId52">
        <w:r>
          <w:rPr>
            <w:color w:val="1B5278"/>
            <w:u w:val="single"/>
            <w:sz w:val="18"/>
          </w:rPr>
          <w:t>Fresha marketplace new client fee rules</w:t>
        </w:r>
      </w:hyperlink>
      <w:r>
        <w:rPr>
          <w:sz w:val="17"/>
        </w:rPr>
        <w:br/>
        <w:t>Accessed 2026-10-25 · Official or review evidence as classified in the relevant chapter</w:t>
      </w:r>
    </w:p>
    <w:p>
      <w:bookmarkStart w:id="55" w:name="src_CMP05"/>
      <w:pPr>
        <w:spacing w:after="100" w:line="247" w:lineRule="auto"/>
      </w:pPr>
      <w:bookmarkEnd w:id="55"/>
      <w:r>
        <w:rPr>
          <w:b/>
          <w:sz w:val="18"/>
        </w:rPr>
        <w:t xml:space="preserve">CMP05  </w:t>
      </w:r>
      <w:hyperlink r:id="rId53">
        <w:r>
          <w:rPr>
            <w:color w:val="1B5278"/>
            <w:u w:val="single"/>
            <w:sz w:val="18"/>
          </w:rPr>
          <w:t>Booksy features</w:t>
        </w:r>
      </w:hyperlink>
      <w:r>
        <w:rPr>
          <w:sz w:val="17"/>
        </w:rPr>
        <w:br/>
        <w:t>Accessed 2026-10-25 · Official or review evidence as classified in the relevant chapter</w:t>
      </w:r>
    </w:p>
    <w:p>
      <w:bookmarkStart w:id="56" w:name="src_CMP06"/>
      <w:pPr>
        <w:spacing w:after="100" w:line="247" w:lineRule="auto"/>
      </w:pPr>
      <w:bookmarkEnd w:id="56"/>
      <w:r>
        <w:rPr>
          <w:b/>
          <w:sz w:val="18"/>
        </w:rPr>
        <w:t xml:space="preserve">CMP06  </w:t>
      </w:r>
      <w:hyperlink r:id="rId54">
        <w:r>
          <w:rPr>
            <w:color w:val="1B5278"/>
            <w:u w:val="single"/>
            <w:sz w:val="18"/>
          </w:rPr>
          <w:t>Booksy pricing</w:t>
        </w:r>
      </w:hyperlink>
      <w:r>
        <w:rPr>
          <w:sz w:val="17"/>
        </w:rPr>
        <w:br/>
        <w:t>Accessed 2026-10-25 · Official or review evidence as classified in the relevant chapter</w:t>
      </w:r>
    </w:p>
    <w:p>
      <w:bookmarkStart w:id="57" w:name="src_CMP07"/>
      <w:pPr>
        <w:spacing w:after="100" w:line="247" w:lineRule="auto"/>
      </w:pPr>
      <w:bookmarkEnd w:id="57"/>
      <w:r>
        <w:rPr>
          <w:b/>
          <w:sz w:val="18"/>
        </w:rPr>
        <w:t xml:space="preserve">CMP07  </w:t>
      </w:r>
      <w:hyperlink r:id="rId55">
        <w:r>
          <w:rPr>
            <w:color w:val="1B5278"/>
            <w:u w:val="single"/>
            <w:sz w:val="18"/>
          </w:rPr>
          <w:t>Boulevard scheduling</w:t>
        </w:r>
      </w:hyperlink>
      <w:r>
        <w:rPr>
          <w:sz w:val="17"/>
        </w:rPr>
        <w:br/>
        <w:t>Accessed 2026-10-25 · Official or review evidence as classified in the relevant chapter</w:t>
      </w:r>
    </w:p>
    <w:p>
      <w:bookmarkStart w:id="58" w:name="src_CMP08"/>
      <w:pPr>
        <w:spacing w:after="100" w:line="247" w:lineRule="auto"/>
      </w:pPr>
      <w:bookmarkEnd w:id="58"/>
      <w:r>
        <w:rPr>
          <w:b/>
          <w:sz w:val="18"/>
        </w:rPr>
        <w:t xml:space="preserve">CMP08  </w:t>
      </w:r>
      <w:hyperlink r:id="rId56">
        <w:r>
          <w:rPr>
            <w:color w:val="1B5278"/>
            <w:u w:val="single"/>
            <w:sz w:val="18"/>
          </w:rPr>
          <w:t>Boulevard Precision Scheduling help</w:t>
        </w:r>
      </w:hyperlink>
      <w:r>
        <w:rPr>
          <w:sz w:val="17"/>
        </w:rPr>
        <w:br/>
        <w:t>Accessed 2026-10-25 · Official or review evidence as classified in the relevant chapter</w:t>
      </w:r>
    </w:p>
    <w:p>
      <w:bookmarkStart w:id="59" w:name="src_CMP09"/>
      <w:pPr>
        <w:spacing w:after="100" w:line="247" w:lineRule="auto"/>
      </w:pPr>
      <w:bookmarkEnd w:id="59"/>
      <w:r>
        <w:rPr>
          <w:b/>
          <w:sz w:val="18"/>
        </w:rPr>
        <w:t xml:space="preserve">CMP09  </w:t>
      </w:r>
      <w:hyperlink r:id="rId57">
        <w:r>
          <w:rPr>
            <w:color w:val="1B5278"/>
            <w:u w:val="single"/>
            <w:sz w:val="18"/>
          </w:rPr>
          <w:t>Boulevard product features</w:t>
        </w:r>
      </w:hyperlink>
      <w:r>
        <w:rPr>
          <w:sz w:val="17"/>
        </w:rPr>
        <w:br/>
        <w:t>Accessed 2026-10-25 · Official or review evidence as classified in the relevant chapter</w:t>
      </w:r>
    </w:p>
    <w:p>
      <w:bookmarkStart w:id="60" w:name="src_CMP10"/>
      <w:pPr>
        <w:spacing w:after="100" w:line="247" w:lineRule="auto"/>
      </w:pPr>
      <w:bookmarkEnd w:id="60"/>
      <w:r>
        <w:rPr>
          <w:b/>
          <w:sz w:val="18"/>
        </w:rPr>
        <w:t xml:space="preserve">CMP10  </w:t>
      </w:r>
      <w:hyperlink r:id="rId58">
        <w:r>
          <w:rPr>
            <w:color w:val="1B5278"/>
            <w:u w:val="single"/>
            <w:sz w:val="18"/>
          </w:rPr>
          <w:t>Boulevard forms</w:t>
        </w:r>
      </w:hyperlink>
      <w:r>
        <w:rPr>
          <w:sz w:val="17"/>
        </w:rPr>
        <w:br/>
        <w:t>Accessed 2026-10-25 · Official or review evidence as classified in the relevant chapter</w:t>
      </w:r>
    </w:p>
    <w:p>
      <w:bookmarkStart w:id="61" w:name="src_CMP11"/>
      <w:pPr>
        <w:spacing w:after="100" w:line="247" w:lineRule="auto"/>
      </w:pPr>
      <w:bookmarkEnd w:id="61"/>
      <w:r>
        <w:rPr>
          <w:b/>
          <w:sz w:val="18"/>
        </w:rPr>
        <w:t xml:space="preserve">CMP11  </w:t>
      </w:r>
      <w:hyperlink r:id="rId59">
        <w:r>
          <w:rPr>
            <w:color w:val="1B5278"/>
            <w:u w:val="single"/>
            <w:sz w:val="18"/>
          </w:rPr>
          <w:t>Boulevard pricing and add-ons</w:t>
        </w:r>
      </w:hyperlink>
      <w:r>
        <w:rPr>
          <w:sz w:val="17"/>
        </w:rPr>
        <w:br/>
        <w:t>Accessed 2026-10-25 · Official or review evidence as classified in the relevant chapter</w:t>
      </w:r>
    </w:p>
    <w:p>
      <w:bookmarkStart w:id="62" w:name="src_CMP12"/>
      <w:pPr>
        <w:spacing w:after="100" w:line="247" w:lineRule="auto"/>
      </w:pPr>
      <w:bookmarkEnd w:id="62"/>
      <w:r>
        <w:rPr>
          <w:b/>
          <w:sz w:val="18"/>
        </w:rPr>
        <w:t xml:space="preserve">CMP12  </w:t>
      </w:r>
      <w:hyperlink r:id="rId60">
        <w:r>
          <w:rPr>
            <w:color w:val="1B5278"/>
            <w:u w:val="single"/>
            <w:sz w:val="18"/>
          </w:rPr>
          <w:t>Boulevard membership billing</w:t>
        </w:r>
      </w:hyperlink>
      <w:r>
        <w:rPr>
          <w:sz w:val="17"/>
        </w:rPr>
        <w:br/>
        <w:t>Accessed 2026-10-25 · Official or review evidence as classified in the relevant chapter</w:t>
      </w:r>
    </w:p>
    <w:p>
      <w:bookmarkStart w:id="63" w:name="src_CMP13"/>
      <w:pPr>
        <w:spacing w:after="100" w:line="247" w:lineRule="auto"/>
      </w:pPr>
      <w:bookmarkEnd w:id="63"/>
      <w:r>
        <w:rPr>
          <w:b/>
          <w:sz w:val="18"/>
        </w:rPr>
        <w:t xml:space="preserve">CMP13  </w:t>
      </w:r>
      <w:hyperlink r:id="rId61">
        <w:r>
          <w:rPr>
            <w:color w:val="1B5278"/>
            <w:u w:val="single"/>
            <w:sz w:val="18"/>
          </w:rPr>
          <w:t>Mangomint feature and add-on overview</w:t>
        </w:r>
      </w:hyperlink>
      <w:r>
        <w:rPr>
          <w:sz w:val="17"/>
        </w:rPr>
        <w:br/>
        <w:t>Accessed 2026-10-25 · Official or review evidence as classified in the relevant chapter</w:t>
      </w:r>
    </w:p>
    <w:p>
      <w:bookmarkStart w:id="64" w:name="src_CMP14"/>
      <w:pPr>
        <w:spacing w:after="100" w:line="247" w:lineRule="auto"/>
      </w:pPr>
      <w:bookmarkEnd w:id="64"/>
      <w:r>
        <w:rPr>
          <w:b/>
          <w:sz w:val="18"/>
        </w:rPr>
        <w:t xml:space="preserve">CMP14  </w:t>
      </w:r>
      <w:hyperlink r:id="rId62">
        <w:r>
          <w:rPr>
            <w:color w:val="1B5278"/>
            <w:u w:val="single"/>
            <w:sz w:val="18"/>
          </w:rPr>
          <w:t>Mangomint Express Booking</w:t>
        </w:r>
      </w:hyperlink>
      <w:r>
        <w:rPr>
          <w:sz w:val="17"/>
        </w:rPr>
        <w:br/>
        <w:t>Accessed 2026-10-25 · Official or review evidence as classified in the relevant chapter</w:t>
      </w:r>
    </w:p>
    <w:p>
      <w:bookmarkStart w:id="65" w:name="src_CMP15"/>
      <w:pPr>
        <w:spacing w:after="100" w:line="247" w:lineRule="auto"/>
      </w:pPr>
      <w:bookmarkEnd w:id="65"/>
      <w:r>
        <w:rPr>
          <w:b/>
          <w:sz w:val="18"/>
        </w:rPr>
        <w:t xml:space="preserve">CMP15  </w:t>
      </w:r>
      <w:hyperlink r:id="rId63">
        <w:r>
          <w:rPr>
            <w:color w:val="1B5278"/>
            <w:u w:val="single"/>
            <w:sz w:val="18"/>
          </w:rPr>
          <w:t>Mangomint phone and connected communications</w:t>
        </w:r>
      </w:hyperlink>
      <w:r>
        <w:rPr>
          <w:sz w:val="17"/>
        </w:rPr>
        <w:br/>
        <w:t>Accessed 2026-10-25 · Official or review evidence as classified in the relevant chapter</w:t>
      </w:r>
    </w:p>
    <w:p>
      <w:bookmarkStart w:id="66" w:name="src_CMP16"/>
      <w:pPr>
        <w:spacing w:after="100" w:line="247" w:lineRule="auto"/>
      </w:pPr>
      <w:bookmarkEnd w:id="66"/>
      <w:r>
        <w:rPr>
          <w:b/>
          <w:sz w:val="18"/>
        </w:rPr>
        <w:t xml:space="preserve">CMP16  </w:t>
      </w:r>
      <w:hyperlink r:id="rId64">
        <w:r>
          <w:rPr>
            <w:color w:val="1B5278"/>
            <w:u w:val="single"/>
            <w:sz w:val="18"/>
          </w:rPr>
          <w:t>Mangomint flow basics</w:t>
        </w:r>
      </w:hyperlink>
      <w:r>
        <w:rPr>
          <w:sz w:val="17"/>
        </w:rPr>
        <w:br/>
        <w:t>Accessed 2026-10-25 · Official or review evidence as classified in the relevant chapter</w:t>
      </w:r>
    </w:p>
    <w:p>
      <w:bookmarkStart w:id="67" w:name="src_CMP17"/>
      <w:pPr>
        <w:spacing w:after="100" w:line="247" w:lineRule="auto"/>
      </w:pPr>
      <w:bookmarkEnd w:id="67"/>
      <w:r>
        <w:rPr>
          <w:b/>
          <w:sz w:val="18"/>
        </w:rPr>
        <w:t xml:space="preserve">CMP17  </w:t>
      </w:r>
      <w:hyperlink r:id="rId65">
        <w:r>
          <w:rPr>
            <w:color w:val="1B5278"/>
            <w:u w:val="single"/>
            <w:sz w:val="18"/>
          </w:rPr>
          <w:t>Phorest product features</w:t>
        </w:r>
      </w:hyperlink>
      <w:r>
        <w:rPr>
          <w:sz w:val="17"/>
        </w:rPr>
        <w:br/>
        <w:t>Accessed 2026-10-25 · Official or review evidence as classified in the relevant chapter</w:t>
      </w:r>
    </w:p>
    <w:p>
      <w:bookmarkStart w:id="68" w:name="src_CMP18"/>
      <w:pPr>
        <w:spacing w:after="100" w:line="247" w:lineRule="auto"/>
      </w:pPr>
      <w:bookmarkEnd w:id="68"/>
      <w:r>
        <w:rPr>
          <w:b/>
          <w:sz w:val="18"/>
        </w:rPr>
        <w:t xml:space="preserve">CMP18  </w:t>
      </w:r>
      <w:hyperlink r:id="rId66">
        <w:r>
          <w:rPr>
            <w:color w:val="1B5278"/>
            <w:u w:val="single"/>
            <w:sz w:val="18"/>
          </w:rPr>
          <w:t>Phorest stock and inventory</w:t>
        </w:r>
      </w:hyperlink>
      <w:r>
        <w:rPr>
          <w:sz w:val="17"/>
        </w:rPr>
        <w:br/>
        <w:t>Accessed 2026-10-25 · Official or review evidence as classified in the relevant chapter</w:t>
      </w:r>
    </w:p>
    <w:p>
      <w:bookmarkStart w:id="69" w:name="src_CMP19"/>
      <w:pPr>
        <w:spacing w:after="100" w:line="247" w:lineRule="auto"/>
      </w:pPr>
      <w:bookmarkEnd w:id="69"/>
      <w:r>
        <w:rPr>
          <w:b/>
          <w:sz w:val="18"/>
        </w:rPr>
        <w:t xml:space="preserve">CMP19  </w:t>
      </w:r>
      <w:hyperlink r:id="rId67">
        <w:r>
          <w:rPr>
            <w:color w:val="1B5278"/>
            <w:u w:val="single"/>
            <w:sz w:val="18"/>
          </w:rPr>
          <w:t>Mindbody business pricing and capabilities</w:t>
        </w:r>
      </w:hyperlink>
      <w:r>
        <w:rPr>
          <w:sz w:val="17"/>
        </w:rPr>
        <w:br/>
        <w:t>Accessed 2026-10-25 · Official or review evidence as classified in the relevant chapter</w:t>
      </w:r>
    </w:p>
    <w:p>
      <w:bookmarkStart w:id="70" w:name="src_CMP20"/>
      <w:pPr>
        <w:spacing w:after="100" w:line="247" w:lineRule="auto"/>
      </w:pPr>
      <w:bookmarkEnd w:id="70"/>
      <w:r>
        <w:rPr>
          <w:b/>
          <w:sz w:val="18"/>
        </w:rPr>
        <w:t xml:space="preserve">CMP20  </w:t>
      </w:r>
      <w:hyperlink r:id="rId68">
        <w:r>
          <w:rPr>
            <w:color w:val="1B5278"/>
            <w:u w:val="single"/>
            <w:sz w:val="18"/>
          </w:rPr>
          <w:t>Mindbody staff management</w:t>
        </w:r>
      </w:hyperlink>
      <w:r>
        <w:rPr>
          <w:sz w:val="17"/>
        </w:rPr>
        <w:br/>
        <w:t>Accessed 2026-10-25 · Official or review evidence as classified in the relevant chapter</w:t>
      </w:r>
    </w:p>
    <w:p>
      <w:bookmarkStart w:id="71" w:name="src_CMP21"/>
      <w:pPr>
        <w:spacing w:after="100" w:line="247" w:lineRule="auto"/>
      </w:pPr>
      <w:bookmarkEnd w:id="71"/>
      <w:r>
        <w:rPr>
          <w:b/>
          <w:sz w:val="18"/>
        </w:rPr>
        <w:t xml:space="preserve">CMP21  </w:t>
      </w:r>
      <w:hyperlink r:id="rId69">
        <w:r>
          <w:rPr>
            <w:color w:val="1B5278"/>
            <w:u w:val="single"/>
            <w:sz w:val="18"/>
          </w:rPr>
          <w:t>Zenoti pricing and package scope</w:t>
        </w:r>
      </w:hyperlink>
      <w:r>
        <w:rPr>
          <w:sz w:val="17"/>
        </w:rPr>
        <w:br/>
        <w:t>Accessed 2026-10-25 · Official or review evidence as classified in the relevant chapter</w:t>
      </w:r>
    </w:p>
    <w:p>
      <w:bookmarkStart w:id="72" w:name="src_CMP22"/>
      <w:pPr>
        <w:spacing w:after="100" w:line="247" w:lineRule="auto"/>
      </w:pPr>
      <w:bookmarkEnd w:id="72"/>
      <w:r>
        <w:rPr>
          <w:b/>
          <w:sz w:val="18"/>
        </w:rPr>
        <w:t xml:space="preserve">CMP22  </w:t>
      </w:r>
      <w:hyperlink r:id="rId70">
        <w:r>
          <w:rPr>
            <w:color w:val="1B5278"/>
            <w:u w:val="single"/>
            <w:sz w:val="18"/>
          </w:rPr>
          <w:t>Zenoti medical spa features</w:t>
        </w:r>
      </w:hyperlink>
      <w:r>
        <w:rPr>
          <w:sz w:val="17"/>
        </w:rPr>
        <w:br/>
        <w:t>Accessed 2026-10-25 · Official or review evidence as classified in the relevant chapter</w:t>
      </w:r>
    </w:p>
    <w:p>
      <w:bookmarkStart w:id="73" w:name="src_CMP23"/>
      <w:pPr>
        <w:spacing w:after="100" w:line="247" w:lineRule="auto"/>
      </w:pPr>
      <w:bookmarkEnd w:id="73"/>
      <w:r>
        <w:rPr>
          <w:b/>
          <w:sz w:val="18"/>
        </w:rPr>
        <w:t xml:space="preserve">CMP23  </w:t>
      </w:r>
      <w:hyperlink r:id="rId71">
        <w:r>
          <w:rPr>
            <w:color w:val="1B5278"/>
            <w:u w:val="single"/>
            <w:sz w:val="18"/>
          </w:rPr>
          <w:t>Pabau all features</w:t>
        </w:r>
      </w:hyperlink>
      <w:r>
        <w:rPr>
          <w:sz w:val="17"/>
        </w:rPr>
        <w:br/>
        <w:t>Accessed 2026-10-25 · Official or review evidence as classified in the relevant chapter</w:t>
      </w:r>
    </w:p>
    <w:p>
      <w:bookmarkStart w:id="74" w:name="src_CMP24"/>
      <w:pPr>
        <w:spacing w:after="100" w:line="247" w:lineRule="auto"/>
      </w:pPr>
      <w:bookmarkEnd w:id="74"/>
      <w:r>
        <w:rPr>
          <w:b/>
          <w:sz w:val="18"/>
        </w:rPr>
        <w:t xml:space="preserve">CMP24  </w:t>
      </w:r>
      <w:hyperlink r:id="rId72">
        <w:r>
          <w:rPr>
            <w:color w:val="1B5278"/>
            <w:u w:val="single"/>
            <w:sz w:val="18"/>
          </w:rPr>
          <w:t>Pabau new client portal overview</w:t>
        </w:r>
      </w:hyperlink>
      <w:r>
        <w:rPr>
          <w:sz w:val="17"/>
        </w:rPr>
        <w:br/>
        <w:t>Accessed 2026-10-25 · Official or review evidence as classified in the relevant chapter</w:t>
      </w:r>
    </w:p>
    <w:p>
      <w:bookmarkStart w:id="75" w:name="src_CMP25"/>
      <w:pPr>
        <w:spacing w:after="100" w:line="247" w:lineRule="auto"/>
      </w:pPr>
      <w:bookmarkEnd w:id="75"/>
      <w:r>
        <w:rPr>
          <w:b/>
          <w:sz w:val="18"/>
        </w:rPr>
        <w:t xml:space="preserve">CMP25  </w:t>
      </w:r>
      <w:hyperlink r:id="rId73">
        <w:r>
          <w:rPr>
            <w:color w:val="1B5278"/>
            <w:u w:val="single"/>
            <w:sz w:val="18"/>
          </w:rPr>
          <w:t>Aesthetic Record complete EMR</w:t>
        </w:r>
      </w:hyperlink>
      <w:r>
        <w:rPr>
          <w:sz w:val="17"/>
        </w:rPr>
        <w:br/>
        <w:t>Accessed 2026-10-25 · Official or review evidence as classified in the relevant chapter</w:t>
      </w:r>
    </w:p>
    <w:p>
      <w:bookmarkStart w:id="76" w:name="src_CMP26"/>
      <w:pPr>
        <w:spacing w:after="100" w:line="247" w:lineRule="auto"/>
      </w:pPr>
      <w:bookmarkEnd w:id="76"/>
      <w:r>
        <w:rPr>
          <w:b/>
          <w:sz w:val="18"/>
        </w:rPr>
        <w:t xml:space="preserve">CMP26  </w:t>
      </w:r>
      <w:hyperlink r:id="rId74">
        <w:r>
          <w:rPr>
            <w:color w:val="1B5278"/>
            <w:u w:val="single"/>
            <w:sz w:val="18"/>
          </w:rPr>
          <w:t>Aesthetic Record consent forms</w:t>
        </w:r>
      </w:hyperlink>
      <w:r>
        <w:rPr>
          <w:sz w:val="17"/>
        </w:rPr>
        <w:br/>
        <w:t>Accessed 2026-10-25 · Official or review evidence as classified in the relevant chapter</w:t>
      </w:r>
    </w:p>
    <w:p>
      <w:bookmarkStart w:id="77" w:name="src_CMP27"/>
      <w:pPr>
        <w:spacing w:after="100" w:line="247" w:lineRule="auto"/>
      </w:pPr>
      <w:bookmarkEnd w:id="77"/>
      <w:r>
        <w:rPr>
          <w:b/>
          <w:sz w:val="18"/>
        </w:rPr>
        <w:t xml:space="preserve">CMP27  </w:t>
      </w:r>
      <w:hyperlink r:id="rId75">
        <w:r>
          <w:rPr>
            <w:color w:val="1B5278"/>
            <w:u w:val="single"/>
            <w:sz w:val="18"/>
          </w:rPr>
          <w:t>Aesthetic Record inventory reports</w:t>
        </w:r>
      </w:hyperlink>
      <w:r>
        <w:rPr>
          <w:sz w:val="17"/>
        </w:rPr>
        <w:br/>
        <w:t>Accessed 2026-10-25 · Official or review evidence as classified in the relevant chapter</w:t>
      </w:r>
    </w:p>
    <w:p>
      <w:bookmarkStart w:id="78" w:name="src_CMP28"/>
      <w:pPr>
        <w:spacing w:after="100" w:line="247" w:lineRule="auto"/>
      </w:pPr>
      <w:bookmarkEnd w:id="78"/>
      <w:r>
        <w:rPr>
          <w:b/>
          <w:sz w:val="18"/>
        </w:rPr>
        <w:t xml:space="preserve">CMP28  </w:t>
      </w:r>
      <w:hyperlink r:id="rId76">
        <w:r>
          <w:rPr>
            <w:color w:val="1B5278"/>
            <w:u w:val="single"/>
            <w:sz w:val="18"/>
          </w:rPr>
          <w:t>Aesthetic Record business insights</w:t>
        </w:r>
      </w:hyperlink>
      <w:r>
        <w:rPr>
          <w:sz w:val="17"/>
        </w:rPr>
        <w:br/>
        <w:t>Accessed 2026-10-25 · Official or review evidence as classified in the relevant chapter</w:t>
      </w:r>
    </w:p>
    <w:p>
      <w:bookmarkStart w:id="79" w:name="src_CMP29"/>
      <w:pPr>
        <w:spacing w:after="100" w:line="247" w:lineRule="auto"/>
      </w:pPr>
      <w:bookmarkEnd w:id="79"/>
      <w:r>
        <w:rPr>
          <w:b/>
          <w:sz w:val="18"/>
        </w:rPr>
        <w:t xml:space="preserve">CMP29  </w:t>
      </w:r>
      <w:hyperlink r:id="rId77">
        <w:r>
          <w:rPr>
            <w:color w:val="1B5278"/>
            <w:u w:val="single"/>
            <w:sz w:val="18"/>
          </w:rPr>
          <w:t>Acuity plans and features</w:t>
        </w:r>
      </w:hyperlink>
      <w:r>
        <w:rPr>
          <w:sz w:val="17"/>
        </w:rPr>
        <w:br/>
        <w:t>Accessed 2026-10-25 · Official or review evidence as classified in the relevant chapter</w:t>
      </w:r>
    </w:p>
    <w:p>
      <w:bookmarkStart w:id="80" w:name="src_CMP30"/>
      <w:pPr>
        <w:spacing w:after="100" w:line="247" w:lineRule="auto"/>
      </w:pPr>
      <w:bookmarkEnd w:id="80"/>
      <w:r>
        <w:rPr>
          <w:b/>
          <w:sz w:val="18"/>
        </w:rPr>
        <w:t xml:space="preserve">CMP30  </w:t>
      </w:r>
      <w:hyperlink r:id="rId78">
        <w:r>
          <w:rPr>
            <w:color w:val="1B5278"/>
            <w:u w:val="single"/>
            <w:sz w:val="18"/>
          </w:rPr>
          <w:t>Acuity custom intake forms</w:t>
        </w:r>
      </w:hyperlink>
      <w:r>
        <w:rPr>
          <w:sz w:val="17"/>
        </w:rPr>
        <w:br/>
        <w:t>Accessed 2026-10-25 · Official or review evidence as classified in the relevant chapter</w:t>
      </w:r>
    </w:p>
    <w:p>
      <w:bookmarkStart w:id="81" w:name="src_CMP31"/>
      <w:pPr>
        <w:spacing w:after="100" w:line="247" w:lineRule="auto"/>
      </w:pPr>
      <w:bookmarkEnd w:id="81"/>
      <w:r>
        <w:rPr>
          <w:b/>
          <w:sz w:val="18"/>
        </w:rPr>
        <w:t xml:space="preserve">CMP31  </w:t>
      </w:r>
      <w:hyperlink r:id="rId79">
        <w:r>
          <w:rPr>
            <w:color w:val="1B5278"/>
            <w:u w:val="single"/>
            <w:sz w:val="18"/>
          </w:rPr>
          <w:t>Acuity packages, gifts and subscriptions</w:t>
        </w:r>
      </w:hyperlink>
      <w:r>
        <w:rPr>
          <w:sz w:val="17"/>
        </w:rPr>
        <w:br/>
        <w:t>Accessed 2026-10-25 · Official or review evidence as classified in the relevant chapter</w:t>
      </w:r>
    </w:p>
    <w:p>
      <w:bookmarkStart w:id="82" w:name="src_CMP32"/>
      <w:pPr>
        <w:spacing w:after="100" w:line="247" w:lineRule="auto"/>
      </w:pPr>
      <w:bookmarkEnd w:id="82"/>
      <w:r>
        <w:rPr>
          <w:b/>
          <w:sz w:val="18"/>
        </w:rPr>
        <w:t xml:space="preserve">CMP32  </w:t>
      </w:r>
      <w:hyperlink r:id="rId80">
        <w:r>
          <w:rPr>
            <w:color w:val="1B5278"/>
            <w:u w:val="single"/>
            <w:sz w:val="18"/>
          </w:rPr>
          <w:t>StyleSeat current join/features page</w:t>
        </w:r>
      </w:hyperlink>
      <w:r>
        <w:rPr>
          <w:sz w:val="17"/>
        </w:rPr>
        <w:br/>
        <w:t>Accessed 2026-10-25 · Official or review evidence as classified in the relevant chapter</w:t>
      </w:r>
    </w:p>
    <w:p>
      <w:bookmarkStart w:id="83" w:name="src_CMP33"/>
      <w:pPr>
        <w:spacing w:after="100" w:line="247" w:lineRule="auto"/>
      </w:pPr>
      <w:bookmarkEnd w:id="83"/>
      <w:r>
        <w:rPr>
          <w:b/>
          <w:sz w:val="18"/>
        </w:rPr>
        <w:t xml:space="preserve">CMP33  </w:t>
      </w:r>
      <w:hyperlink r:id="rId81">
        <w:r>
          <w:rPr>
            <w:color w:val="1B5278"/>
            <w:u w:val="single"/>
            <w:sz w:val="18"/>
          </w:rPr>
          <w:t>StyleSeat pricing explanation</w:t>
        </w:r>
      </w:hyperlink>
      <w:r>
        <w:rPr>
          <w:sz w:val="17"/>
        </w:rPr>
        <w:br/>
        <w:t>Accessed 2026-10-25 · Official or review evidence as classified in the relevant chapter</w:t>
      </w:r>
    </w:p>
    <w:p>
      <w:bookmarkStart w:id="84" w:name="src_CMP34"/>
      <w:pPr>
        <w:spacing w:after="100" w:line="247" w:lineRule="auto"/>
      </w:pPr>
      <w:bookmarkEnd w:id="84"/>
      <w:r>
        <w:rPr>
          <w:b/>
          <w:sz w:val="18"/>
        </w:rPr>
        <w:t xml:space="preserve">CMP34  </w:t>
      </w:r>
      <w:hyperlink r:id="rId82">
        <w:r>
          <w:rPr>
            <w:color w:val="1B5278"/>
            <w:u w:val="single"/>
            <w:sz w:val="18"/>
          </w:rPr>
          <w:t>Vagaro announces Schedulicity acquisition</w:t>
        </w:r>
      </w:hyperlink>
      <w:r>
        <w:rPr>
          <w:sz w:val="17"/>
        </w:rPr>
        <w:br/>
        <w:t>Accessed 2026-10-25 · Official or review evidence as classified in the relevant chapter</w:t>
      </w:r>
    </w:p>
    <w:p>
      <w:bookmarkStart w:id="85" w:name="src_CMP35"/>
      <w:pPr>
        <w:spacing w:after="100" w:line="247" w:lineRule="auto"/>
      </w:pPr>
      <w:bookmarkEnd w:id="85"/>
      <w:r>
        <w:rPr>
          <w:b/>
          <w:sz w:val="18"/>
        </w:rPr>
        <w:t xml:space="preserve">CMP35  </w:t>
      </w:r>
      <w:hyperlink r:id="rId83">
        <w:r>
          <w:rPr>
            <w:color w:val="1B5278"/>
            <w:u w:val="single"/>
            <w:sz w:val="18"/>
          </w:rPr>
          <w:t>Schedulicity transition to Vagaro</w:t>
        </w:r>
      </w:hyperlink>
      <w:r>
        <w:rPr>
          <w:sz w:val="17"/>
        </w:rPr>
        <w:br/>
        <w:t>Accessed 2026-10-25 · Official or review evidence as classified in the relevant chapter</w:t>
      </w:r>
    </w:p>
    <w:p>
      <w:bookmarkStart w:id="86" w:name="src_CRS01"/>
      <w:pPr>
        <w:spacing w:after="100" w:line="247" w:lineRule="auto"/>
      </w:pPr>
      <w:bookmarkEnd w:id="86"/>
      <w:r>
        <w:rPr>
          <w:b/>
          <w:sz w:val="18"/>
        </w:rPr>
        <w:t xml:space="preserve">CRS01  </w:t>
      </w:r>
      <w:hyperlink r:id="rId84">
        <w:r>
          <w:rPr>
            <w:color w:val="1B5278"/>
            <w:u w:val="single"/>
            <w:sz w:val="18"/>
          </w:rPr>
          <w:t>Square plan-transition user report</w:t>
        </w:r>
      </w:hyperlink>
      <w:r>
        <w:rPr>
          <w:sz w:val="17"/>
        </w:rPr>
        <w:br/>
        <w:t>Accessed 2026-10-25 · Official or review evidence as classified in the relevant chapter</w:t>
      </w:r>
    </w:p>
    <w:p>
      <w:bookmarkStart w:id="87" w:name="src_CRS02"/>
      <w:pPr>
        <w:spacing w:after="100" w:line="247" w:lineRule="auto"/>
      </w:pPr>
      <w:bookmarkEnd w:id="87"/>
      <w:r>
        <w:rPr>
          <w:b/>
          <w:sz w:val="18"/>
        </w:rPr>
        <w:t xml:space="preserve">CRS02  </w:t>
      </w:r>
      <w:hyperlink r:id="rId85">
        <w:r>
          <w:rPr>
            <w:color w:val="1B5278"/>
            <w:u w:val="single"/>
            <w:sz w:val="18"/>
          </w:rPr>
          <w:t>Booksy Trustpilot page 3</w:t>
        </w:r>
      </w:hyperlink>
      <w:r>
        <w:rPr>
          <w:sz w:val="17"/>
        </w:rPr>
        <w:br/>
        <w:t>Accessed 2026-10-25 · Official or review evidence as classified in the relevant chapter</w:t>
      </w:r>
    </w:p>
    <w:p>
      <w:bookmarkStart w:id="88" w:name="src_CRS03"/>
      <w:pPr>
        <w:spacing w:after="100" w:line="247" w:lineRule="auto"/>
      </w:pPr>
      <w:bookmarkEnd w:id="88"/>
      <w:r>
        <w:rPr>
          <w:b/>
          <w:sz w:val="18"/>
        </w:rPr>
        <w:t xml:space="preserve">CRS03  </w:t>
      </w:r>
      <w:hyperlink r:id="rId86">
        <w:r>
          <w:rPr>
            <w:color w:val="1B5278"/>
            <w:u w:val="single"/>
            <w:sz w:val="18"/>
          </w:rPr>
          <w:t>Boulevard Trustpilot reviews</w:t>
        </w:r>
      </w:hyperlink>
      <w:r>
        <w:rPr>
          <w:sz w:val="17"/>
        </w:rPr>
        <w:br/>
        <w:t>Accessed 2026-10-25 · Official or review evidence as classified in the relevant chapter</w:t>
      </w:r>
    </w:p>
    <w:p>
      <w:bookmarkStart w:id="89" w:name="src_CRS04"/>
      <w:pPr>
        <w:spacing w:after="100" w:line="247" w:lineRule="auto"/>
      </w:pPr>
      <w:bookmarkEnd w:id="89"/>
      <w:r>
        <w:rPr>
          <w:b/>
          <w:sz w:val="18"/>
        </w:rPr>
        <w:t xml:space="preserve">CRS04  </w:t>
      </w:r>
      <w:hyperlink r:id="rId87">
        <w:r>
          <w:rPr>
            <w:color w:val="1B5278"/>
            <w:u w:val="single"/>
            <w:sz w:val="18"/>
          </w:rPr>
          <w:t>Mangomint Trustpilot reviews</w:t>
        </w:r>
      </w:hyperlink>
      <w:r>
        <w:rPr>
          <w:sz w:val="17"/>
        </w:rPr>
        <w:br/>
        <w:t>Accessed 2026-10-25 · Official or review evidence as classified in the relevant chapter</w:t>
      </w:r>
    </w:p>
    <w:p>
      <w:bookmarkStart w:id="90" w:name="src_CRS05"/>
      <w:pPr>
        <w:spacing w:after="100" w:line="247" w:lineRule="auto"/>
      </w:pPr>
      <w:bookmarkEnd w:id="90"/>
      <w:r>
        <w:rPr>
          <w:b/>
          <w:sz w:val="18"/>
        </w:rPr>
        <w:t xml:space="preserve">CRS05  </w:t>
      </w:r>
      <w:hyperlink r:id="rId88">
        <w:r>
          <w:rPr>
            <w:color w:val="1B5278"/>
            <w:u w:val="single"/>
            <w:sz w:val="18"/>
          </w:rPr>
          <w:t>Course-based studio Mindbody experience</w:t>
        </w:r>
      </w:hyperlink>
      <w:r>
        <w:rPr>
          <w:sz w:val="17"/>
        </w:rPr>
        <w:br/>
        <w:t>Accessed 2026-10-25 · Official or review evidence as classified in the relevant chapter</w:t>
      </w:r>
    </w:p>
    <w:p>
      <w:bookmarkStart w:id="91" w:name="src_CRS06"/>
      <w:pPr>
        <w:spacing w:after="100" w:line="247" w:lineRule="auto"/>
      </w:pPr>
      <w:bookmarkEnd w:id="91"/>
      <w:r>
        <w:rPr>
          <w:b/>
          <w:sz w:val="18"/>
        </w:rPr>
        <w:t xml:space="preserve">CRS06  </w:t>
      </w:r>
      <w:hyperlink r:id="rId89">
        <w:r>
          <w:rPr>
            <w:color w:val="1B5278"/>
            <w:u w:val="single"/>
            <w:sz w:val="18"/>
          </w:rPr>
          <w:t>Zenoti Trustpilot reviews</w:t>
        </w:r>
      </w:hyperlink>
      <w:r>
        <w:rPr>
          <w:sz w:val="17"/>
        </w:rPr>
        <w:br/>
        <w:t>Accessed 2026-10-25 · Official or review evidence as classified in the relevant chapter</w:t>
      </w:r>
    </w:p>
    <w:p>
      <w:bookmarkStart w:id="92" w:name="src_CRS07"/>
      <w:pPr>
        <w:spacing w:after="100" w:line="247" w:lineRule="auto"/>
      </w:pPr>
      <w:bookmarkEnd w:id="92"/>
      <w:r>
        <w:rPr>
          <w:b/>
          <w:sz w:val="18"/>
        </w:rPr>
        <w:t xml:space="preserve">CRS07  </w:t>
      </w:r>
      <w:hyperlink r:id="rId90">
        <w:r>
          <w:rPr>
            <w:color w:val="1B5278"/>
            <w:u w:val="single"/>
            <w:sz w:val="18"/>
          </w:rPr>
          <w:t>Fresha Trustpilot page 9</w:t>
        </w:r>
      </w:hyperlink>
      <w:r>
        <w:rPr>
          <w:sz w:val="17"/>
        </w:rPr>
        <w:br/>
        <w:t>Accessed 2026-10-25 · Official or review evidence as classified in the relevant chapter</w:t>
      </w:r>
    </w:p>
    <w:p>
      <w:bookmarkStart w:id="93" w:name="src_CRS08"/>
      <w:pPr>
        <w:spacing w:after="100" w:line="247" w:lineRule="auto"/>
      </w:pPr>
      <w:bookmarkEnd w:id="93"/>
      <w:r>
        <w:rPr>
          <w:b/>
          <w:sz w:val="18"/>
        </w:rPr>
        <w:t xml:space="preserve">CRS08  </w:t>
      </w:r>
      <w:hyperlink r:id="rId91">
        <w:r>
          <w:rPr>
            <w:color w:val="1B5278"/>
            <w:u w:val="single"/>
            <w:sz w:val="18"/>
          </w:rPr>
          <w:t>WIRED hands-on Acuity review</w:t>
        </w:r>
      </w:hyperlink>
      <w:r>
        <w:rPr>
          <w:sz w:val="17"/>
        </w:rPr>
        <w:br/>
        <w:t>Accessed 2026-10-25 · Official or review evidence as classified in the relevant chapter</w:t>
      </w:r>
    </w:p>
    <w:p>
      <w:pPr>
        <w:pStyle w:val="Heading2"/>
      </w:pPr>
      <w:r>
        <w:t>Cross industry sources</w:t>
      </w:r>
    </w:p>
    <w:p>
      <w:bookmarkStart w:id="94" w:name="src_X01"/>
      <w:pPr>
        <w:spacing w:after="100" w:line="247" w:lineRule="auto"/>
      </w:pPr>
      <w:bookmarkEnd w:id="94"/>
      <w:r>
        <w:rPr>
          <w:b/>
          <w:sz w:val="18"/>
        </w:rPr>
        <w:t xml:space="preserve">X01  </w:t>
      </w:r>
      <w:hyperlink r:id="rId92">
        <w:r>
          <w:rPr>
            <w:color w:val="1B5278"/>
            <w:u w:val="single"/>
            <w:sz w:val="18"/>
          </w:rPr>
          <w:t>Commonly combined steps in smart files</w:t>
        </w:r>
      </w:hyperlink>
      <w:r>
        <w:rPr>
          <w:sz w:val="17"/>
        </w:rPr>
        <w:br/>
        <w:t>Updated over a week ago when retrieved · Official capability documentation</w:t>
      </w:r>
    </w:p>
    <w:p>
      <w:bookmarkStart w:id="95" w:name="src_X02"/>
      <w:pPr>
        <w:spacing w:after="100" w:line="247" w:lineRule="auto"/>
      </w:pPr>
      <w:bookmarkEnd w:id="95"/>
      <w:r>
        <w:rPr>
          <w:b/>
          <w:sz w:val="18"/>
        </w:rPr>
        <w:t xml:space="preserve">X02  </w:t>
      </w:r>
      <w:hyperlink r:id="rId93">
        <w:r>
          <w:rPr>
            <w:color w:val="1B5278"/>
            <w:u w:val="single"/>
            <w:sz w:val="18"/>
          </w:rPr>
          <w:t>HoneyBook CRM homepage</w:t>
        </w:r>
      </w:hyperlink>
      <w:r>
        <w:rPr>
          <w:sz w:val="17"/>
        </w:rPr>
        <w:br/>
        <w:t>Undated current page · Vendor adoption claim</w:t>
      </w:r>
    </w:p>
    <w:p>
      <w:bookmarkStart w:id="96" w:name="src_X03"/>
      <w:pPr>
        <w:spacing w:after="100" w:line="247" w:lineRule="auto"/>
      </w:pPr>
      <w:bookmarkEnd w:id="96"/>
      <w:r>
        <w:rPr>
          <w:b/>
          <w:sz w:val="18"/>
        </w:rPr>
        <w:t xml:space="preserve">X03  </w:t>
      </w:r>
      <w:hyperlink r:id="rId94">
        <w:r>
          <w:rPr>
            <w:color w:val="1B5278"/>
            <w:u w:val="single"/>
            <w:sz w:val="18"/>
          </w:rPr>
          <w:t>Client Hub</w:t>
        </w:r>
      </w:hyperlink>
      <w:r>
        <w:rPr>
          <w:sz w:val="17"/>
        </w:rPr>
        <w:br/>
        <w:t>Undated current page · Official capability documentation and vendor adoption claim</w:t>
      </w:r>
    </w:p>
    <w:p>
      <w:bookmarkStart w:id="97" w:name="src_X04"/>
      <w:pPr>
        <w:spacing w:after="100" w:line="247" w:lineRule="auto"/>
      </w:pPr>
      <w:bookmarkEnd w:id="97"/>
      <w:r>
        <w:rPr>
          <w:b/>
          <w:sz w:val="18"/>
        </w:rPr>
        <w:t xml:space="preserve">X04  </w:t>
      </w:r>
      <w:hyperlink r:id="rId95">
        <w:r>
          <w:rPr>
            <w:color w:val="1B5278"/>
            <w:u w:val="single"/>
            <w:sz w:val="18"/>
          </w:rPr>
          <w:t>Quote Approvals</w:t>
        </w:r>
      </w:hyperlink>
      <w:r>
        <w:rPr>
          <w:sz w:val="17"/>
        </w:rPr>
        <w:br/>
        <w:t>2026-08-11 in search result · Official capability documentation</w:t>
      </w:r>
    </w:p>
    <w:p>
      <w:bookmarkStart w:id="98" w:name="src_X05"/>
      <w:pPr>
        <w:spacing w:after="100" w:line="247" w:lineRule="auto"/>
      </w:pPr>
      <w:bookmarkEnd w:id="98"/>
      <w:r>
        <w:rPr>
          <w:b/>
          <w:sz w:val="18"/>
        </w:rPr>
        <w:t xml:space="preserve">X05  </w:t>
      </w:r>
      <w:hyperlink r:id="rId96">
        <w:r>
          <w:rPr>
            <w:color w:val="1B5278"/>
            <w:u w:val="single"/>
            <w:sz w:val="18"/>
          </w:rPr>
          <w:t>Shop Pay Is the Best-Converting Accelerated Checkout on the Internet</w:t>
        </w:r>
      </w:hyperlink>
      <w:r>
        <w:rPr>
          <w:sz w:val="17"/>
        </w:rPr>
        <w:br/>
        <w:t>2023-07-26 · Vendor report of external study</w:t>
      </w:r>
    </w:p>
    <w:p>
      <w:bookmarkStart w:id="99" w:name="src_X06"/>
      <w:pPr>
        <w:spacing w:after="100" w:line="247" w:lineRule="auto"/>
      </w:pPr>
      <w:bookmarkEnd w:id="99"/>
      <w:r>
        <w:rPr>
          <w:b/>
          <w:sz w:val="18"/>
        </w:rPr>
        <w:t xml:space="preserve">X06  </w:t>
      </w:r>
      <w:hyperlink r:id="rId97">
        <w:r>
          <w:rPr>
            <w:color w:val="1B5278"/>
            <w:u w:val="single"/>
            <w:sz w:val="18"/>
          </w:rPr>
          <w:t>Meet your 2025 Design DNA</w:t>
        </w:r>
      </w:hyperlink>
      <w:r>
        <w:rPr>
          <w:sz w:val="17"/>
        </w:rPr>
        <w:br/>
        <w:t>2025-12-10 in search result · Vendor-reported feature usage</w:t>
      </w:r>
    </w:p>
    <w:p>
      <w:bookmarkStart w:id="100" w:name="src_X07"/>
      <w:pPr>
        <w:spacing w:after="100" w:line="247" w:lineRule="auto"/>
      </w:pPr>
      <w:bookmarkEnd w:id="100"/>
      <w:r>
        <w:rPr>
          <w:b/>
          <w:sz w:val="18"/>
        </w:rPr>
        <w:t xml:space="preserve">X07  </w:t>
      </w:r>
      <w:hyperlink r:id="rId98">
        <w:r>
          <w:rPr>
            <w:color w:val="1B5278"/>
            <w:u w:val="single"/>
            <w:sz w:val="18"/>
          </w:rPr>
          <w:t>Canva Create 2024: Introducing a whole new Canva</w:t>
        </w:r>
      </w:hyperlink>
      <w:r>
        <w:rPr>
          <w:sz w:val="17"/>
        </w:rPr>
        <w:br/>
        <w:t>2024-05-23 · Official capability documentation</w:t>
      </w:r>
    </w:p>
    <w:p>
      <w:bookmarkStart w:id="101" w:name="src_X08"/>
      <w:pPr>
        <w:spacing w:after="100" w:line="247" w:lineRule="auto"/>
      </w:pPr>
      <w:bookmarkEnd w:id="101"/>
      <w:r>
        <w:rPr>
          <w:b/>
          <w:sz w:val="18"/>
        </w:rPr>
        <w:t xml:space="preserve">X08  </w:t>
      </w:r>
      <w:hyperlink r:id="rId99">
        <w:r>
          <w:rPr>
            <w:color w:val="1B5278"/>
            <w:u w:val="single"/>
            <w:sz w:val="18"/>
          </w:rPr>
          <w:t>xtraCHEF: Get Started With Recipes</w:t>
        </w:r>
      </w:hyperlink>
      <w:r>
        <w:rPr>
          <w:sz w:val="17"/>
        </w:rPr>
        <w:br/>
        <w:t>2026-04-08 · Official capability documentation</w:t>
      </w:r>
    </w:p>
    <w:p>
      <w:bookmarkStart w:id="102" w:name="src_X09"/>
      <w:pPr>
        <w:spacing w:after="100" w:line="247" w:lineRule="auto"/>
      </w:pPr>
      <w:bookmarkEnd w:id="102"/>
      <w:r>
        <w:rPr>
          <w:b/>
          <w:sz w:val="18"/>
        </w:rPr>
        <w:t xml:space="preserve">X09  </w:t>
      </w:r>
      <w:hyperlink r:id="rId100">
        <w:r>
          <w:rPr>
            <w:color w:val="1B5278"/>
            <w:u w:val="single"/>
            <w:sz w:val="18"/>
          </w:rPr>
          <w:t>Find the reservation you want with OpenTable's Notify Me feature</w:t>
        </w:r>
      </w:hyperlink>
      <w:r>
        <w:rPr>
          <w:sz w:val="17"/>
        </w:rPr>
        <w:br/>
        <w:t>2020-06-25 · Official feature explanation</w:t>
      </w:r>
    </w:p>
    <w:p>
      <w:bookmarkStart w:id="103" w:name="src_X10"/>
      <w:pPr>
        <w:spacing w:after="100" w:line="247" w:lineRule="auto"/>
      </w:pPr>
      <w:bookmarkEnd w:id="103"/>
      <w:r>
        <w:rPr>
          <w:b/>
          <w:sz w:val="18"/>
        </w:rPr>
        <w:t xml:space="preserve">X10  </w:t>
      </w:r>
      <w:hyperlink r:id="rId101">
        <w:r>
          <w:rPr>
            <w:color w:val="1B5278"/>
            <w:u w:val="single"/>
            <w:sz w:val="18"/>
          </w:rPr>
          <w:t>October 2023 feature drop</w:t>
        </w:r>
      </w:hyperlink>
      <w:r>
        <w:rPr>
          <w:sz w:val="17"/>
        </w:rPr>
        <w:br/>
        <w:t>2023-10 · Official capability documentation</w:t>
      </w:r>
    </w:p>
    <w:p>
      <w:bookmarkStart w:id="104" w:name="src_X11"/>
      <w:pPr>
        <w:spacing w:after="100" w:line="247" w:lineRule="auto"/>
      </w:pPr>
      <w:bookmarkEnd w:id="104"/>
      <w:r>
        <w:rPr>
          <w:b/>
          <w:sz w:val="18"/>
        </w:rPr>
        <w:t xml:space="preserve">X11  </w:t>
      </w:r>
      <w:hyperlink r:id="rId102">
        <w:r>
          <w:rPr>
            <w:color w:val="1B5278"/>
            <w:u w:val="single"/>
            <w:sz w:val="18"/>
          </w:rPr>
          <w:t>Improving the streak: Forming habits one lesson at a time</w:t>
        </w:r>
      </w:hyperlink>
      <w:r>
        <w:rPr>
          <w:sz w:val="17"/>
        </w:rPr>
        <w:br/>
        <w:t>2020-11-19 · Company-reported controlled product experiment</w:t>
      </w:r>
    </w:p>
    <w:p>
      <w:bookmarkStart w:id="105" w:name="src_X12"/>
      <w:pPr>
        <w:spacing w:after="100" w:line="247" w:lineRule="auto"/>
      </w:pPr>
      <w:bookmarkEnd w:id="105"/>
      <w:r>
        <w:rPr>
          <w:b/>
          <w:sz w:val="18"/>
        </w:rPr>
        <w:t xml:space="preserve">X12  </w:t>
      </w:r>
      <w:hyperlink r:id="rId103">
        <w:r>
          <w:rPr>
            <w:color w:val="1B5278"/>
            <w:u w:val="single"/>
            <w:sz w:val="18"/>
          </w:rPr>
          <w:t>How to Use the Oura App</w:t>
        </w:r>
      </w:hyperlink>
      <w:r>
        <w:rPr>
          <w:sz w:val="17"/>
        </w:rPr>
        <w:br/>
        <w:t>2026-10-07 in search result · Official capability documentation</w:t>
      </w:r>
    </w:p>
    <w:p>
      <w:bookmarkStart w:id="106" w:name="src_X13"/>
      <w:pPr>
        <w:spacing w:after="100" w:line="247" w:lineRule="auto"/>
      </w:pPr>
      <w:bookmarkEnd w:id="106"/>
      <w:r>
        <w:rPr>
          <w:b/>
          <w:sz w:val="18"/>
        </w:rPr>
        <w:t xml:space="preserve">X13  </w:t>
      </w:r>
      <w:hyperlink r:id="rId104">
        <w:r>
          <w:rPr>
            <w:color w:val="1B5278"/>
            <w:u w:val="single"/>
            <w:sz w:val="18"/>
          </w:rPr>
          <w:t>How to Use Tags to Unlock Greater Insights</w:t>
        </w:r>
      </w:hyperlink>
      <w:r>
        <w:rPr>
          <w:sz w:val="17"/>
        </w:rPr>
        <w:br/>
        <w:t>Not exposed · Official capability documentation</w:t>
      </w:r>
    </w:p>
    <w:p>
      <w:bookmarkStart w:id="107" w:name="src_X14"/>
      <w:pPr>
        <w:spacing w:after="100" w:line="247" w:lineRule="auto"/>
      </w:pPr>
      <w:bookmarkEnd w:id="107"/>
      <w:r>
        <w:rPr>
          <w:b/>
          <w:sz w:val="18"/>
        </w:rPr>
        <w:t xml:space="preserve">X14  </w:t>
      </w:r>
      <w:hyperlink r:id="rId105">
        <w:r>
          <w:rPr>
            <w:color w:val="1B5278"/>
            <w:u w:val="single"/>
            <w:sz w:val="18"/>
          </w:rPr>
          <w:t>Triage</w:t>
        </w:r>
      </w:hyperlink>
      <w:r>
        <w:rPr>
          <w:sz w:val="17"/>
        </w:rPr>
        <w:br/>
        <w:t>Undated current documentation · Official capability documentation</w:t>
      </w:r>
    </w:p>
    <w:p>
      <w:bookmarkStart w:id="108" w:name="src_X15"/>
      <w:pPr>
        <w:spacing w:after="100" w:line="247" w:lineRule="auto"/>
      </w:pPr>
      <w:bookmarkEnd w:id="108"/>
      <w:r>
        <w:rPr>
          <w:b/>
          <w:sz w:val="18"/>
        </w:rPr>
        <w:t xml:space="preserve">X15  </w:t>
      </w:r>
      <w:hyperlink r:id="rId106">
        <w:r>
          <w:rPr>
            <w:color w:val="1B5278"/>
            <w:u w:val="single"/>
            <w:sz w:val="18"/>
          </w:rPr>
          <w:t>Issue templates</w:t>
        </w:r>
      </w:hyperlink>
      <w:r>
        <w:rPr>
          <w:sz w:val="17"/>
        </w:rPr>
        <w:br/>
        <w:t>Undated current documentation · Official capability documentation</w:t>
      </w:r>
    </w:p>
    <w:p>
      <w:bookmarkStart w:id="109" w:name="src_X16"/>
      <w:pPr>
        <w:spacing w:after="100" w:line="247" w:lineRule="auto"/>
      </w:pPr>
      <w:bookmarkEnd w:id="109"/>
      <w:r>
        <w:rPr>
          <w:b/>
          <w:sz w:val="18"/>
        </w:rPr>
        <w:t xml:space="preserve">X16  </w:t>
      </w:r>
      <w:hyperlink r:id="rId107">
        <w:r>
          <w:rPr>
            <w:color w:val="1B5278"/>
            <w:u w:val="single"/>
            <w:sz w:val="18"/>
          </w:rPr>
          <w:t>Database automations</w:t>
        </w:r>
      </w:hyperlink>
      <w:r>
        <w:rPr>
          <w:sz w:val="17"/>
        </w:rPr>
        <w:br/>
        <w:t>Undated current documentation · Official capability documentation</w:t>
      </w:r>
    </w:p>
    <w:p>
      <w:bookmarkStart w:id="110" w:name="src_X17"/>
      <w:pPr>
        <w:spacing w:after="100" w:line="247" w:lineRule="auto"/>
      </w:pPr>
      <w:bookmarkEnd w:id="110"/>
      <w:r>
        <w:rPr>
          <w:b/>
          <w:sz w:val="18"/>
        </w:rPr>
        <w:t xml:space="preserve">X17  </w:t>
      </w:r>
      <w:hyperlink r:id="rId108">
        <w:r>
          <w:rPr>
            <w:color w:val="1B5278"/>
            <w:u w:val="single"/>
            <w:sz w:val="18"/>
          </w:rPr>
          <w:t>Build forms in Notion</w:t>
        </w:r>
      </w:hyperlink>
      <w:r>
        <w:rPr>
          <w:sz w:val="17"/>
        </w:rPr>
        <w:br/>
        <w:t>Undated current documentation · Official capability documentation</w:t>
      </w:r>
    </w:p>
    <w:p>
      <w:bookmarkStart w:id="111" w:name="src_X18"/>
      <w:pPr>
        <w:spacing w:after="100" w:line="247" w:lineRule="auto"/>
      </w:pPr>
      <w:bookmarkEnd w:id="111"/>
      <w:r>
        <w:rPr>
          <w:b/>
          <w:sz w:val="18"/>
        </w:rPr>
        <w:t xml:space="preserve">X18  </w:t>
      </w:r>
      <w:hyperlink r:id="rId109">
        <w:r>
          <w:rPr>
            <w:color w:val="1B5278"/>
            <w:u w:val="single"/>
            <w:sz w:val="18"/>
          </w:rPr>
          <w:t>A Leap Forward with NexHealth Forms</w:t>
        </w:r>
      </w:hyperlink>
      <w:r>
        <w:rPr>
          <w:sz w:val="17"/>
        </w:rPr>
        <w:br/>
        <w:t>Not exposed · Official capability documentation</w:t>
      </w:r>
    </w:p>
    <w:p>
      <w:bookmarkStart w:id="112" w:name="src_X19"/>
      <w:pPr>
        <w:spacing w:after="100" w:line="247" w:lineRule="auto"/>
      </w:pPr>
      <w:bookmarkEnd w:id="112"/>
      <w:r>
        <w:rPr>
          <w:b/>
          <w:sz w:val="18"/>
        </w:rPr>
        <w:t xml:space="preserve">X19  </w:t>
      </w:r>
      <w:hyperlink r:id="rId110">
        <w:r>
          <w:rPr>
            <w:color w:val="1B5278"/>
            <w:u w:val="single"/>
            <w:sz w:val="18"/>
          </w:rPr>
          <w:t>Say Hello to 1-Click Booking</w:t>
        </w:r>
      </w:hyperlink>
      <w:r>
        <w:rPr>
          <w:sz w:val="17"/>
        </w:rPr>
        <w:br/>
        <w:t>2021-08-30 · Official feature explanation</w:t>
      </w:r>
    </w:p>
    <w:p>
      <w:bookmarkStart w:id="113" w:name="src_X20"/>
      <w:pPr>
        <w:spacing w:after="100" w:line="247" w:lineRule="auto"/>
      </w:pPr>
      <w:bookmarkEnd w:id="113"/>
      <w:r>
        <w:rPr>
          <w:b/>
          <w:sz w:val="18"/>
        </w:rPr>
        <w:t xml:space="preserve">X20  </w:t>
      </w:r>
      <w:hyperlink r:id="rId111">
        <w:r>
          <w:rPr>
            <w:color w:val="1B5278"/>
            <w:u w:val="single"/>
            <w:sz w:val="18"/>
          </w:rPr>
          <w:t>Bring Patients Back with 1-Click Recall</w:t>
        </w:r>
      </w:hyperlink>
      <w:r>
        <w:rPr>
          <w:sz w:val="17"/>
        </w:rPr>
        <w:br/>
        <w:t>Undated current page · Official capability documentation</w:t>
      </w:r>
    </w:p>
    <w:p>
      <w:bookmarkStart w:id="114" w:name="src_X21"/>
      <w:pPr>
        <w:spacing w:after="100" w:line="247" w:lineRule="auto"/>
      </w:pPr>
      <w:bookmarkEnd w:id="114"/>
      <w:r>
        <w:rPr>
          <w:b/>
          <w:sz w:val="18"/>
        </w:rPr>
        <w:t xml:space="preserve">X21  </w:t>
      </w:r>
      <w:hyperlink r:id="rId112">
        <w:r>
          <w:rPr>
            <w:color w:val="1B5278"/>
            <w:u w:val="single"/>
            <w:sz w:val="18"/>
          </w:rPr>
          <w:t>Calendly Routing</w:t>
        </w:r>
      </w:hyperlink>
      <w:r>
        <w:rPr>
          <w:sz w:val="17"/>
        </w:rPr>
        <w:br/>
        <w:t>Undated current page · Official capability documentation</w:t>
      </w:r>
    </w:p>
    <w:p>
      <w:bookmarkStart w:id="115" w:name="src_X22"/>
      <w:pPr>
        <w:spacing w:after="100" w:line="247" w:lineRule="auto"/>
      </w:pPr>
      <w:bookmarkEnd w:id="115"/>
      <w:r>
        <w:rPr>
          <w:b/>
          <w:sz w:val="18"/>
        </w:rPr>
        <w:t xml:space="preserve">X22  </w:t>
      </w:r>
      <w:hyperlink r:id="rId113">
        <w:r>
          <w:rPr>
            <w:color w:val="1B5278"/>
            <w:u w:val="single"/>
            <w:sz w:val="18"/>
          </w:rPr>
          <w:t>Test your Billing integration</w:t>
        </w:r>
      </w:hyperlink>
      <w:r>
        <w:rPr>
          <w:sz w:val="17"/>
        </w:rPr>
        <w:br/>
        <w:t>Undated current documentation · Official technical documentation</w:t>
      </w:r>
    </w:p>
    <w:p>
      <w:bookmarkStart w:id="116" w:name="src_X23"/>
      <w:pPr>
        <w:spacing w:after="100" w:line="247" w:lineRule="auto"/>
      </w:pPr>
      <w:bookmarkEnd w:id="116"/>
      <w:r>
        <w:rPr>
          <w:b/>
          <w:sz w:val="18"/>
        </w:rPr>
        <w:t xml:space="preserve">X23  </w:t>
      </w:r>
      <w:hyperlink r:id="rId114">
        <w:r>
          <w:rPr>
            <w:color w:val="1B5278"/>
            <w:u w:val="single"/>
            <w:sz w:val="18"/>
          </w:rPr>
          <w:t>SalonScale: Salon Backbar Management App</w:t>
        </w:r>
      </w:hyperlink>
      <w:r>
        <w:rPr>
          <w:sz w:val="17"/>
        </w:rPr>
        <w:br/>
        <w:t>Undated current page · Adjacent salon specialist capability</w:t>
      </w:r>
    </w:p>
    <w:p>
      <w:bookmarkStart w:id="117" w:name="src_X24"/>
      <w:pPr>
        <w:spacing w:after="100" w:line="247" w:lineRule="auto"/>
      </w:pPr>
      <w:bookmarkEnd w:id="117"/>
      <w:r>
        <w:rPr>
          <w:b/>
          <w:sz w:val="18"/>
        </w:rPr>
        <w:t xml:space="preserve">X24  </w:t>
      </w:r>
      <w:hyperlink r:id="rId115">
        <w:r>
          <w:rPr>
            <w:color w:val="1B5278"/>
            <w:u w:val="single"/>
            <w:sz w:val="18"/>
          </w:rPr>
          <w:t>The Easiest Way to Protect Salon Profits</w:t>
        </w:r>
      </w:hyperlink>
      <w:r>
        <w:rPr>
          <w:sz w:val="17"/>
        </w:rPr>
        <w:br/>
        <w:t>2022-07-08 · Adjacent salon specialist capability</w:t>
      </w:r>
    </w:p>
    <w:p>
      <w:bookmarkStart w:id="118" w:name="src_X25"/>
      <w:pPr>
        <w:spacing w:after="100" w:line="247" w:lineRule="auto"/>
      </w:pPr>
      <w:bookmarkEnd w:id="118"/>
      <w:r>
        <w:rPr>
          <w:b/>
          <w:sz w:val="18"/>
        </w:rPr>
        <w:t xml:space="preserve">X25  </w:t>
      </w:r>
      <w:hyperlink r:id="rId116">
        <w:r>
          <w:rPr>
            <w:color w:val="1B5278"/>
            <w:u w:val="single"/>
            <w:sz w:val="18"/>
          </w:rPr>
          <w:t>Best salon software for booking, scheduling, POS, and client management?</w:t>
        </w:r>
      </w:hyperlink>
      <w:r>
        <w:rPr>
          <w:sz w:val="17"/>
        </w:rPr>
        <w:br/>
        <w:t>Exact post date not exposed in retrieval · Unverified first-person anecdote/request</w:t>
      </w:r>
    </w:p>
    <w:p>
      <w:bookmarkStart w:id="119" w:name="src_X26"/>
      <w:pPr>
        <w:spacing w:after="100" w:line="247" w:lineRule="auto"/>
      </w:pPr>
      <w:bookmarkEnd w:id="119"/>
      <w:r>
        <w:rPr>
          <w:b/>
          <w:sz w:val="18"/>
        </w:rPr>
        <w:t xml:space="preserve">X26  </w:t>
      </w:r>
      <w:hyperlink r:id="rId117">
        <w:r>
          <w:rPr>
            <w:color w:val="1B5278"/>
            <w:u w:val="single"/>
            <w:sz w:val="18"/>
          </w:rPr>
          <w:t>Booking Software</w:t>
        </w:r>
      </w:hyperlink>
      <w:r>
        <w:rPr>
          <w:sz w:val="17"/>
        </w:rPr>
        <w:br/>
        <w:t>Exact post date not exposed · Unverified first-person anecdote/request</w:t>
      </w:r>
    </w:p>
    <w:p>
      <w:bookmarkStart w:id="120" w:name="src_X27"/>
      <w:pPr>
        <w:spacing w:after="100" w:line="247" w:lineRule="auto"/>
      </w:pPr>
      <w:bookmarkEnd w:id="120"/>
      <w:r>
        <w:rPr>
          <w:b/>
          <w:sz w:val="18"/>
        </w:rPr>
        <w:t xml:space="preserve">X27  </w:t>
      </w:r>
      <w:hyperlink r:id="rId46">
        <w:r>
          <w:rPr>
            <w:color w:val="1B5278"/>
            <w:u w:val="single"/>
            <w:sz w:val="18"/>
          </w:rPr>
          <w:t>Booking system for solo esthetician</w:t>
        </w:r>
      </w:hyperlink>
      <w:r>
        <w:rPr>
          <w:sz w:val="17"/>
        </w:rPr>
        <w:br/>
        <w:t>Exact post date not exposed · Unverified first-person anecdote</w:t>
      </w:r>
    </w:p>
    <w:p>
      <w:bookmarkStart w:id="121" w:name="src_X28"/>
      <w:pPr>
        <w:spacing w:after="100" w:line="247" w:lineRule="auto"/>
      </w:pPr>
      <w:bookmarkEnd w:id="121"/>
      <w:r>
        <w:rPr>
          <w:b/>
          <w:sz w:val="18"/>
        </w:rPr>
        <w:t xml:space="preserve">X28  </w:t>
      </w:r>
      <w:hyperlink r:id="rId118">
        <w:r>
          <w:rPr>
            <w:color w:val="1B5278"/>
            <w:u w:val="single"/>
            <w:sz w:val="18"/>
          </w:rPr>
          <w:t>Do you use an e-filing cabinet app/website to keep up ...</w:t>
        </w:r>
      </w:hyperlink>
      <w:r>
        <w:rPr>
          <w:sz w:val="17"/>
        </w:rPr>
        <w:br/>
        <w:t>Exact post date not exposed · Unverified first-person need</w:t>
      </w:r>
    </w:p>
    <w:p>
      <w:bookmarkStart w:id="122" w:name="src_X29"/>
      <w:pPr>
        <w:spacing w:after="100" w:line="247" w:lineRule="auto"/>
      </w:pPr>
      <w:bookmarkEnd w:id="122"/>
      <w:r>
        <w:rPr>
          <w:b/>
          <w:sz w:val="18"/>
        </w:rPr>
        <w:t xml:space="preserve">X29  </w:t>
      </w:r>
      <w:hyperlink r:id="rId119">
        <w:r>
          <w:rPr>
            <w:color w:val="1B5278"/>
            <w:u w:val="single"/>
            <w:sz w:val="18"/>
          </w:rPr>
          <w:t>Top Beauty Trends in 2025</w:t>
        </w:r>
      </w:hyperlink>
      <w:r>
        <w:rPr>
          <w:sz w:val="17"/>
        </w:rPr>
        <w:br/>
        <w:t>2025-02-26 · Vendor-sponsored consumer survey summary</w:t>
      </w:r>
    </w:p>
    <w:p>
      <w:bookmarkStart w:id="123" w:name="src_X30"/>
      <w:pPr>
        <w:spacing w:after="100" w:line="247" w:lineRule="auto"/>
      </w:pPr>
      <w:bookmarkEnd w:id="123"/>
      <w:r>
        <w:rPr>
          <w:b/>
          <w:sz w:val="18"/>
        </w:rPr>
        <w:t xml:space="preserve">X30  </w:t>
      </w:r>
      <w:hyperlink r:id="rId120">
        <w:r>
          <w:rPr>
            <w:color w:val="1B5278"/>
            <w:u w:val="single"/>
            <w:sz w:val="18"/>
          </w:rPr>
          <w:t>xtraCHEF: Get Started With the Item Library</w:t>
        </w:r>
      </w:hyperlink>
      <w:r>
        <w:rPr>
          <w:sz w:val="17"/>
        </w:rPr>
        <w:br/>
        <w:t>2026-09-01 · Official capability documentation</w:t>
      </w:r>
    </w:p>
    <w:p>
      <w:pPr>
        <w:pStyle w:val="Heading2"/>
      </w:pPr>
      <w:r>
        <w:t>Additional verification and implementation sources</w:t>
      </w:r>
    </w:p>
    <w:p>
      <w:bookmarkStart w:id="124" w:name="src_R01"/>
      <w:pPr>
        <w:spacing w:after="100" w:line="247" w:lineRule="auto"/>
      </w:pPr>
      <w:bookmarkEnd w:id="124"/>
      <w:r>
        <w:rPr>
          <w:b/>
          <w:sz w:val="18"/>
        </w:rPr>
        <w:t xml:space="preserve">R01  </w:t>
      </w:r>
      <w:hyperlink r:id="rId121">
        <w:r>
          <w:rPr>
            <w:color w:val="1B5278"/>
            <w:u w:val="single"/>
            <w:sz w:val="18"/>
          </w:rPr>
          <w:t>HHS Covered Entities and Business Associates</w:t>
        </w:r>
      </w:hyperlink>
      <w:r>
        <w:rPr>
          <w:sz w:val="17"/>
        </w:rPr>
        <w:br/>
        <w:t>Reviewed by HHS 2024-08-21 · Official regulatory guidance</w:t>
      </w:r>
    </w:p>
    <w:p>
      <w:bookmarkStart w:id="125" w:name="src_R02"/>
      <w:pPr>
        <w:spacing w:after="100" w:line="247" w:lineRule="auto"/>
      </w:pPr>
      <w:bookmarkEnd w:id="125"/>
      <w:r>
        <w:rPr>
          <w:b/>
          <w:sz w:val="18"/>
        </w:rPr>
        <w:t xml:space="preserve">R02  </w:t>
      </w:r>
      <w:hyperlink r:id="rId122">
        <w:r>
          <w:rPr>
            <w:color w:val="1B5278"/>
            <w:u w:val="single"/>
            <w:sz w:val="18"/>
          </w:rPr>
          <w:t>Stripe Connect Handle refunds and disputes</w:t>
        </w:r>
      </w:hyperlink>
      <w:r>
        <w:rPr>
          <w:sz w:val="17"/>
        </w:rPr>
        <w:br/>
        <w:t>Accessed 2026-10-25 · Official technical documentation</w:t>
      </w:r>
    </w:p>
    <w:p>
      <w:bookmarkStart w:id="126" w:name="src_R03"/>
      <w:pPr>
        <w:spacing w:after="100" w:line="247" w:lineRule="auto"/>
      </w:pPr>
      <w:bookmarkEnd w:id="126"/>
      <w:r>
        <w:rPr>
          <w:b/>
          <w:sz w:val="18"/>
        </w:rPr>
        <w:t xml:space="preserve">R03  </w:t>
      </w:r>
      <w:hyperlink r:id="rId123">
        <w:r>
          <w:rPr>
            <w:color w:val="1B5278"/>
            <w:u w:val="single"/>
            <w:sz w:val="18"/>
          </w:rPr>
          <w:t>Twilio Programmable Messaging and A2P 10DLC</w:t>
        </w:r>
      </w:hyperlink>
      <w:r>
        <w:rPr>
          <w:sz w:val="17"/>
        </w:rPr>
        <w:br/>
        <w:t>Accessed 2026-10-25 · Official technical documentation</w:t>
      </w:r>
    </w:p>
    <w:p>
      <w:bookmarkStart w:id="127" w:name="src_R04"/>
      <w:pPr>
        <w:spacing w:after="100" w:line="247" w:lineRule="auto"/>
      </w:pPr>
      <w:bookmarkEnd w:id="127"/>
      <w:r>
        <w:rPr>
          <w:b/>
          <w:sz w:val="18"/>
        </w:rPr>
        <w:t xml:space="preserve">R04  </w:t>
      </w:r>
      <w:hyperlink r:id="rId124">
        <w:r>
          <w:rPr>
            <w:color w:val="1B5278"/>
            <w:u w:val="single"/>
            <w:sz w:val="18"/>
          </w:rPr>
          <w:t>W3C Web Content Accessibility Guidelines 2.2</w:t>
        </w:r>
      </w:hyperlink>
      <w:r>
        <w:rPr>
          <w:sz w:val="17"/>
        </w:rPr>
        <w:br/>
        <w:t>Recommendation version 2024-12-12; accessed 2026-10-25 · Official standard</w:t>
      </w:r>
    </w:p>
    <w:p>
      <w:bookmarkStart w:id="128" w:name="src_R05"/>
      <w:pPr>
        <w:spacing w:after="100" w:line="247" w:lineRule="auto"/>
      </w:pPr>
      <w:bookmarkEnd w:id="128"/>
      <w:r>
        <w:rPr>
          <w:b/>
          <w:sz w:val="18"/>
        </w:rPr>
        <w:t xml:space="preserve">R05  </w:t>
      </w:r>
      <w:hyperlink r:id="rId125">
        <w:r>
          <w:rPr>
            <w:color w:val="1B5278"/>
            <w:u w:val="single"/>
            <w:sz w:val="18"/>
          </w:rPr>
          <w:t>Gusto Embedded Payroll Introduction</w:t>
        </w:r>
      </w:hyperlink>
      <w:r>
        <w:rPr>
          <w:sz w:val="17"/>
        </w:rPr>
        <w:br/>
        <w:t>Version 2026-02-01; accessed 2026-10-25 · Official technical documentation</w:t>
      </w:r>
    </w:p>
    <w:p>
      <w:bookmarkStart w:id="129" w:name="src_R06"/>
      <w:pPr>
        <w:spacing w:after="100" w:line="247" w:lineRule="auto"/>
      </w:pPr>
      <w:bookmarkEnd w:id="129"/>
      <w:r>
        <w:rPr>
          <w:b/>
          <w:sz w:val="18"/>
        </w:rPr>
        <w:t xml:space="preserve">R06  </w:t>
      </w:r>
      <w:hyperlink r:id="rId126">
        <w:r>
          <w:rPr>
            <w:color w:val="1B5278"/>
            <w:u w:val="single"/>
            <w:sz w:val="18"/>
          </w:rPr>
          <w:t>Vish Product features and analytics</w:t>
        </w:r>
      </w:hyperlink>
      <w:r>
        <w:rPr>
          <w:sz w:val="17"/>
        </w:rPr>
        <w:br/>
        <w:t>Accessed 2026-10-25 · Official product page</w:t>
      </w:r>
    </w:p>
    <w:p>
      <w:bookmarkStart w:id="130" w:name="src_R07"/>
      <w:pPr>
        <w:spacing w:after="100" w:line="247" w:lineRule="auto"/>
      </w:pPr>
      <w:bookmarkEnd w:id="130"/>
      <w:r>
        <w:rPr>
          <w:b/>
          <w:sz w:val="18"/>
        </w:rPr>
        <w:t xml:space="preserve">R07  </w:t>
      </w:r>
      <w:hyperlink r:id="rId127">
        <w:r>
          <w:rPr>
            <w:color w:val="1B5278"/>
            <w:u w:val="single"/>
            <w:sz w:val="18"/>
          </w:rPr>
          <w:t>SalonScale Product features</w:t>
        </w:r>
      </w:hyperlink>
      <w:r>
        <w:rPr>
          <w:sz w:val="17"/>
        </w:rPr>
        <w:br/>
        <w:t>Accessed 2026-10-25 · Official product page</w:t>
      </w:r>
    </w:p>
    <w:p>
      <w:bookmarkStart w:id="131" w:name="src_R08"/>
      <w:pPr>
        <w:spacing w:after="100" w:line="247" w:lineRule="auto"/>
      </w:pPr>
      <w:bookmarkEnd w:id="131"/>
      <w:r>
        <w:rPr>
          <w:b/>
          <w:sz w:val="18"/>
        </w:rPr>
        <w:t xml:space="preserve">R08  </w:t>
      </w:r>
      <w:hyperlink r:id="rId128">
        <w:r>
          <w:rPr>
            <w:color w:val="1B5278"/>
            <w:u w:val="single"/>
            <w:sz w:val="18"/>
          </w:rPr>
          <w:t>Vish Dashboard analytics</w:t>
        </w:r>
      </w:hyperlink>
      <w:r>
        <w:rPr>
          <w:sz w:val="17"/>
        </w:rPr>
        <w:br/>
        <w:t>Accessed 2026-10-25 · Official help</w:t>
      </w:r>
    </w:p>
    <w:p>
      <w:bookmarkStart w:id="132" w:name="src_R09"/>
      <w:pPr>
        <w:spacing w:after="100" w:line="247" w:lineRule="auto"/>
      </w:pPr>
      <w:bookmarkEnd w:id="132"/>
      <w:r>
        <w:rPr>
          <w:b/>
          <w:sz w:val="18"/>
        </w:rPr>
        <w:t xml:space="preserve">R09  </w:t>
      </w:r>
      <w:hyperlink r:id="rId129">
        <w:r>
          <w:rPr>
            <w:color w:val="1B5278"/>
            <w:u w:val="single"/>
            <w:sz w:val="18"/>
          </w:rPr>
          <w:t>Comb Features</w:t>
        </w:r>
      </w:hyperlink>
      <w:r>
        <w:rPr>
          <w:sz w:val="17"/>
        </w:rPr>
        <w:br/>
        <w:t>Accessed 2026-10-25 · Official product page</w:t>
      </w:r>
    </w:p>
    <w:p>
      <w:bookmarkStart w:id="133" w:name="src_R10"/>
      <w:pPr>
        <w:spacing w:after="100" w:line="247" w:lineRule="auto"/>
      </w:pPr>
      <w:bookmarkEnd w:id="133"/>
      <w:r>
        <w:rPr>
          <w:b/>
          <w:sz w:val="18"/>
        </w:rPr>
        <w:t xml:space="preserve">R10  </w:t>
      </w:r>
      <w:hyperlink r:id="rId130">
        <w:r>
          <w:rPr>
            <w:color w:val="1B5278"/>
            <w:u w:val="single"/>
            <w:sz w:val="18"/>
          </w:rPr>
          <w:t>SQUIRE Waitlist</w:t>
        </w:r>
      </w:hyperlink>
      <w:r>
        <w:rPr>
          <w:sz w:val="17"/>
        </w:rPr>
        <w:br/>
        <w:t>Accessed 2026-10-25 · Official product help</w:t>
      </w:r>
    </w:p>
    <w:p>
      <w:bookmarkStart w:id="134" w:name="src_R11"/>
      <w:pPr>
        <w:spacing w:after="100" w:line="247" w:lineRule="auto"/>
      </w:pPr>
      <w:bookmarkEnd w:id="134"/>
      <w:r>
        <w:rPr>
          <w:b/>
          <w:sz w:val="18"/>
        </w:rPr>
        <w:t xml:space="preserve">R11  </w:t>
      </w:r>
      <w:hyperlink r:id="rId131">
        <w:r>
          <w:rPr>
            <w:color w:val="1B5278"/>
            <w:u w:val="single"/>
            <w:sz w:val="18"/>
          </w:rPr>
          <w:t>StyleSeat New Client Connection</w:t>
        </w:r>
      </w:hyperlink>
      <w:r>
        <w:rPr>
          <w:sz w:val="17"/>
        </w:rPr>
        <w:br/>
        <w:t>Published 2026-10-12; accessed 2026-10-25 · Official product explanation</w:t>
      </w:r>
    </w:p>
    <w:p>
      <w:bookmarkStart w:id="135" w:name="src_R12"/>
      <w:pPr>
        <w:spacing w:after="100" w:line="247" w:lineRule="auto"/>
      </w:pPr>
      <w:bookmarkEnd w:id="135"/>
      <w:r>
        <w:rPr>
          <w:b/>
          <w:sz w:val="18"/>
        </w:rPr>
        <w:t xml:space="preserve">R12  </w:t>
      </w:r>
      <w:hyperlink r:id="rId132">
        <w:r>
          <w:rPr>
            <w:color w:val="1B5278"/>
            <w:u w:val="single"/>
            <w:sz w:val="18"/>
          </w:rPr>
          <w:t>GlossGenius Gap Time and Processing Time</w:t>
        </w:r>
      </w:hyperlink>
      <w:r>
        <w:rPr>
          <w:sz w:val="17"/>
        </w:rPr>
        <w:br/>
        <w:t>Published 2024-07-30; accessed 2026-10-25 · Official product explanation</w:t>
      </w:r>
    </w:p>
    <w:p>
      <w:bookmarkStart w:id="136" w:name="src_R13"/>
      <w:pPr>
        <w:spacing w:after="100" w:line="247" w:lineRule="auto"/>
      </w:pPr>
      <w:bookmarkEnd w:id="136"/>
      <w:r>
        <w:rPr>
          <w:b/>
          <w:sz w:val="18"/>
        </w:rPr>
        <w:t xml:space="preserve">R13  </w:t>
      </w:r>
      <w:hyperlink r:id="rId133">
        <w:r>
          <w:rPr>
            <w:color w:val="1B5278"/>
            <w:u w:val="single"/>
            <w:sz w:val="18"/>
          </w:rPr>
          <w:t>Vagaro Markup Editor</w:t>
        </w:r>
      </w:hyperlink>
      <w:r>
        <w:rPr>
          <w:sz w:val="17"/>
        </w:rPr>
        <w:br/>
        <w:t>Updated 2026-04-22; accessed 2026-10-25 · Official help</w:t>
      </w:r>
    </w:p>
    <w:p>
      <w:bookmarkStart w:id="137" w:name="src_R14"/>
      <w:pPr>
        <w:spacing w:after="100" w:line="247" w:lineRule="auto"/>
      </w:pPr>
      <w:bookmarkEnd w:id="137"/>
      <w:r>
        <w:rPr>
          <w:b/>
          <w:sz w:val="18"/>
        </w:rPr>
        <w:t xml:space="preserve">R14  </w:t>
      </w:r>
      <w:hyperlink r:id="rId134">
        <w:r>
          <w:rPr>
            <w:color w:val="1B5278"/>
            <w:u w:val="single"/>
            <w:sz w:val="18"/>
          </w:rPr>
          <w:t>Jane Pricing</w:t>
        </w:r>
      </w:hyperlink>
      <w:r>
        <w:rPr>
          <w:sz w:val="17"/>
        </w:rPr>
        <w:br/>
        <w:t>Accessed 2026-10-25 · Official pricing and features</w:t>
      </w:r>
    </w:p>
    <w:p>
      <w:bookmarkStart w:id="138" w:name="src_R15"/>
      <w:pPr>
        <w:spacing w:after="100" w:line="247" w:lineRule="auto"/>
      </w:pPr>
      <w:bookmarkEnd w:id="138"/>
      <w:r>
        <w:rPr>
          <w:b/>
          <w:sz w:val="18"/>
        </w:rPr>
        <w:t xml:space="preserve">R15  </w:t>
      </w:r>
      <w:hyperlink r:id="rId135">
        <w:r>
          <w:rPr>
            <w:color w:val="1B5278"/>
            <w:u w:val="single"/>
            <w:sz w:val="18"/>
          </w:rPr>
          <w:t>SimplePractice Setting up the Client Portal</w:t>
        </w:r>
      </w:hyperlink>
      <w:r>
        <w:rPr>
          <w:sz w:val="17"/>
        </w:rPr>
        <w:br/>
        <w:t>Updated 2026-03-16; accessed 2026-10-25 · Official help</w:t>
      </w:r>
    </w:p>
    <w:p>
      <w:bookmarkStart w:id="139" w:name="src_R16"/>
      <w:pPr>
        <w:spacing w:after="100" w:line="247" w:lineRule="auto"/>
      </w:pPr>
      <w:bookmarkEnd w:id="139"/>
      <w:r>
        <w:rPr>
          <w:b/>
          <w:sz w:val="18"/>
        </w:rPr>
        <w:t xml:space="preserve">R16  </w:t>
      </w:r>
      <w:hyperlink r:id="rId136">
        <w:r>
          <w:rPr>
            <w:color w:val="1B5278"/>
            <w:u w:val="single"/>
            <w:sz w:val="18"/>
          </w:rPr>
          <w:t>Housecall Pro Consumer Financing</w:t>
        </w:r>
      </w:hyperlink>
      <w:r>
        <w:rPr>
          <w:sz w:val="17"/>
        </w:rPr>
        <w:br/>
        <w:t>Accessed 2026-10-25 · Official product page</w:t>
      </w:r>
    </w:p>
    <w:p>
      <w:bookmarkStart w:id="140" w:name="src_R17"/>
      <w:pPr>
        <w:spacing w:after="100" w:line="247" w:lineRule="auto"/>
      </w:pPr>
      <w:bookmarkEnd w:id="140"/>
      <w:r>
        <w:rPr>
          <w:b/>
          <w:sz w:val="18"/>
        </w:rPr>
        <w:t xml:space="preserve">R17  </w:t>
      </w:r>
      <w:hyperlink r:id="rId137">
        <w:r>
          <w:rPr>
            <w:color w:val="1B5278"/>
            <w:u w:val="single"/>
            <w:sz w:val="18"/>
          </w:rPr>
          <w:t>Housecall Pro Instapay</w:t>
        </w:r>
      </w:hyperlink>
      <w:r>
        <w:rPr>
          <w:sz w:val="17"/>
        </w:rPr>
        <w:br/>
        <w:t>Accessed 2026-10-25 · Official product page</w:t>
      </w:r>
    </w:p>
    <w:p>
      <w:bookmarkStart w:id="141" w:name="src_R18"/>
      <w:pPr>
        <w:spacing w:after="100" w:line="247" w:lineRule="auto"/>
      </w:pPr>
      <w:bookmarkEnd w:id="141"/>
      <w:r>
        <w:rPr>
          <w:b/>
          <w:sz w:val="18"/>
        </w:rPr>
        <w:t xml:space="preserve">R18  </w:t>
      </w:r>
      <w:hyperlink r:id="rId138">
        <w:r>
          <w:rPr>
            <w:color w:val="1B5278"/>
            <w:u w:val="single"/>
            <w:sz w:val="18"/>
          </w:rPr>
          <w:t>theCut Pricing</w:t>
        </w:r>
      </w:hyperlink>
      <w:r>
        <w:rPr>
          <w:sz w:val="17"/>
        </w:rPr>
        <w:br/>
        <w:t>Accessed 2026-10-25 · Official pricing and features</w:t>
      </w:r>
    </w:p>
    <w:p>
      <w:bookmarkStart w:id="142" w:name="src_R19"/>
      <w:pPr>
        <w:spacing w:after="100" w:line="247" w:lineRule="auto"/>
      </w:pPr>
      <w:bookmarkEnd w:id="142"/>
      <w:r>
        <w:rPr>
          <w:b/>
          <w:sz w:val="18"/>
        </w:rPr>
        <w:t xml:space="preserve">R19  </w:t>
      </w:r>
      <w:hyperlink r:id="rId139">
        <w:r>
          <w:rPr>
            <w:color w:val="1B5278"/>
            <w:u w:val="single"/>
            <w:sz w:val="18"/>
          </w:rPr>
          <w:t>Gingr Immunization Settings and Permissions</w:t>
        </w:r>
      </w:hyperlink>
      <w:r>
        <w:rPr>
          <w:sz w:val="17"/>
        </w:rPr>
        <w:br/>
        <w:t>Accessed 2026-10-25 · Official help</w:t>
      </w:r>
    </w:p>
    <w:p>
      <w:bookmarkStart w:id="143" w:name="src_R20"/>
      <w:pPr>
        <w:spacing w:after="100" w:line="247" w:lineRule="auto"/>
      </w:pPr>
      <w:bookmarkEnd w:id="143"/>
      <w:r>
        <w:rPr>
          <w:b/>
          <w:sz w:val="18"/>
        </w:rPr>
        <w:t xml:space="preserve">R20  </w:t>
      </w:r>
      <w:hyperlink r:id="rId140">
        <w:r>
          <w:rPr>
            <w:color w:val="1B5278"/>
            <w:u w:val="single"/>
            <w:sz w:val="18"/>
          </w:rPr>
          <w:t>ClassPass SmartTools</w:t>
        </w:r>
      </w:hyperlink>
      <w:r>
        <w:rPr>
          <w:sz w:val="17"/>
        </w:rPr>
        <w:br/>
        <w:t>Published 2026-10-16; accessed 2026-10-25 · Official product explanation</w:t>
      </w:r>
    </w:p>
    <w:p>
      <w:r>
        <w:t>User-provided source: gloss genius clone.xlsx, seven worksheets. Its original research and source register are treated as supplied material; the row-level reconciliation distinguishes retained ideas from factual claims requiring current verification.</w:t>
      </w:r>
    </w:p>
    <w:sectPr w:rsidR="00FC693F" w:rsidRPr="0006063C" w:rsidSect="00034616">
      <w:headerReference w:type="default" r:id="rId9"/>
      <w:footerReference w:type="default" r:id="rId10"/>
      <w:pgSz w:w="12240" w:h="15840"/>
      <w:pgMar w:top="979" w:right="1008" w:bottom="922" w:left="1008"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727C"/>
        <w:sz w:val="16"/>
      </w:rPr>
      <w:t xml:space="preserve">Research snapshot 25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5727C"/>
        <w:sz w:val="15"/>
      </w:rPr>
      <w:t>GLOSS GENIUS  |  PRODUCT RESEARCH AND FEATURE MATRIX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Hyphenat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2026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60" w:after="140"/>
    </w:pPr>
    <w:rPr>
      <w:rFonts w:asciiTheme="majorHAnsi" w:eastAsiaTheme="majorEastAsia" w:hAnsiTheme="majorHAnsi" w:cstheme="majorBidi" w:ascii="Arial" w:hAnsi="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rPr>
      <w:rFonts w:ascii="Arial" w:hAnsi="Arial"/>
      <w:color w:val="20262B"/>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Arial" w:hAnsi="Arial"/>
      <w:color w:val="20262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contextualSpacing/>
    </w:pPr>
    <w:rPr>
      <w:rFonts w:ascii="Arial" w:hAnsi="Arial"/>
      <w:color w:val="20262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rial" w:hAnsi="Arial"/>
      <w:b/>
      <w:bCs/>
      <w:color w:val="555E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lossgenius.com/pricing" TargetMode="External"/><Relationship Id="rId12" Type="http://schemas.openxmlformats.org/officeDocument/2006/relationships/hyperlink" Target="https://glossgenius.com/custom-website-builder" TargetMode="External"/><Relationship Id="rId13" Type="http://schemas.openxmlformats.org/officeDocument/2006/relationships/hyperlink" Target="https://glossgenius.com/forms-waivers" TargetMode="External"/><Relationship Id="rId14" Type="http://schemas.openxmlformats.org/officeDocument/2006/relationships/hyperlink" Target="https://glossgenius.com/calendar-scheduling-app" TargetMode="External"/><Relationship Id="rId15" Type="http://schemas.openxmlformats.org/officeDocument/2006/relationships/hyperlink" Target="https://glossgenius.com/client-insights" TargetMode="External"/><Relationship Id="rId16" Type="http://schemas.openxmlformats.org/officeDocument/2006/relationships/hyperlink" Target="https://glossgenius.com/reports-analytics" TargetMode="External"/><Relationship Id="rId17" Type="http://schemas.openxmlformats.org/officeDocument/2006/relationships/hyperlink" Target="https://glossgenius.com/finances" TargetMode="External"/><Relationship Id="rId18" Type="http://schemas.openxmlformats.org/officeDocument/2006/relationships/hyperlink" Target="https://glossgenius.com/memberships-packages" TargetMode="External"/><Relationship Id="rId19" Type="http://schemas.openxmlformats.org/officeDocument/2006/relationships/hyperlink" Target="https://glossgenius.com/ai-business-tools" TargetMode="External"/><Relationship Id="rId20" Type="http://schemas.openxmlformats.org/officeDocument/2006/relationships/hyperlink" Target="https://glossgenius.com/charting" TargetMode="External"/><Relationship Id="rId21" Type="http://schemas.openxmlformats.org/officeDocument/2006/relationships/hyperlink" Target="https://glossgenius.com/client-management" TargetMode="External"/><Relationship Id="rId22" Type="http://schemas.openxmlformats.org/officeDocument/2006/relationships/hyperlink" Target="https://glossgenius.com/salon-inventory-management" TargetMode="External"/><Relationship Id="rId23" Type="http://schemas.openxmlformats.org/officeDocument/2006/relationships/hyperlink" Target="https://glossgenius.com/payment-processing" TargetMode="External"/><Relationship Id="rId24" Type="http://schemas.openxmlformats.org/officeDocument/2006/relationships/hyperlink" Target="https://glossgenius.com/payroll" TargetMode="External"/><Relationship Id="rId25" Type="http://schemas.openxmlformats.org/officeDocument/2006/relationships/hyperlink" Target="https://glossgenius.com/waitlist" TargetMode="External"/><Relationship Id="rId26" Type="http://schemas.openxmlformats.org/officeDocument/2006/relationships/hyperlink" Target="https://glossgenius.com/overview" TargetMode="External"/><Relationship Id="rId27" Type="http://schemas.openxmlformats.org/officeDocument/2006/relationships/hyperlink" Target="https://support.vagaro.com/hc/en-us/articles/18977274427803-Vagaro-Features-Included-in-Your-Base-Subscription" TargetMode="External"/><Relationship Id="rId28" Type="http://schemas.openxmlformats.org/officeDocument/2006/relationships/hyperlink" Target="https://support.vagaro.com/hc/en-us/articles/22781768988187-Vagaro-Plans-Pricing-and-Premium-Features" TargetMode="External"/><Relationship Id="rId29" Type="http://schemas.openxmlformats.org/officeDocument/2006/relationships/hyperlink" Target="https://support.vagaro.com/hc/en-us/articles/360010609213-Set-Up-the-Waitlist-Feature" TargetMode="External"/><Relationship Id="rId30" Type="http://schemas.openxmlformats.org/officeDocument/2006/relationships/hyperlink" Target="https://support.vagaro.com/hc/en-us/articles/204347060-Configure-Your-Online-Appointment-Rules" TargetMode="External"/><Relationship Id="rId31" Type="http://schemas.openxmlformats.org/officeDocument/2006/relationships/hyperlink" Target="https://support.vagaro.com/hc/en-us/articles/360010299394-How-to-Add-a-Gap-Processing-Time-On-the-Desktop-Version-" TargetMode="External"/><Relationship Id="rId32" Type="http://schemas.openxmlformats.org/officeDocument/2006/relationships/hyperlink" Target="https://support.vagaro.com/hc/en-us/articles/204347790-Set-Up-Automatic-Rent-Collection" TargetMode="External"/><Relationship Id="rId33" Type="http://schemas.openxmlformats.org/officeDocument/2006/relationships/hyperlink" Target="https://support.vagaro.com/hc/en-us/articles/29521637950875-Set-Up-Webhooks-From-Vagaro" TargetMode="External"/><Relationship Id="rId34" Type="http://schemas.openxmlformats.org/officeDocument/2006/relationships/hyperlink" Target="https://support.vagaro.com/hc/en-us/articles/26405908814363-Getting-Started-with-Connect-by-Vagaro" TargetMode="External"/><Relationship Id="rId35" Type="http://schemas.openxmlformats.org/officeDocument/2006/relationships/hyperlink" Target="https://support.vagaro.com/hc/en-us/articles/20043887869851-Create-Your-Vagaro-MySite" TargetMode="External"/><Relationship Id="rId36" Type="http://schemas.openxmlformats.org/officeDocument/2006/relationships/hyperlink" Target="https://support.vagaro.com/hc/en-us/articles/360025659414-Order-Your-Own-Branded-App" TargetMode="External"/><Relationship Id="rId37" Type="http://schemas.openxmlformats.org/officeDocument/2006/relationships/hyperlink" Target="https://support.vagaro.com/hc/en-us/articles/31806231306779-Set-Up-A-Chatbot-for-Your-Business-with-Vera-Receptionist" TargetMode="External"/><Relationship Id="rId38" Type="http://schemas.openxmlformats.org/officeDocument/2006/relationships/hyperlink" Target="https://support.vagaro.com/hc/en-us/articles/14981322178843-Data-Lake-Integration" TargetMode="External"/><Relationship Id="rId39" Type="http://schemas.openxmlformats.org/officeDocument/2006/relationships/hyperlink" Target="https://support.vagaro.com/hc/en-us/articles/24420034808091-Activate-the-Vagaro-Forms-Feature" TargetMode="External"/><Relationship Id="rId40" Type="http://schemas.openxmlformats.org/officeDocument/2006/relationships/hyperlink" Target="https://support.vagaro.com/hc/en-us/articles/18977275777947-Grow-Your-Business-with-Vera-Fill-My-Books" TargetMode="External"/><Relationship Id="rId41" Type="http://schemas.openxmlformats.org/officeDocument/2006/relationships/hyperlink" Target="https://support.vagaro.com/hc/en-us/articles/11954561114523-Fill-Out-a-SOAP-Note-From-a-Customer-s-Profile" TargetMode="External"/><Relationship Id="rId42" Type="http://schemas.openxmlformats.org/officeDocument/2006/relationships/hyperlink" Target="https://www.vagaro.com/pro/pricing" TargetMode="External"/><Relationship Id="rId43" Type="http://schemas.openxmlformats.org/officeDocument/2006/relationships/hyperlink" Target="https://www.trustpilot.com/review/glossgenius.com" TargetMode="External"/><Relationship Id="rId44" Type="http://schemas.openxmlformats.org/officeDocument/2006/relationships/hyperlink" Target="https://www.trustpilot.com/review/vagaro.com" TargetMode="External"/><Relationship Id="rId45" Type="http://schemas.openxmlformats.org/officeDocument/2006/relationships/hyperlink" Target="https://apps.apple.com/us/app/glossgenius-booking-payments/id1081286979?see-all=reviews" TargetMode="External"/><Relationship Id="rId46" Type="http://schemas.openxmlformats.org/officeDocument/2006/relationships/hyperlink" Target="https://www.reddit.com/r/Esthetics/comments/1jei45t/booking_system_for_solo_esthetician/" TargetMode="External"/><Relationship Id="rId47" Type="http://schemas.openxmlformats.org/officeDocument/2006/relationships/hyperlink" Target="https://www.capterra.com/p/174830/GlossGenius/reviews/" TargetMode="External"/><Relationship Id="rId48" Type="http://schemas.openxmlformats.org/officeDocument/2006/relationships/hyperlink" Target="https://www.capterra.com/p/174830/GlossGenius/reviews/?page=2" TargetMode="External"/><Relationship Id="rId49" Type="http://schemas.openxmlformats.org/officeDocument/2006/relationships/hyperlink" Target="https://squareup.com/us/en/appointments/pricing" TargetMode="External"/><Relationship Id="rId50" Type="http://schemas.openxmlformats.org/officeDocument/2006/relationships/hyperlink" Target="https://squareup.com/help/us/en/article/7923-waitlist-with-square-appointments" TargetMode="External"/><Relationship Id="rId51" Type="http://schemas.openxmlformats.org/officeDocument/2006/relationships/hyperlink" Target="https://www.fresha.com/pricing" TargetMode="External"/><Relationship Id="rId52" Type="http://schemas.openxmlformats.org/officeDocument/2006/relationships/hyperlink" Target="https://www.fresha.com/help-center/knowledge-base/billing-and-fees/101357-marketplace-new-client-fees" TargetMode="External"/><Relationship Id="rId53" Type="http://schemas.openxmlformats.org/officeDocument/2006/relationships/hyperlink" Target="https://biz.booksy.com/features" TargetMode="External"/><Relationship Id="rId54" Type="http://schemas.openxmlformats.org/officeDocument/2006/relationships/hyperlink" Target="https://biz.booksy.com/pricing" TargetMode="External"/><Relationship Id="rId55" Type="http://schemas.openxmlformats.org/officeDocument/2006/relationships/hyperlink" Target="https://www.joinblvd.com/features/scheduling" TargetMode="External"/><Relationship Id="rId56" Type="http://schemas.openxmlformats.org/officeDocument/2006/relationships/hyperlink" Target="https://support.boulevard.io/en/articles/6110033-precision-scheduling" TargetMode="External"/><Relationship Id="rId57" Type="http://schemas.openxmlformats.org/officeDocument/2006/relationships/hyperlink" Target="https://www.joinblvd.com/features" TargetMode="External"/><Relationship Id="rId58" Type="http://schemas.openxmlformats.org/officeDocument/2006/relationships/hyperlink" Target="https://www.joinblvd.com/features/forms" TargetMode="External"/><Relationship Id="rId59" Type="http://schemas.openxmlformats.org/officeDocument/2006/relationships/hyperlink" Target="https://www.joinblvd.com/pricing" TargetMode="External"/><Relationship Id="rId60" Type="http://schemas.openxmlformats.org/officeDocument/2006/relationships/hyperlink" Target="https://support.boulevard.io/en/articles/8619158-memberships-managing-billing" TargetMode="External"/><Relationship Id="rId61" Type="http://schemas.openxmlformats.org/officeDocument/2006/relationships/hyperlink" Target="https://www.mangomint.com/go/mangomint-vs-alternatives/" TargetMode="External"/><Relationship Id="rId62" Type="http://schemas.openxmlformats.org/officeDocument/2006/relationships/hyperlink" Target="https://www.mangomint.com/features/express-booking/" TargetMode="External"/><Relationship Id="rId63" Type="http://schemas.openxmlformats.org/officeDocument/2006/relationships/hyperlink" Target="https://www.mangomint.com/features/phone/" TargetMode="External"/><Relationship Id="rId64" Type="http://schemas.openxmlformats.org/officeDocument/2006/relationships/hyperlink" Target="https://www.mangomint.com/learn/flows-basics/" TargetMode="External"/><Relationship Id="rId65" Type="http://schemas.openxmlformats.org/officeDocument/2006/relationships/hyperlink" Target="https://www.phorest.com/features/" TargetMode="External"/><Relationship Id="rId66" Type="http://schemas.openxmlformats.org/officeDocument/2006/relationships/hyperlink" Target="https://www.phorest.com/features/salon-inventory-software/" TargetMode="External"/><Relationship Id="rId67" Type="http://schemas.openxmlformats.org/officeDocument/2006/relationships/hyperlink" Target="https://www.mindbodyonline.com/business/pricing" TargetMode="External"/><Relationship Id="rId68" Type="http://schemas.openxmlformats.org/officeDocument/2006/relationships/hyperlink" Target="https://www.mindbodyonline.com/business/staff-management" TargetMode="External"/><Relationship Id="rId69" Type="http://schemas.openxmlformats.org/officeDocument/2006/relationships/hyperlink" Target="https://www.zenoti.com/pricing-zenoti" TargetMode="External"/><Relationship Id="rId70" Type="http://schemas.openxmlformats.org/officeDocument/2006/relationships/hyperlink" Target="https://www.zenoti.com/medical-spa-software/features" TargetMode="External"/><Relationship Id="rId71" Type="http://schemas.openxmlformats.org/officeDocument/2006/relationships/hyperlink" Target="https://pabau.com/features/" TargetMode="External"/><Relationship Id="rId72" Type="http://schemas.openxmlformats.org/officeDocument/2006/relationships/hyperlink" Target="https://support.pabau.com/en/pabau2/client-portal" TargetMode="External"/><Relationship Id="rId73" Type="http://schemas.openxmlformats.org/officeDocument/2006/relationships/hyperlink" Target="https://www.aestheticrecord.com/complete-emr/" TargetMode="External"/><Relationship Id="rId74" Type="http://schemas.openxmlformats.org/officeDocument/2006/relationships/hyperlink" Target="https://learn.aestheticrecord.com/en/articles/9269627-manage-consent-forms" TargetMode="External"/><Relationship Id="rId75" Type="http://schemas.openxmlformats.org/officeDocument/2006/relationships/hyperlink" Target="https://learn.aestheticrecord.com/en/articles/11403617-business-insights-inventory-reports-in-aesthetic-record" TargetMode="External"/><Relationship Id="rId76" Type="http://schemas.openxmlformats.org/officeDocument/2006/relationships/hyperlink" Target="https://www.aestheticrecord.com/business-insights/" TargetMode="External"/><Relationship Id="rId77" Type="http://schemas.openxmlformats.org/officeDocument/2006/relationships/hyperlink" Target="https://acuityscheduling.com/pricing" TargetMode="External"/><Relationship Id="rId78" Type="http://schemas.openxmlformats.org/officeDocument/2006/relationships/hyperlink" Target="https://help.acuityscheduling.com/hc/en-us/articles/16676931038093-Create-custom-intake-forms-and-manage-client-responses" TargetMode="External"/><Relationship Id="rId79" Type="http://schemas.openxmlformats.org/officeDocument/2006/relationships/hyperlink" Target="https://help.acuityscheduling.com/hc/en-us/articles/28615973866765-Selling-packages-gift-certificates-and-subscriptions" TargetMode="External"/><Relationship Id="rId80" Type="http://schemas.openxmlformats.org/officeDocument/2006/relationships/hyperlink" Target="https://www.styleseat.com/join/" TargetMode="External"/><Relationship Id="rId81" Type="http://schemas.openxmlformats.org/officeDocument/2006/relationships/hyperlink" Target="https://www.styleseat.com/blog/how-much-does-styleseat-cost/" TargetMode="External"/><Relationship Id="rId82" Type="http://schemas.openxmlformats.org/officeDocument/2006/relationships/hyperlink" Target="https://www.vagaro.com/learn/vagaro-schedulicity-acquisition-announcement" TargetMode="External"/><Relationship Id="rId83" Type="http://schemas.openxmlformats.org/officeDocument/2006/relationships/hyperlink" Target="https://www.vagaro.com/pro/schedulicity" TargetMode="External"/><Relationship Id="rId84" Type="http://schemas.openxmlformats.org/officeDocument/2006/relationships/hyperlink" Target="https://www.reddit.com/r/SquareOfficial/comments/1vmp0d3/being_forced_to_switch_to_square_plus/" TargetMode="External"/><Relationship Id="rId85" Type="http://schemas.openxmlformats.org/officeDocument/2006/relationships/hyperlink" Target="https://www.trustpilot.com/review/booksy.com?page=3" TargetMode="External"/><Relationship Id="rId86" Type="http://schemas.openxmlformats.org/officeDocument/2006/relationships/hyperlink" Target="https://www.trustpilot.com/review/www.joinblvd.com" TargetMode="External"/><Relationship Id="rId87" Type="http://schemas.openxmlformats.org/officeDocument/2006/relationships/hyperlink" Target="https://www.trustpilot.com/review/mangomint.com" TargetMode="External"/><Relationship Id="rId88" Type="http://schemas.openxmlformats.org/officeDocument/2006/relationships/hyperlink" Target="https://www.reddit.com/r/mindbody/comments/1qwe59p/2_years_on_mindbody_as_a_coursebased_studio_the/" TargetMode="External"/><Relationship Id="rId89" Type="http://schemas.openxmlformats.org/officeDocument/2006/relationships/hyperlink" Target="https://www.trustpilot.com/review/zenoti.com" TargetMode="External"/><Relationship Id="rId90" Type="http://schemas.openxmlformats.org/officeDocument/2006/relationships/hyperlink" Target="https://www.trustpilot.com/review/fresha.com?page=9" TargetMode="External"/><Relationship Id="rId91" Type="http://schemas.openxmlformats.org/officeDocument/2006/relationships/hyperlink" Target="https://www.wired.com/story/acuity-scheduling" TargetMode="External"/><Relationship Id="rId92" Type="http://schemas.openxmlformats.org/officeDocument/2006/relationships/hyperlink" Target="https://help.honeybook.com/en/articles/5949959-commonly-combined-steps-in-smart-files" TargetMode="External"/><Relationship Id="rId93" Type="http://schemas.openxmlformats.org/officeDocument/2006/relationships/hyperlink" Target="https://www.honeybook.com/" TargetMode="External"/><Relationship Id="rId94" Type="http://schemas.openxmlformats.org/officeDocument/2006/relationships/hyperlink" Target="https://www.getjobber.com/features/client-hub/" TargetMode="External"/><Relationship Id="rId95" Type="http://schemas.openxmlformats.org/officeDocument/2006/relationships/hyperlink" Target="https://help.getjobber.com/en/articles/quote-approvals/" TargetMode="External"/><Relationship Id="rId96" Type="http://schemas.openxmlformats.org/officeDocument/2006/relationships/hyperlink" Target="https://www.shopify.com/blog/shop-pay-checkout" TargetMode="External"/><Relationship Id="rId97" Type="http://schemas.openxmlformats.org/officeDocument/2006/relationships/hyperlink" Target="https://www.canva.com/newsroom/news/design-dna-2025/" TargetMode="External"/><Relationship Id="rId98" Type="http://schemas.openxmlformats.org/officeDocument/2006/relationships/hyperlink" Target="https://www.canva.com/en_in/newsroom/news/canva-for-work/" TargetMode="External"/><Relationship Id="rId99" Type="http://schemas.openxmlformats.org/officeDocument/2006/relationships/hyperlink" Target="https://support.toasttab.com/en/article/xtraCHEF-Recipe-Costing" TargetMode="External"/><Relationship Id="rId100" Type="http://schemas.openxmlformats.org/officeDocument/2006/relationships/hyperlink" Target="https://www.opentable.com/blog/notify-me/" TargetMode="External"/><Relationship Id="rId101" Type="http://schemas.openxmlformats.org/officeDocument/2006/relationships/hyperlink" Target="https://www.opentable.com/restaurant-solutions/feature-drop-old/october-2023/" TargetMode="External"/><Relationship Id="rId102" Type="http://schemas.openxmlformats.org/officeDocument/2006/relationships/hyperlink" Target="https://blog.duolingo.com/improving-the-streak/" TargetMode="External"/><Relationship Id="rId103" Type="http://schemas.openxmlformats.org/officeDocument/2006/relationships/hyperlink" Target="https://support.ouraring.com/hc/articles/360058599753-How-to-Use-the-Oura-App" TargetMode="External"/><Relationship Id="rId104" Type="http://schemas.openxmlformats.org/officeDocument/2006/relationships/hyperlink" Target="https://ouraring.com/blog/tags/" TargetMode="External"/><Relationship Id="rId105" Type="http://schemas.openxmlformats.org/officeDocument/2006/relationships/hyperlink" Target="https://linear.app/docs/triage" TargetMode="External"/><Relationship Id="rId106" Type="http://schemas.openxmlformats.org/officeDocument/2006/relationships/hyperlink" Target="https://linear.app/docs/issue-templates" TargetMode="External"/><Relationship Id="rId107" Type="http://schemas.openxmlformats.org/officeDocument/2006/relationships/hyperlink" Target="https://www.notion.com/help/database-automations" TargetMode="External"/><Relationship Id="rId108" Type="http://schemas.openxmlformats.org/officeDocument/2006/relationships/hyperlink" Target="https://www.notion.com/help/forms" TargetMode="External"/><Relationship Id="rId109" Type="http://schemas.openxmlformats.org/officeDocument/2006/relationships/hyperlink" Target="https://www.nexhealth.com/resources/a-leap-forward-with-nexhealth-forms" TargetMode="External"/><Relationship Id="rId110" Type="http://schemas.openxmlformats.org/officeDocument/2006/relationships/hyperlink" Target="https://www.nexhealth.com/resources/say-hello-to-1-click-booking" TargetMode="External"/><Relationship Id="rId111" Type="http://schemas.openxmlformats.org/officeDocument/2006/relationships/hyperlink" Target="https://www.nexhealth.com/features/one-click-recalls" TargetMode="External"/><Relationship Id="rId112" Type="http://schemas.openxmlformats.org/officeDocument/2006/relationships/hyperlink" Target="https://calendly.com/scheduling/routing" TargetMode="External"/><Relationship Id="rId113" Type="http://schemas.openxmlformats.org/officeDocument/2006/relationships/hyperlink" Target="https://docs.stripe.com/billing/testing" TargetMode="External"/><Relationship Id="rId114" Type="http://schemas.openxmlformats.org/officeDocument/2006/relationships/hyperlink" Target="https://www.salonscale.com/en-us" TargetMode="External"/><Relationship Id="rId115" Type="http://schemas.openxmlformats.org/officeDocument/2006/relationships/hyperlink" Target="https://getvish.com/blog/2022/07/08/the-easiest-way-to-protect-salon-profits/" TargetMode="External"/><Relationship Id="rId116" Type="http://schemas.openxmlformats.org/officeDocument/2006/relationships/hyperlink" Target="https://www.reddit.com/r/smallbusiness/comments/1k6clsc/best_salon_software_for_booking_scheduling_pos/" TargetMode="External"/><Relationship Id="rId117" Type="http://schemas.openxmlformats.org/officeDocument/2006/relationships/hyperlink" Target="https://www.reddit.com/r/Esthetics/comments/1mbv1e5/booking_software/" TargetMode="External"/><Relationship Id="rId118" Type="http://schemas.openxmlformats.org/officeDocument/2006/relationships/hyperlink" Target="https://www.reddit.com/r/Esthetics/comments/1gfr0pl/do_you_use_an_efiling_cabinet_appwebsite_to_keep/" TargetMode="External"/><Relationship Id="rId119" Type="http://schemas.openxmlformats.org/officeDocument/2006/relationships/hyperlink" Target="https://squareup.com/gb/en/the-bottom-line/reaching-customers/top-beauty-trends" TargetMode="External"/><Relationship Id="rId120" Type="http://schemas.openxmlformats.org/officeDocument/2006/relationships/hyperlink" Target="https://support.toasttab.com/en/article/xtraCHEF-Item-Review" TargetMode="External"/><Relationship Id="rId121" Type="http://schemas.openxmlformats.org/officeDocument/2006/relationships/hyperlink" Target="https://www.hhs.gov/hipaa/for-professionals/covered-entities/index.html" TargetMode="External"/><Relationship Id="rId122" Type="http://schemas.openxmlformats.org/officeDocument/2006/relationships/hyperlink" Target="https://docs.stripe.com/connect/marketplace/tasks/refunds-disputes" TargetMode="External"/><Relationship Id="rId123" Type="http://schemas.openxmlformats.org/officeDocument/2006/relationships/hyperlink" Target="https://www.twilio.com/docs/messaging/compliance/a2p-10dlc" TargetMode="External"/><Relationship Id="rId124" Type="http://schemas.openxmlformats.org/officeDocument/2006/relationships/hyperlink" Target="https://www.w3.org/TR/WCAG22/" TargetMode="External"/><Relationship Id="rId125" Type="http://schemas.openxmlformats.org/officeDocument/2006/relationships/hyperlink" Target="https://docs.gusto.com/embedded-payroll/v2026-02-01/docs/introduction" TargetMode="External"/><Relationship Id="rId126" Type="http://schemas.openxmlformats.org/officeDocument/2006/relationships/hyperlink" Target="https://getvish.com/product-features/" TargetMode="External"/><Relationship Id="rId127" Type="http://schemas.openxmlformats.org/officeDocument/2006/relationships/hyperlink" Target="https://www.salonscale.com/en-us/product" TargetMode="External"/><Relationship Id="rId128" Type="http://schemas.openxmlformats.org/officeDocument/2006/relationships/hyperlink" Target="https://docs.getvish.com/docs/dashboard-analytics/" TargetMode="External"/><Relationship Id="rId129" Type="http://schemas.openxmlformats.org/officeDocument/2006/relationships/hyperlink" Target="https://www.comb.works/features/" TargetMode="External"/><Relationship Id="rId130" Type="http://schemas.openxmlformats.org/officeDocument/2006/relationships/hyperlink" Target="https://getsquire.com/using-squire/waitlist" TargetMode="External"/><Relationship Id="rId131" Type="http://schemas.openxmlformats.org/officeDocument/2006/relationships/hyperlink" Target="https://www.styleseat.com/blog/styleseat-new-client-connection-how-it-works-what-it-costs/" TargetMode="External"/><Relationship Id="rId132" Type="http://schemas.openxmlformats.org/officeDocument/2006/relationships/hyperlink" Target="https://glossgenius.com/blog/keep-efficient-schedule-avoid-burnout-with-gap-time" TargetMode="External"/><Relationship Id="rId133" Type="http://schemas.openxmlformats.org/officeDocument/2006/relationships/hyperlink" Target="https://support.vagaro.com/hc/en-us/articles/11954030441115-Vagaro-Markup-Editor" TargetMode="External"/><Relationship Id="rId134" Type="http://schemas.openxmlformats.org/officeDocument/2006/relationships/hyperlink" Target="https://jane.app/pricing" TargetMode="External"/><Relationship Id="rId135" Type="http://schemas.openxmlformats.org/officeDocument/2006/relationships/hyperlink" Target="https://support.simplepractice.com/hc/en-us/articles/207925883-Setting-up-the-Client-Portal" TargetMode="External"/><Relationship Id="rId136" Type="http://schemas.openxmlformats.org/officeDocument/2006/relationships/hyperlink" Target="https://www.housecallpro.com/features/consumer-financing/" TargetMode="External"/><Relationship Id="rId137" Type="http://schemas.openxmlformats.org/officeDocument/2006/relationships/hyperlink" Target="https://www.housecallpro.com/features/instapay/" TargetMode="External"/><Relationship Id="rId138" Type="http://schemas.openxmlformats.org/officeDocument/2006/relationships/hyperlink" Target="https://thecut.co/pricing" TargetMode="External"/><Relationship Id="rId139" Type="http://schemas.openxmlformats.org/officeDocument/2006/relationships/hyperlink" Target="https://support.gingrapp.com/hc/en-us/articles/28500906137741-Immunization-Settings-and-Permissions-Reference" TargetMode="External"/><Relationship Id="rId140" Type="http://schemas.openxmlformats.org/officeDocument/2006/relationships/hyperlink" Target="https://classpass.com/partners/blog/classpass-smart-tools-helps-grow-reven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Gloss Genius Detailed Feature Matrix</dc:title>
  <dc:subject>Competitive research, product requirements, analytics and workbook reconciliation</dc:subject>
  <dc:creator>OpenAI</dc:creator>
  <cp:keywords>GlossGenius, Vagaro, salon software, feature matrix, analytics, product strategy</cp:keywords>
  <dc:description>generated by python-docx</dc:description>
  <cp:lastModifiedBy/>
  <cp:revision>1</cp:revision>
  <dcterms:created xsi:type="dcterms:W3CDTF">2013-12-23T23:15:00Z</dcterms:created>
  <dcterms:modified xsi:type="dcterms:W3CDTF">2013-12-23T23:15:00Z</dcterms:modified>
  <cp:category/>
</cp:coreProperties>
</file>