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9488"/>
          <w:sz w:val="48"/>
          <w:szCs w:val="48"/>
        </w:rPr>
        <w:t xml:space="preserve">SmartPrice.be</w:t>
      </w:r>
    </w:p>
    <w:p>
      <w:pPr>
        <w:spacing w:before="0" w:after="120"/>
        <w:jc w:val="center"/>
      </w:pPr>
      <w:r>
        <w:rPr>
          <w:rFonts w:ascii="Arial" w:cs="Arial" w:eastAsia="Arial" w:hAnsi="Arial"/>
          <w:color w:val="0D1B3E"/>
          <w:sz w:val="32"/>
          <w:szCs w:val="32"/>
        </w:rPr>
        <w:t xml:space="preserve">Technical Documentation</w:t>
      </w:r>
    </w:p>
    <w:p>
      <w:pPr>
        <w:spacing w:before="0" w:after="120"/>
        <w:jc w:val="center"/>
      </w:pPr>
      <w:r>
        <w:rPr>
          <w:rFonts w:ascii="Arial" w:cs="Arial" w:eastAsia="Arial" w:hAnsi="Arial"/>
          <w:color w:val="64748B"/>
          <w:sz w:val="24"/>
          <w:szCs w:val="24"/>
        </w:rPr>
        <w:t xml:space="preserve">Energy Calculations, Data Sources &amp; System Architecture</w:t>
      </w:r>
    </w:p>
    <w:p>
      <w:pPr>
        <w:spacing w:before="0" w:after="720"/>
        <w:jc w:val="center"/>
      </w:pPr>
      <w:r>
        <w:rPr>
          <w:rFonts w:ascii="Arial" w:cs="Arial" w:eastAsia="Arial" w:hAnsi="Arial"/>
          <w:color w:val="64748B"/>
          <w:sz w:val="22"/>
          <w:szCs w:val="22"/>
        </w:rPr>
        <w:t xml:space="preserve">March 2026</w:t>
      </w:r>
    </w:p>
    <w:p>
      <w:pPr>
        <w:pStyle w:val="Heading1"/>
        <w:pBdr>
          <w:bottom w:val="single" w:color="0D9488" w:sz="6" w:space="1"/>
        </w:pBdr>
        <w:spacing w:before="360" w:after="200"/>
      </w:pPr>
      <w:r>
        <w:rPr>
          <w:rFonts w:ascii="Arial" w:cs="Arial" w:eastAsia="Arial" w:hAnsi="Arial"/>
          <w:b/>
          <w:bCs/>
          <w:color w:val="0D1B3E"/>
          <w:sz w:val="32"/>
          <w:szCs w:val="32"/>
        </w:rPr>
        <w:t xml:space="preserve">1. Data Sources</w:t>
      </w:r>
    </w:p>
    <w:p>
      <w:pPr>
        <w:pStyle w:val="Heading2"/>
        <w:spacing w:before="280" w:after="140"/>
      </w:pPr>
      <w:r>
        <w:rPr>
          <w:rFonts w:ascii="Arial" w:cs="Arial" w:eastAsia="Arial" w:hAnsi="Arial"/>
          <w:b/>
          <w:bCs/>
          <w:color w:val="0D9488"/>
          <w:sz w:val="26"/>
          <w:szCs w:val="26"/>
        </w:rPr>
        <w:t xml:space="preserve">1.1 Electricity — EPEX Spot</w:t>
      </w:r>
    </w:p>
    <w:p>
      <w:pPr>
        <w:spacing w:before="80" w:after="80"/>
        <w:jc w:val="left"/>
      </w:pPr>
      <w:r>
        <w:rPr>
          <w:rFonts w:ascii="Arial" w:cs="Arial" w:eastAsia="Arial" w:hAnsi="Arial"/>
          <w:color w:val="333333"/>
          <w:sz w:val="22"/>
          <w:szCs w:val="22"/>
        </w:rPr>
        <w:t xml:space="preserve">Belgian day-ahead electricity prices are sourced from EPEX Spot, the European Power Exchange. SmartPrice fetches this data via the Energy-Charts.info API (Fraunhofer Institute for Solar Energy Systems ISE), licensed under CC BY 4.0.</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Source API</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energy-charts.info/api/price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frequency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15 minutes</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Price format</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EUR/MWh (converted to EUR/kWh for display)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Day-ahead market, 24 hourly values</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Tomorrow available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After 13:00 CET (EPEX D+1 auction)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License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CC BY 4.0 — Fraunhofer ISE</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Backup source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Elia Open Data (CC BY 4.0)</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1.2 Natural Gas — TTF</w:t>
      </w:r>
    </w:p>
    <w:p>
      <w:pPr>
        <w:spacing w:before="80" w:after="80"/>
        <w:jc w:val="left"/>
      </w:pPr>
      <w:r>
        <w:rPr>
          <w:rFonts w:ascii="Arial" w:cs="Arial" w:eastAsia="Arial" w:hAnsi="Arial"/>
          <w:color w:val="333333"/>
          <w:sz w:val="22"/>
          <w:szCs w:val="22"/>
        </w:rPr>
        <w:t xml:space="preserve">Gas prices are based on the Title Transfer Facility (TTF) index, the main European natural gas benchmark traded on ICE EEX. SmartPrice fetches TTF price data and stores it alongside electricity prices.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Index</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ICE EEX TTF Natural Gas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 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EUR/MWh</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Update frequency</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Daily (gas trades as day-ahead)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comparison with supplier gas tariffs</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1.3 Supplier Tariffs</w:t>
      </w:r>
    </w:p>
    <w:p>
      <w:pPr>
        <w:spacing w:before="80" w:after="80"/>
        <w:jc w:val="left"/>
      </w:pPr>
      <w:r>
        <w:rPr>
          <w:rFonts w:ascii="Arial" w:cs="Arial" w:eastAsia="Arial" w:hAnsi="Arial"/>
          <w:color w:val="333333"/>
          <w:sz w:val="22"/>
          <w:szCs w:val="22"/>
        </w:rPr>
        <w:t xml:space="preserve">Supplier tariffs are maintained as seed data in tariffs.json and updated via weekly automated scraping. The VREG scraper has been disabled as of March 2026 (API now requires authentication). CallMePower and direct supplier page scrapers remain active.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Supplier</w:t>
            </w:r>
          </w:p>
        </w:tc>
        <w:tc>
          <w:tcPr>
            <w:tcW w:type="dxa" w:w="1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Elec Plans</w:t>
            </w:r>
          </w:p>
        </w:tc>
        <w:tc>
          <w:tcPr>
            <w:tcW w:type="dxa" w:w="1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Gas Plans</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Has Dynamic</w:t>
            </w:r>
          </w:p>
        </w:tc>
        <w:tc>
          <w:tcPr>
            <w:tcW w:type="dxa" w:w="2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Green</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Bolt Energy</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 (EPEX hourly)</w:t>
            </w:r>
          </w:p>
        </w:tc>
        <w:tc>
          <w:tcPr>
            <w:tcW w:type="dxa" w:w="2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Luminus (EDF)</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TotalEnergies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Eneco</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Mega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Octa+</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Partial</w:t>
            </w:r>
          </w:p>
        </w:tc>
      </w:tr>
    </w:tbl>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2. Electricity Cost Calculation</w:t>
      </w:r>
    </w:p>
    <w:p>
      <w:pPr>
        <w:pStyle w:val="Heading2"/>
        <w:spacing w:before="280" w:after="140"/>
      </w:pPr>
      <w:r>
        <w:rPr>
          <w:rFonts w:ascii="Arial" w:cs="Arial" w:eastAsia="Arial" w:hAnsi="Arial"/>
          <w:b/>
          <w:bCs/>
          <w:color w:val="0D9488"/>
          <w:sz w:val="26"/>
          <w:szCs w:val="26"/>
        </w:rPr>
        <w:t xml:space="preserve">2.1 Annual Cost Formula</w:t>
      </w:r>
    </w:p>
    <w:p>
      <w:pPr>
        <w:spacing w:before="80" w:after="80"/>
        <w:jc w:val="left"/>
      </w:pPr>
      <w:r>
        <w:rPr>
          <w:rFonts w:ascii="Arial" w:cs="Arial" w:eastAsia="Arial" w:hAnsi="Arial"/>
          <w:color w:val="333333"/>
          <w:sz w:val="22"/>
          <w:szCs w:val="22"/>
        </w:rPr>
        <w:t xml:space="preserve">The total annual electricity cost is calculated as the sum of energy cost, grid distribution cost, and fixed charges, all including VAT at 21%.</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Formula</w:t>
            </w:r>
          </w:p>
          <w:p>
            <w:pPr>
              <w:spacing w:before="0" w:after="0"/>
            </w:pPr>
            <w:r>
              <w:rPr>
                <w:rFonts w:ascii="Arial" w:cs="Arial" w:eastAsia="Arial" w:hAnsi="Arial"/>
                <w:color w:val="333333"/>
                <w:sz w:val="20"/>
                <w:szCs w:val="20"/>
              </w:rPr>
              <w:t xml:space="preserve">Total Annual Cost = (Energy Rate × Annual kWh + Standing Charge) × 1.21 + Grid Costs(region, peak_kw)</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2.2 Variable Rate Plans</w:t>
      </w:r>
    </w:p>
    <w:p>
      <w:pPr>
        <w:spacing w:before="80" w:after="80"/>
        <w:jc w:val="left"/>
      </w:pPr>
      <w:r>
        <w:rPr>
          <w:rFonts w:ascii="Arial" w:cs="Arial" w:eastAsia="Arial" w:hAnsi="Arial"/>
          <w:color w:val="333333"/>
          <w:sz w:val="22"/>
          <w:szCs w:val="22"/>
        </w:rPr>
        <w:t xml:space="preserve">For variable rate plans indexed to EPEX Spot monthly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Variable Rate</w:t>
            </w:r>
          </w:p>
          <w:p>
            <w:pPr>
              <w:spacing w:before="0" w:after="0"/>
            </w:pPr>
            <w:r>
              <w:rPr>
                <w:rFonts w:ascii="Arial" w:cs="Arial" w:eastAsia="Arial" w:hAnsi="Arial"/>
                <w:color w:val="333333"/>
                <w:sz w:val="20"/>
                <w:szCs w:val="20"/>
              </w:rPr>
              <w:t xml:space="preserve">Energy Rate (excl. VAT) = EPEX_SPP_monthly_avg × multiplier + markup_cEkWh
Where EPEX_SPP = Simple Price for Profile (weighted average)</w:t>
            </w:r>
          </w:p>
        </w:tc>
      </w:tr>
    </w:tbl>
    <w:p>
      <w:pPr>
        <w:spacing w:before="120" w:after="120"/>
      </w:pPr>
      <w:r>
        <w:t xml:space="preserve"/>
      </w:r>
    </w:p>
    <w:p>
      <w:pPr>
        <w:spacing w:before="80" w:after="80"/>
        <w:jc w:val="left"/>
      </w:pPr>
      <w:r>
        <w:rPr>
          <w:rFonts w:ascii="Arial" w:cs="Arial" w:eastAsia="Arial" w:hAnsi="Arial"/>
          <w:color w:val="333333"/>
          <w:sz w:val="22"/>
          <w:szCs w:val="22"/>
        </w:rPr>
        <w:t xml:space="preserve">Example — Bolt Energy Flex: EPEX_SPP + 0.5 c€/kWh</w:t>
      </w:r>
    </w:p>
    <w:p>
      <w:pPr>
        <w:spacing w:before="80" w:after="80"/>
        <w:jc w:val="left"/>
      </w:pPr>
      <w:r>
        <w:rPr>
          <w:rFonts w:ascii="Arial" w:cs="Arial" w:eastAsia="Arial" w:hAnsi="Arial"/>
          <w:color w:val="333333"/>
          <w:sz w:val="22"/>
          <w:szCs w:val="22"/>
        </w:rPr>
        <w:t xml:space="preserve">Example — Engie Comfort: EPEX_SPP × 1.02 + 2.1 c€/kWh</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2.3 Dynamic Rate Plans</w:t>
      </w:r>
    </w:p>
    <w:p>
      <w:pPr>
        <w:spacing w:before="80" w:after="80"/>
        <w:jc w:val="left"/>
      </w:pPr>
      <w:r>
        <w:rPr>
          <w:rFonts w:ascii="Arial" w:cs="Arial" w:eastAsia="Arial" w:hAnsi="Arial"/>
          <w:color w:val="333333"/>
          <w:sz w:val="22"/>
          <w:szCs w:val="22"/>
        </w:rPr>
        <w:t xml:space="preserve">For dynamic (hourly EPEX) plans, the calculator uses the EPEX average from the user's usage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Dynamic Rate</w:t>
            </w:r>
          </w:p>
          <w:p>
            <w:pPr>
              <w:spacing w:before="0" w:after="0"/>
            </w:pPr>
            <w:r>
              <w:rPr>
                <w:rFonts w:ascii="Arial" w:cs="Arial" w:eastAsia="Arial" w:hAnsi="Arial"/>
                <w:color w:val="333333"/>
                <w:sz w:val="20"/>
                <w:szCs w:val="20"/>
              </w:rPr>
              <w:t xml:space="preserve">Energy Rate = EPEX_hourly_avg × user_hours + markup_cEkWh
Bolt Dynamic: EPEX_hour + 0.3 c€/kWh (lowest markup in Belgium)</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2.4 Grid Costs by Region</w:t>
      </w:r>
    </w:p>
    <w:p>
      <w:pPr>
        <w:spacing w:before="80" w:after="80"/>
        <w:jc w:val="left"/>
      </w:pPr>
      <w:r>
        <w:rPr>
          <w:rFonts w:ascii="Arial" w:cs="Arial" w:eastAsia="Arial" w:hAnsi="Arial"/>
          <w:color w:val="333333"/>
          <w:sz w:val="22"/>
          <w:szCs w:val="22"/>
        </w:rPr>
        <w:t xml:space="preserve">Distribution network costs vary significantly by region in Belgium: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DSO</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Tariff Type</w:t>
            </w:r>
          </w:p>
        </w:tc>
        <w:tc>
          <w:tcPr>
            <w:tcW w:type="dxa" w:w="3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Approx. Grid Cost/year (3,500 kWh)</w:t>
            </w:r>
          </w:p>
        </w:tc>
      </w:tr>
      <w:tr>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Flanders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Fluvius</w:t>
            </w:r>
          </w:p>
        </w:tc>
        <w:tc>
          <w:tcPr>
            <w:tcW w:type="dxa" w:w="2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Capacity tariff (kVA)</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€350-500 (depends on peak kW)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Wallonia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ORES/RESA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kWh-based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€280-380</w:t>
            </w:r>
          </w:p>
        </w:tc>
      </w:tr>
      <w:tr>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Brussels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Sibelga</w:t>
            </w:r>
          </w:p>
        </w:tc>
        <w:tc>
          <w:tcPr>
            <w:tcW w:type="dxa" w:w="2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kWh-based</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€300-400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Flanders Capacity Tariff (since 2023)</w:t>
            </w:r>
          </w:p>
          <w:p>
            <w:pPr>
              <w:spacing w:before="0" w:after="0"/>
            </w:pPr>
            <w:r>
              <w:rPr>
                <w:rFonts w:ascii="Arial" w:cs="Arial" w:eastAsia="Arial" w:hAnsi="Arial"/>
                <w:color w:val="333333"/>
                <w:sz w:val="20"/>
                <w:szCs w:val="20"/>
              </w:rPr>
              <w:t xml:space="preserve">Grid cost = monthly_peak_kW × capacity_rate × 12
Capacity rate ≈ €48/kW/year (varies by municipality)
Peak = highest 15-min average consumption in the month
Recommendation: never run EV + heat pump + oven simultaneously</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2.5 Usage Profile Estimation</w:t>
      </w:r>
    </w:p>
    <w:p>
      <w:pPr>
        <w:spacing w:before="80" w:after="80"/>
        <w:jc w:val="left"/>
      </w:pPr>
      <w:r>
        <w:rPr>
          <w:rFonts w:ascii="Arial" w:cs="Arial" w:eastAsia="Arial" w:hAnsi="Arial"/>
          <w:color w:val="333333"/>
          <w:sz w:val="22"/>
          <w:szCs w:val="22"/>
        </w:rPr>
        <w:t xml:space="preserve">When a user selects appliances in the calculator, annual kWh is estimated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Appliance Annual kWh</w:t>
            </w:r>
          </w:p>
          <w:p>
            <w:pPr>
              <w:spacing w:before="0" w:after="0"/>
            </w:pPr>
            <w:r>
              <w:rPr>
                <w:rFonts w:ascii="Arial" w:cs="Arial" w:eastAsia="Arial" w:hAnsi="Arial"/>
                <w:color w:val="333333"/>
                <w:sz w:val="20"/>
                <w:szCs w:val="20"/>
              </w:rPr>
              <w:t xml:space="preserve">annual_kwh = SUM(kwh_per_use × uses_per_week × 52)
Peak kW = MAX(selected appliance peak_kw values)
For dynamic contracts: peak is used to estimate capacity tariff</w:t>
            </w:r>
          </w:p>
        </w:tc>
      </w:tr>
    </w:tbl>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3. Gas Cost Calculation</w:t>
      </w:r>
    </w:p>
    <w:p>
      <w:pPr>
        <w:pStyle w:val="Heading2"/>
        <w:spacing w:before="280" w:after="140"/>
      </w:pPr>
      <w:r>
        <w:rPr>
          <w:rFonts w:ascii="Arial" w:cs="Arial" w:eastAsia="Arial" w:hAnsi="Arial"/>
          <w:b/>
          <w:bCs/>
          <w:color w:val="0D9488"/>
          <w:sz w:val="26"/>
          <w:szCs w:val="26"/>
        </w:rPr>
        <w:t xml:space="preserve">3.1 Gas Annual Cost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Gas Formula</w:t>
            </w:r>
          </w:p>
          <w:p>
            <w:pPr>
              <w:spacing w:before="0" w:after="0"/>
            </w:pPr>
            <w:r>
              <w:rPr>
                <w:rFonts w:ascii="Arial" w:cs="Arial" w:eastAsia="Arial" w:hAnsi="Arial"/>
                <w:color w:val="333333"/>
                <w:sz w:val="20"/>
                <w:szCs w:val="20"/>
              </w:rPr>
              <w:t xml:space="preserve">Total Annual Cost = (Gas Rate × Annual kWh + Standing Charge) × 1.21 + Gas Grid Costs</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3.2 TTF-Linked Variable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TTF Rate</w:t>
            </w:r>
          </w:p>
          <w:p>
            <w:pPr>
              <w:spacing w:before="0" w:after="0"/>
            </w:pPr>
            <w:r>
              <w:rPr>
                <w:rFonts w:ascii="Arial" w:cs="Arial" w:eastAsia="Arial" w:hAnsi="Arial"/>
                <w:color w:val="333333"/>
                <w:sz w:val="20"/>
                <w:szCs w:val="20"/>
              </w:rPr>
              <w:t xml:space="preserve">Gas Rate = TTF_monthly_avg / 1000 + markup_cEkWh
Example — Bolt Gas Dynamic: TTF_daily + 0.5 c€/kWh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Supplier</w:t>
            </w:r>
          </w:p>
        </w:tc>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Markup</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Bolt Gas Dynamic</w:t>
            </w:r>
          </w:p>
        </w:tc>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TTF_daily + markup</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0.5 c€/kWh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Engie Gas Comfort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TTF_monthly + markup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 c€/kWh</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Luminus Gas Flex</w:t>
            </w:r>
          </w:p>
        </w:tc>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TTF_monthly + markup</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1.8 c€/kWh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Eneco Gas Flex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TTF_monthly + markup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c€/kWh</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TotalEnergies Gas Comfort</w:t>
            </w:r>
          </w:p>
        </w:tc>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TTF_monthly + markup</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1.9 c€/kWh</w:t>
            </w:r>
          </w:p>
        </w:tc>
      </w:tr>
    </w:tbl>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4. EV Charging Calculations</w:t>
      </w:r>
    </w:p>
    <w:p>
      <w:pPr>
        <w:pStyle w:val="Heading2"/>
        <w:spacing w:before="280" w:after="140"/>
      </w:pPr>
      <w:r>
        <w:rPr>
          <w:rFonts w:ascii="Arial" w:cs="Arial" w:eastAsia="Arial" w:hAnsi="Arial"/>
          <w:b/>
          <w:bCs/>
          <w:color w:val="0D9488"/>
          <w:sz w:val="26"/>
          <w:szCs w:val="26"/>
        </w:rPr>
        <w:t xml:space="preserve">4.1 Charging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EV Charge Cost</w:t>
            </w:r>
          </w:p>
          <w:p>
            <w:pPr>
              <w:spacing w:before="0" w:after="0"/>
            </w:pPr>
            <w:r>
              <w:rPr>
                <w:rFonts w:ascii="Arial" w:cs="Arial" w:eastAsia="Arial" w:hAnsi="Arial"/>
                <w:color w:val="333333"/>
                <w:sz w:val="20"/>
                <w:szCs w:val="20"/>
              </w:rPr>
              <w:t xml:space="preserve">kWh_needed = battery_kwh × (target_soc - current_soc) / 100
cost = kWh_needed × price_eur_kwh
charge_time_hours = kWh_needed / charger_kw</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4.2 Annual Savings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Annual Savings</w:t>
            </w:r>
          </w:p>
          <w:p>
            <w:pPr>
              <w:spacing w:before="0" w:after="0"/>
            </w:pPr>
            <w:r>
              <w:rPr>
                <w:rFonts w:ascii="Arial" w:cs="Arial" w:eastAsia="Arial" w:hAnsi="Arial"/>
                <w:color w:val="333333"/>
                <w:sz w:val="20"/>
                <w:szCs w:val="20"/>
              </w:rPr>
              <w:t xml:space="preserve">saving_per_charge = kWh_needed × (peak_price - cheapest_price) / 1000
annual_saving = saving_per_charge × estimated_charges_per_year (default: 150)</w:t>
            </w:r>
          </w:p>
        </w:tc>
      </w:tr>
    </w:tbl>
    <w:p>
      <w:pPr>
        <w:spacing w:before="120" w:after="120"/>
      </w:pPr>
      <w:r>
        <w:t xml:space="preserve"/>
      </w:r>
    </w:p>
    <w:p>
      <w:pPr>
        <w:spacing w:before="80" w:after="80"/>
        <w:jc w:val="left"/>
      </w:pPr>
      <w:r>
        <w:rPr>
          <w:rFonts w:ascii="Arial" w:cs="Arial" w:eastAsia="Arial" w:hAnsi="Arial"/>
          <w:color w:val="333333"/>
          <w:sz w:val="22"/>
          <w:szCs w:val="22"/>
        </w:rPr>
        <w:t xml:space="preserve">Typical Belgian EV driver: 15,000 km/year at 18 kWh/100km = 2,700 kWh/year charging. At a price spread of €100/MWh: €270/year savings. Heavy users (30,000 km) can save €500-800/year.</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5. Analytics System</w:t>
      </w:r>
    </w:p>
    <w:p>
      <w:pPr>
        <w:pStyle w:val="Heading2"/>
        <w:spacing w:before="280" w:after="140"/>
      </w:pPr>
      <w:r>
        <w:rPr>
          <w:rFonts w:ascii="Arial" w:cs="Arial" w:eastAsia="Arial" w:hAnsi="Arial"/>
          <w:b/>
          <w:bCs/>
          <w:color w:val="0D9488"/>
          <w:sz w:val="26"/>
          <w:szCs w:val="26"/>
        </w:rPr>
        <w:t xml:space="preserve">5.1 Tracked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0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page_view</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GET /api/prices/today</w:t>
            </w:r>
          </w:p>
        </w:tc>
        <w:tc>
          <w:tcPr>
            <w:tcW w:type="dxa" w:w="40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Every dashboard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guest_session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 same as page_view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Pre-v2 tracking</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login_attempt_email</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POST /auth/login</w:t>
            </w:r>
          </w:p>
        </w:tc>
        <w:tc>
          <w:tcPr>
            <w:tcW w:type="dxa" w:w="40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Email login attempt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login_attempt_google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/auth/google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OAuth initiation</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register_email</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POST /auth/register</w:t>
            </w:r>
          </w:p>
        </w:tc>
        <w:tc>
          <w:tcPr>
            <w:tcW w:type="dxa" w:w="40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New email registration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calculator_start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/api/suppliers/calculate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Electricity calculation</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calculator_start_gas</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POST /api/suppliers/calculate-gas</w:t>
            </w:r>
          </w:p>
        </w:tc>
        <w:tc>
          <w:tcPr>
            <w:tcW w:type="dxa" w:w="40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Gas calculation</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5.2 Date Filtering</w:t>
      </w:r>
    </w:p>
    <w:p>
      <w:pPr>
        <w:spacing w:before="80" w:after="80"/>
        <w:jc w:val="left"/>
      </w:pPr>
      <w:r>
        <w:rPr>
          <w:rFonts w:ascii="Arial" w:cs="Arial" w:eastAsia="Arial" w:hAnsi="Arial"/>
          <w:color w:val="333333"/>
          <w:sz w:val="22"/>
          <w:szCs w:val="22"/>
        </w:rPr>
        <w:t xml:space="preserve">The admin dashboard supports 1d (today since midnight Brussels time), 7d, 14d, 30d, and 90d windows. The 1-day filter uses DATE_TRUNC against Europe/Brussels timezone to ensure accurate same-day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1-Day Filter SQL</w:t>
            </w:r>
          </w:p>
          <w:p>
            <w:pPr>
              <w:spacing w:before="0" w:after="0"/>
            </w:pPr>
            <w:r>
              <w:rPr>
                <w:rFonts w:ascii="Arial" w:cs="Arial" w:eastAsia="Arial" w:hAnsi="Arial"/>
                <w:color w:val="333333"/>
                <w:sz w:val="20"/>
                <w:szCs w:val="20"/>
              </w:rPr>
              <w:t xml:space="preserve">WHERE created_at &gt;= DATE_TRUNC('day', NOW() AT TIME ZONE 'Europe/Brussels') AT TIME ZONE 'Europe/Brussels'</w:t>
            </w:r>
          </w:p>
        </w:tc>
      </w:tr>
    </w:tbl>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6. Authentication System</w:t>
      </w:r>
    </w:p>
    <w:p>
      <w:pPr>
        <w:pStyle w:val="Heading2"/>
        <w:spacing w:before="280" w:after="140"/>
      </w:pPr>
      <w:r>
        <w:rPr>
          <w:rFonts w:ascii="Arial" w:cs="Arial" w:eastAsia="Arial" w:hAnsi="Arial"/>
          <w:b/>
          <w:bCs/>
          <w:color w:val="0D9488"/>
          <w:sz w:val="26"/>
          <w:szCs w:val="26"/>
        </w:rPr>
        <w:t xml:space="preserve">6.1 Email/Password Auth</w:t>
      </w:r>
    </w:p>
    <w:p>
      <w:pPr>
        <w:pStyle w:val="ListParagraph"/>
        <w:numPr>
          <w:ilvl w:val="0"/>
          <w:numId w:val="2"/>
        </w:numPr>
        <w:spacing w:before="60" w:after="60"/>
      </w:pPr>
      <w:r>
        <w:rPr>
          <w:rFonts w:ascii="Arial" w:cs="Arial" w:eastAsia="Arial" w:hAnsi="Arial"/>
          <w:color w:val="333333"/>
          <w:sz w:val="22"/>
          <w:szCs w:val="22"/>
        </w:rPr>
        <w:t xml:space="preserve">Passwords hashed with bcrypt (12 rounds)</w:t>
      </w:r>
    </w:p>
    <w:p>
      <w:pPr>
        <w:pStyle w:val="ListParagraph"/>
        <w:numPr>
          <w:ilvl w:val="0"/>
          <w:numId w:val="2"/>
        </w:numPr>
        <w:spacing w:before="60" w:after="60"/>
      </w:pPr>
      <w:r>
        <w:rPr>
          <w:rFonts w:ascii="Arial" w:cs="Arial" w:eastAsia="Arial" w:hAnsi="Arial"/>
          <w:color w:val="333333"/>
          <w:sz w:val="22"/>
          <w:szCs w:val="22"/>
        </w:rPr>
        <w:t xml:space="preserve">JWT access tokens (7 day expiry)</w:t>
      </w:r>
    </w:p>
    <w:p>
      <w:pPr>
        <w:pStyle w:val="ListParagraph"/>
        <w:numPr>
          <w:ilvl w:val="0"/>
          <w:numId w:val="2"/>
        </w:numPr>
        <w:spacing w:before="60" w:after="60"/>
      </w:pPr>
      <w:r>
        <w:rPr>
          <w:rFonts w:ascii="Arial" w:cs="Arial" w:eastAsia="Arial" w:hAnsi="Arial"/>
          <w:color w:val="333333"/>
          <w:sz w:val="22"/>
          <w:szCs w:val="22"/>
        </w:rPr>
        <w:t xml:space="preserve">Tokens stored in httpOnly cookies + Authorization header</w:t>
      </w:r>
    </w:p>
    <w:p>
      <w:pPr>
        <w:pStyle w:val="ListParagraph"/>
        <w:numPr>
          <w:ilvl w:val="0"/>
          <w:numId w:val="2"/>
        </w:numPr>
        <w:spacing w:before="60" w:after="60"/>
      </w:pPr>
      <w:r>
        <w:rPr>
          <w:rFonts w:ascii="Arial" w:cs="Arial" w:eastAsia="Arial" w:hAnsi="Arial"/>
          <w:color w:val="333333"/>
          <w:sz w:val="22"/>
          <w:szCs w:val="22"/>
        </w:rPr>
        <w:t xml:space="preserve">Refresh on every authenticated request</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6.2 Google OAuth</w:t>
      </w:r>
    </w:p>
    <w:p>
      <w:pPr>
        <w:pStyle w:val="ListParagraph"/>
        <w:numPr>
          <w:ilvl w:val="0"/>
          <w:numId w:val="2"/>
        </w:numPr>
        <w:spacing w:before="60" w:after="60"/>
      </w:pPr>
      <w:r>
        <w:rPr>
          <w:rFonts w:ascii="Arial" w:cs="Arial" w:eastAsia="Arial" w:hAnsi="Arial"/>
          <w:color w:val="333333"/>
          <w:sz w:val="22"/>
          <w:szCs w:val="22"/>
        </w:rPr>
        <w:t xml:space="preserve">OAuth 2.0 flow via Google</w:t>
      </w:r>
    </w:p>
    <w:p>
      <w:pPr>
        <w:pStyle w:val="ListParagraph"/>
        <w:numPr>
          <w:ilvl w:val="0"/>
          <w:numId w:val="2"/>
        </w:numPr>
        <w:spacing w:before="60" w:after="60"/>
      </w:pPr>
      <w:r>
        <w:rPr>
          <w:rFonts w:ascii="Arial" w:cs="Arial" w:eastAsia="Arial" w:hAnsi="Arial"/>
          <w:color w:val="333333"/>
          <w:sz w:val="22"/>
          <w:szCs w:val="22"/>
        </w:rPr>
        <w:t xml:space="preserve">Callback: /auth/google/callback</w:t>
      </w:r>
    </w:p>
    <w:p>
      <w:pPr>
        <w:pStyle w:val="ListParagraph"/>
        <w:numPr>
          <w:ilvl w:val="0"/>
          <w:numId w:val="2"/>
        </w:numPr>
        <w:spacing w:before="60" w:after="60"/>
      </w:pPr>
      <w:r>
        <w:rPr>
          <w:rFonts w:ascii="Arial" w:cs="Arial" w:eastAsia="Arial" w:hAnsi="Arial"/>
          <w:color w:val="333333"/>
          <w:sz w:val="22"/>
          <w:szCs w:val="22"/>
        </w:rPr>
        <w:t xml:space="preserve">Email extracted from Google profile, stored in users table</w:t>
      </w:r>
    </w:p>
    <w:p>
      <w:pPr>
        <w:pStyle w:val="ListParagraph"/>
        <w:numPr>
          <w:ilvl w:val="0"/>
          <w:numId w:val="2"/>
        </w:numPr>
        <w:spacing w:before="60" w:after="60"/>
      </w:pPr>
      <w:r>
        <w:rPr>
          <w:rFonts w:ascii="Arial" w:cs="Arial" w:eastAsia="Arial" w:hAnsi="Arial"/>
          <w:color w:val="333333"/>
          <w:sz w:val="22"/>
          <w:szCs w:val="22"/>
        </w:rPr>
        <w:t xml:space="preserve">If email already exists (email auth), accounts are merged</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6.3 JWT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JWT Payload</w:t>
            </w:r>
          </w:p>
          <w:p>
            <w:pPr>
              <w:spacing w:before="0" w:after="0"/>
            </w:pPr>
            <w:r>
              <w:rPr>
                <w:rFonts w:ascii="Arial" w:cs="Arial" w:eastAsia="Arial" w:hAnsi="Arial"/>
                <w:color w:val="333333"/>
                <w:sz w:val="20"/>
                <w:szCs w:val="20"/>
              </w:rPr>
              <w:t xml:space="preserve">{ "userId": "uuid", "email": "user@example.com", "iat": timestamp, "exp": timestamp }</w:t>
            </w:r>
          </w:p>
        </w:tc>
      </w:tr>
    </w:tbl>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7. Database Schema</w:t>
      </w:r>
    </w:p>
    <w:p>
      <w:pPr>
        <w:pStyle w:val="Heading2"/>
        <w:spacing w:before="280" w:after="140"/>
      </w:pPr>
      <w:r>
        <w:rPr>
          <w:rFonts w:ascii="Arial" w:cs="Arial" w:eastAsia="Arial" w:hAnsi="Arial"/>
          <w:b/>
          <w:bCs/>
          <w:color w:val="0D9488"/>
          <w:sz w:val="26"/>
          <w:szCs w:val="26"/>
        </w:rP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id, email, name, password_hash, providers, preferences</w:t>
            </w:r>
          </w:p>
        </w:tc>
        <w:tc>
          <w:tcPr>
            <w:tcW w:type="dxa" w:w="3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User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price_cache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 price_eur_mwh, source, day, 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EPEX price storage</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analytics_events</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id, event, method, user_id, session_id, path, ip, created_at</w:t>
            </w:r>
          </w:p>
        </w:tc>
        <w:tc>
          <w:tcPr>
            <w:tcW w:type="dxa" w:w="3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333333"/>
                <w:sz w:val="20"/>
                <w:szCs w:val="20"/>
              </w:rPr>
              <w:t xml:space="preserve">Usage tracking</w:t>
            </w:r>
          </w:p>
        </w:tc>
      </w:tr>
    </w:tbl>
    <w:p>
      <w:pPr>
        <w:spacing w:before="120" w:after="120"/>
      </w:pPr>
      <w:r>
        <w:t xml:space="preserve"/>
      </w:r>
    </w:p>
    <w:p>
      <w:pPr>
        <w:pStyle w:val="Heading2"/>
        <w:spacing w:before="280" w:after="140"/>
      </w:pPr>
      <w:r>
        <w:rPr>
          <w:rFonts w:ascii="Arial" w:cs="Arial" w:eastAsia="Arial" w:hAnsi="Arial"/>
          <w:b/>
          <w:bCs/>
          <w:color w:val="0D9488"/>
          <w:sz w:val="26"/>
          <w:szCs w:val="26"/>
        </w:rPr>
        <w:t xml:space="preserve">7.2 User Preferences (JSONB)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preferences column</w:t>
            </w:r>
          </w:p>
          <w:p>
            <w:pPr>
              <w:spacing w:before="0" w:after="0"/>
            </w:pPr>
            <w:r>
              <w:rPr>
                <w:rFonts w:ascii="Arial" w:cs="Arial" w:eastAsia="Arial" w:hAnsi="Arial"/>
                <w:color w:val="333333"/>
                <w:sz w:val="20"/>
                <w:szCs w:val="20"/>
              </w:rPr>
              <w:t xml:space="preserve">{ "supplier": "Bolt Energy", "alertThreshold": 80, "alertEnabled": false, "postcode": "2000"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2026-03-15T19:19:11.569Z</dcterms:created>
  <dcterms:modified xsi:type="dcterms:W3CDTF">2026-03-15T19:19:11.569Z</dcterms:modified>
</cp:coreProperties>
</file>

<file path=docProps/custom.xml><?xml version="1.0" encoding="utf-8"?>
<Properties xmlns="http://schemas.openxmlformats.org/officeDocument/2006/custom-properties" xmlns:vt="http://schemas.openxmlformats.org/officeDocument/2006/docPropsVTypes"/>
</file>