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HanuAi ML Assessment — Task 1</w:t>
      </w:r>
    </w:p>
    <w:p>
      <w:pPr>
        <w:jc w:val="center"/>
      </w:pPr>
      <w:r>
        <w:t>BestBuy Canada Review Scraping &amp; Sentiment Analysis</w:t>
      </w:r>
    </w:p>
    <w:p>
      <w:r>
        <w:t>Implementation notebook and output template provided. No reviews have been fabricated or represented as scraped.</w:t>
      </w:r>
    </w:p>
    <w:p>
      <w:pPr>
        <w:pStyle w:val="Heading1"/>
      </w:pPr>
      <w:r>
        <w:t>1. Responsible data collection</w:t>
      </w:r>
    </w:p>
    <w:p>
      <w:r>
        <w:t>Before running the notebook, check Best Buy Canada's current Terms of Use, robots.txt, and permitted access methods. Select a public product page with at least 50 visible reviews, then verify that automated collection is allowed. If it is not, use an approved API, export, or permitted public dataset.</w:t>
      </w:r>
    </w:p>
    <w:p>
      <w:pPr>
        <w:pStyle w:val="Heading1"/>
      </w:pPr>
      <w:r>
        <w:t>2. Notebook workflow</w:t>
      </w:r>
    </w:p>
    <w:p>
      <w:pPr>
        <w:pStyle w:val="ListNumber"/>
      </w:pPr>
      <w:r>
        <w:t>Navigate to a configured product URL using Selenium and inspect visible review content with Beautiful Soup.</w:t>
      </w:r>
    </w:p>
    <w:p>
      <w:pPr>
        <w:pStyle w:val="ListNumber"/>
      </w:pPr>
      <w:r>
        <w:t>Attempt available sort options and the visible Show More control, verifying each control before use.</w:t>
      </w:r>
    </w:p>
    <w:p>
      <w:pPr>
        <w:pStyle w:val="ListNumber"/>
      </w:pPr>
      <w:r>
        <w:t>Extract a generated primary key, title, review text, normalized date, rating, source, reviewer display name and sort filter.</w:t>
      </w:r>
    </w:p>
    <w:p>
      <w:pPr>
        <w:pStyle w:val="ListNumber"/>
      </w:pPr>
      <w:r>
        <w:t>Deduplicate reviews across overlapping sort views using a content-derived hash.</w:t>
      </w:r>
    </w:p>
    <w:p>
      <w:pPr>
        <w:pStyle w:val="ListNumber"/>
      </w:pPr>
      <w:r>
        <w:t>Apply VADER sentiment as a baseline and map text to aspect-plus-sentiment tags. Validate against manually labelled examples.</w:t>
      </w:r>
    </w:p>
    <w:p>
      <w:pPr>
        <w:pStyle w:val="Heading1"/>
      </w:pPr>
      <w:r>
        <w:t>3. Handling scraping obstacles</w:t>
      </w:r>
    </w:p>
    <w:p>
      <w:pPr>
        <w:pStyle w:val="Heading2"/>
      </w:pPr>
      <w:r>
        <w:t>Transient failures and retries</w:t>
      </w:r>
    </w:p>
    <w:p>
      <w:r>
        <w:t>Use bounded retries with exponential backoff for transient navigation or connection errors. Keep request rates low, add jitter, log failures, and stop after repeated errors. Do not repeatedly retry an access denial.</w:t>
      </w:r>
    </w:p>
    <w:p>
      <w:pPr>
        <w:pStyle w:val="Heading2"/>
      </w:pPr>
      <w:r>
        <w:t>IP blocks and proxies</w:t>
      </w:r>
    </w:p>
    <w:p>
      <w:r>
        <w:t>IP rotation can be misused to evade site restrictions. This implementation does not rotate proxies. Use only an approved organizational proxy for legitimate network reliability and only where site policy permits; never use proxies to circumvent rate limits or access controls.</w:t>
      </w:r>
    </w:p>
    <w:p>
      <w:pPr>
        <w:pStyle w:val="Heading2"/>
      </w:pPr>
      <w:r>
        <w:t>CAPTCHA and bot detection</w:t>
      </w:r>
    </w:p>
    <w:p>
      <w:r>
        <w:t>Do not bypass CAPTCHA or stealth controls. If a challenge appears, stop collection, document the blocker, and request permission or use an authorized data source. Standard browser headers are not a license to conceal automation.</w:t>
      </w:r>
    </w:p>
    <w:p>
      <w:pPr>
        <w:pStyle w:val="Heading2"/>
      </w:pPr>
      <w:r>
        <w:t>Pagination and filters</w:t>
      </w:r>
    </w:p>
    <w:p>
      <w:r>
        <w:t>Review interfaces change frequently. Inspect current public markup and adjust selectors. Confirm that the chosen sort was applied; skip unavailable filters rather than falsely labelling the output. Deduplicate results gathered from multiple sort passes.</w:t>
      </w:r>
    </w:p>
    <w:p>
      <w:pPr>
        <w:pStyle w:val="Heading1"/>
      </w:pPr>
      <w:r>
        <w:t>4. Sentiment and business interpretation</w:t>
      </w:r>
    </w:p>
    <w:p>
      <w:r>
        <w:t>The notebook produces positive, neutral and negative labels plus aspect tags such as Design &amp; Quality, Performance, Ease of Use/Setup, Value/Price, Reliability/Defect and Delivery/Service. These are candidate signals, not verified findings until a real, permitted review dataset is collected.</w:t>
      </w:r>
    </w:p>
    <w:p>
      <w:r>
        <w:t>Recommended stakeholder outputs after collection: sentiment distribution, star-rating distribution, top positive aspects, top complaint themes among low-star reviews, and examples manually checked for model errors. Prioritize recurring negative themes by volume and business impact.</w:t>
      </w:r>
    </w:p>
    <w:p>
      <w:pPr>
        <w:pStyle w:val="Heading1"/>
      </w:pPr>
      <w:r>
        <w:t>5. Limitations</w:t>
      </w:r>
    </w:p>
    <w:p>
      <w:r>
        <w:t>The site's markup and sorting controls may differ from the notebook's generic selectors. A human must verify selectors and site permission. VADER is a baseline and can misclassify sarcasm, mixed sentiment, short text and non-English reviews. A manually labelled validation sample is recommended.</w:t>
      </w:r>
    </w:p>
    <w:p>
      <w:pPr>
        <w:pStyle w:val="Heading1"/>
      </w:pPr>
      <w:r>
        <w:t>Included artifacts</w:t>
      </w:r>
    </w:p>
    <w:p>
      <w:r>
        <w:t>HanuAi_Task1_BestBuy_Sentiment.ipynb — annotated scraper and sentiment workflow. task1_reviews_output_template.csv — blank schema template; it contains no fabricated review records.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