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HanuAi ML Assessment — Task 2</w:t>
      </w:r>
    </w:p>
    <w:p>
      <w:pPr>
        <w:jc w:val="center"/>
      </w:pPr>
      <w:r>
        <w:t>EDA, Text Mining, Issue Categorization and Clustering</w:t>
      </w:r>
    </w:p>
    <w:p>
      <w:r>
        <w:t>Prepared from the supplied dataset: Hanuai task2 assignment.csv</w:t>
      </w:r>
    </w:p>
    <w:p>
      <w:pPr>
        <w:pStyle w:val="Heading1"/>
      </w:pPr>
      <w:r>
        <w:t>1. Executive summary</w:t>
      </w:r>
    </w:p>
    <w:p>
      <w:r>
        <w:t>The supplied file contains 1,000 event records and 20 original columns. The main narratives are CAUSAL_VERBATIM, CORRECTION_VERBATIM and CUSTOMER_VERBATIM. These fields describe symptoms, diagnostic steps and repairs, so combining them supports issue discovery. A transparent multi-label keyword taxonomy and TF-IDF/K-Means clustering were added to help prioritize review; they should be treated as triage outputs rather than confirmed engineering root causes.</w:t>
      </w:r>
    </w:p>
    <w:p>
      <w:pPr>
        <w:pStyle w:val="Heading1"/>
      </w:pPr>
      <w:r>
        <w:t>2. Data understanding and quality</w:t>
      </w:r>
    </w:p>
    <w:p>
      <w:r>
        <w:t>Exact duplicate rows: 0. Duplicate Event IDs: 0. Opened date range after parsing: 2019-08-27 00:00:00+00:00 to 2021-06-01 00:00:00+00:00.</w:t>
      </w:r>
    </w:p>
    <w:p>
      <w:r>
        <w:t>Original fields were preserved. Date columns were parsed into additional analysis fields rather than overwritten. Narrative nulls were converted to empty strings only for text processing. List-like entity columns were parsed with ast.literal_eval.</w:t>
      </w:r>
    </w:p>
    <w:p>
      <w:r>
        <w:t>High-missingness columns (995 of 1,000 rows missing in each) are: Trigger, Failure Component, Failure Condition, Additional Context, Fix Component, Fix Condition. These fields should not be used as reliable population-level measures without checking why values are absent.</w:t>
      </w:r>
    </w:p>
    <w:p>
      <w:pPr>
        <w:pStyle w:val="Heading1"/>
      </w:pPr>
      <w:r>
        <w:t>3. Initial issue patterns</w:t>
      </w:r>
    </w:p>
    <w:p>
      <w:r>
        <w:t>Primary issue category counts are based on a first-match rule hierarchy; multi-label tags retain overlapping evidence. Counts are exploratory and depend on the taxonomy and wording of the narrative.</w:t>
      </w:r>
    </w:p>
    <w:p>
      <w:pPr>
        <w:pStyle w:val="ListBullet"/>
      </w:pPr>
      <w:r>
        <w:t>Radio / Audio Failure: 548 records (54.8%)</w:t>
      </w:r>
    </w:p>
    <w:p>
      <w:pPr>
        <w:pStyle w:val="ListBullet"/>
      </w:pPr>
      <w:r>
        <w:t>Display / Black Screen: 442 records (44.2%)</w:t>
      </w:r>
    </w:p>
    <w:p>
      <w:pPr>
        <w:pStyle w:val="ListBullet"/>
      </w:pPr>
      <w:r>
        <w:t>Connectivity / Network: 3 records (0.3%)</w:t>
      </w:r>
    </w:p>
    <w:p>
      <w:pPr>
        <w:pStyle w:val="ListBullet"/>
      </w:pPr>
      <w:r>
        <w:t>Other / Unclassified: 3 records (0.3%)</w:t>
      </w:r>
    </w:p>
    <w:p>
      <w:pPr>
        <w:pStyle w:val="ListBullet"/>
      </w:pPr>
      <w:r>
        <w:t>Electrical / Power: 1 records (0.1%)</w:t>
      </w:r>
    </w:p>
    <w:p>
      <w:pPr>
        <w:pStyle w:val="ListBullet"/>
      </w:pPr>
      <w:r>
        <w:t>Software / Programming: 1 records (0.1%)</w:t>
      </w:r>
    </w:p>
    <w:p>
      <w:pPr>
        <w:pStyle w:val="ListBullet"/>
      </w:pPr>
      <w:r>
        <w:t>Controls / Buttons: 1 records (0.1%)</w:t>
      </w:r>
    </w:p>
    <w:p>
      <w:pPr>
        <w:pStyle w:val="ListBullet"/>
      </w:pPr>
      <w:r>
        <w:t>Communication / Data Bus: 1 records (0.1%)</w:t>
      </w:r>
    </w:p>
    <w:p>
      <w:r>
        <w:t>Frequently observed structured component tags include: Display (4), Radio (3), Audio Unit (1), OnStar (1), Radio Module (1).</w:t>
      </w:r>
    </w:p>
    <w:p>
      <w:r>
        <w:t>Frequently observed structured symptom tags include: Black Screen (3), Inoperative (3), Controls Irresponsive (1), No Sound (1), Internal Fault (1).</w:t>
      </w:r>
    </w:p>
    <w:p>
      <w:r>
        <w:t>Frequently observed fix-condition tags include: Replaced (5), Programmed (3).</w:t>
      </w:r>
    </w:p>
    <w:p>
      <w:pPr>
        <w:pStyle w:val="Heading1"/>
      </w:pPr>
      <w:r>
        <w:t>4. Text mining and clustering method</w:t>
      </w:r>
    </w:p>
    <w:p>
      <w:r>
        <w:t>Narrative text was formed by joining cause, correction and customer complaint fields. A transparent regex taxonomy identified themes such as display/black screen, radio/audio, connectivity, electrical/power, controls, software/programming, communication/data bus, antenna/satellite signal and intermittent failures.</w:t>
      </w:r>
    </w:p>
    <w:p>
      <w:r>
        <w:t>TF-IDF unigram/bigram vectors were clustered using K-Means with 6 clusters. Each cluster was described using its highest-weight terms. Clusters are descriptive groups; their IDs are arbitrary and their terms are not causal proof.</w:t>
      </w:r>
    </w:p>
    <w:p>
      <w:pPr>
        <w:pStyle w:val="Heading1"/>
      </w:pPr>
      <w:r>
        <w:t>5. Recommendations and potential business value</w:t>
      </w:r>
    </w:p>
    <w:p>
      <w:pPr>
        <w:pStyle w:val="ListBullet"/>
      </w:pPr>
      <w:r>
        <w:t>Create a validated issue taxonomy with engineering/service experts. Review a stratified sample of tagged, untagged and conflicting records; measure precision and recall before operational deployment.</w:t>
      </w:r>
    </w:p>
    <w:p>
      <w:pPr>
        <w:pStyle w:val="ListBullet"/>
      </w:pPr>
      <w:r>
        <w:t>Prioritize repeated radio/display/audio symptoms for structured failure analysis. Link each event to component part number, software version, diagnostic codes, repair action and post-repair recurrence where available.</w:t>
      </w:r>
    </w:p>
    <w:p>
      <w:pPr>
        <w:pStyle w:val="ListBullet"/>
      </w:pPr>
      <w:r>
        <w:t>Investigate connectivity and data-bus narratives separately from hardware replacement. Compare circuit test results, software/programming outcomes and module swaps to distinguish electrical, software and component causes.</w:t>
      </w:r>
    </w:p>
    <w:p>
      <w:pPr>
        <w:pStyle w:val="ListBullet"/>
      </w:pPr>
      <w:r>
        <w:t>Track event rates by model year, build plant, vehicle population and time-in-service. Raw event counts alone can be misleading without exposure denominators.</w:t>
      </w:r>
    </w:p>
    <w:p>
      <w:pPr>
        <w:pStyle w:val="ListBullet"/>
      </w:pPr>
      <w:r>
        <w:t>Build a monitoring dashboard for top issue categories, symptoms, fix actions, monthly trends and repeat repairs. Add alerts only after establishing stable baselines and data-quality checks.</w:t>
      </w:r>
    </w:p>
    <w:p>
      <w:pPr>
        <w:pStyle w:val="ListBullet"/>
      </w:pPr>
      <w:r>
        <w:t>Improve data capture: standardize symptom codes, preserve error codes, require repair outcome, capture part/software version, and reduce free-text-only reporting.</w:t>
      </w:r>
    </w:p>
    <w:p>
      <w:pPr>
        <w:pStyle w:val="ListBullet"/>
      </w:pPr>
      <w:r>
        <w:t>Use text clusters to identify emerging or uncommon patterns, then route high-impact clusters to engineering review. Do not automatically assign root cause from cluster terms.</w:t>
      </w:r>
    </w:p>
    <w:p>
      <w:pPr>
        <w:pStyle w:val="Heading1"/>
      </w:pPr>
      <w:r>
        <w:t>6. Limitations and further improvements</w:t>
      </w:r>
    </w:p>
    <w:p>
      <w:r>
        <w:t>The dataset is a 1,000-row extract and may not represent the full fleet or all repair events. Several structured tag fields are largely missing. Keyword rules can miss synonyms, negation and multilingual text; a record mentioning a component does not prove it failed. K-Means depends on vectorization choices and cluster count.</w:t>
      </w:r>
    </w:p>
    <w:p>
      <w:r>
        <w:t>Next steps: establish a labelled gold-standard sample, add language detection and domain-specific phrase normalization, compare TF-IDF clustering with BERTopic or embeddings if dependencies and compute allow, link repair outcomes and recurrence, and validate candidate root causes with engineering evidence.</w:t>
      </w:r>
    </w:p>
    <w:p>
      <w:pPr>
        <w:pStyle w:val="Heading1"/>
      </w:pPr>
      <w:r>
        <w:t>7. Included artifacts</w:t>
      </w:r>
    </w:p>
    <w:p>
      <w:r>
        <w:t>HanuAi_Task2_EDA_TextMining.ipynb — annotated workflow. task2_enriched_dataset.csv — source data plus mined tags and cluster labels. task2_analysis_outputs.xlsx — enriched records, data quality, category counts, top components/symptoms/fixes, cluster terms and time counts.</w:t>
      </w:r>
    </w:p>
    <w:p>
      <w:r>
        <w:drawing>
          <wp:inline xmlns:a="http://schemas.openxmlformats.org/drawingml/2006/main" xmlns:pic="http://schemas.openxmlformats.org/drawingml/2006/picture">
            <wp:extent cx="5577840" cy="2231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_catego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577840" cy="223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mpon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577840" cy="2231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ndi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577840" cy="2231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_by_y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