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Single-Piece DfAM Redesign of a Liquid Rocket Injector/Nozzle Assembly</w:t>
      </w:r>
    </w:p>
    <w:p>
      <w:pPr>
        <w:spacing w:after="400"/>
      </w:pPr>
      <w:r>
        <w:rPr>
          <w:i/>
          <w:iCs/>
          <w:sz w:val="22"/>
          <w:szCs w:val="22"/>
        </w:rPr>
        <w:t xml:space="preserve">A Design-for-Additive-Manufacturing case study: propulsion calculations, baseline CAD, single-piece redesign, structural validation, and instrumentation design</w:t>
      </w:r>
    </w:p>
    <w:p>
      <w:pPr>
        <w:pStyle w:val="Heading1"/>
        <w:spacing w:after="200" w:before="400"/>
      </w:pPr>
      <w:r>
        <w:t xml:space="preserve">1. Motivation</w:t>
      </w:r>
    </w:p>
    <w:p>
      <w:pPr>
        <w:spacing w:after="160"/>
      </w:pPr>
      <w:r>
        <w:t xml:space="preserve">Several modern small-launch-vehicle companies have moved toward 3D-printing entire rocket engines as a single piece, eliminating the joints, fasteners, and assembly steps inherent to traditionally machined multi-part engines. This project applies that same design philosophy at a smaller, student-accessible scale: a conventionally-designed multi-part injector/nozzle assembly is redesigned as one consolidated additively-manufactured part, and the redesign is validated using hand calculations and simulation.</w:t>
      </w:r>
    </w:p>
    <w:p>
      <w:pPr>
        <w:spacing w:after="160"/>
      </w:pPr>
      <w:r>
        <w:t xml:space="preserve">The project uses representative values for a generic small LOX/Kerosene test-case engine throughout — not any specific company's proprietary specifications.</w:t>
      </w:r>
    </w:p>
    <w:p>
      <w:pPr>
        <w:pStyle w:val="Heading1"/>
        <w:spacing w:after="200" w:before="400"/>
      </w:pPr>
      <w:r>
        <w:t xml:space="preserve">2. Design Targets (Propulsion Calculations)</w:t>
      </w:r>
    </w:p>
    <w:p>
      <w:pPr>
        <w:spacing w:after="160"/>
      </w:pPr>
      <w:r>
        <w:t xml:space="preserve">A Python script (SciPy) was used to derive design targets from a set of assumed operating parameters, representative of a small liquid engine test case.</w:t>
      </w:r>
    </w:p>
    <w:p>
      <w:pPr>
        <w:pStyle w:val="Heading2"/>
        <w:spacing w:after="150" w:before="300"/>
      </w:pPr>
      <w:r>
        <w:t xml:space="preserve">2.1 Assumed Inputs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Target thrust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3,000 N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Chamber pressure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20 bar (2 MPa)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Propellants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LOX / Kerosene (RP-1)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Assumed sea-level Isp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290 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Oxidizer:fuel ratio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2.5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Characteristic velocity (c*)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1,750 m/s</w:t>
            </w:r>
          </w:p>
        </w:tc>
      </w:tr>
    </w:tbl>
    <w:p>
      <w:pPr>
        <w:pStyle w:val="Heading2"/>
        <w:spacing w:after="150" w:before="300"/>
      </w:pPr>
      <w:r>
        <w:t xml:space="preserve">2.2 Calculated Design Targets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Output</w:t>
            </w:r>
          </w:p>
        </w:tc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Total propellant mass flow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1.055 kg/s (0.753 ox + 0.301 fuel)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Injector pressure drop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3.5 bar (17.5% of chamber pressure)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Oxidizer orifices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49 × 1.0 mm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Fuel orifices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24 × 1.0 mm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Throat diameter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34.28 mm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Exit diameter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64.97 mm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Exit Mach number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2.54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Area ratio (Ae/At)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3.59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Estimated heat flux (throat)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19.2 MW/m²</w:t>
            </w:r>
          </w:p>
        </w:tc>
      </w:tr>
    </w:tbl>
    <w:p>
      <w:pPr>
        <w:pStyle w:val="Heading2"/>
        <w:spacing w:after="150" w:before="300"/>
      </w:pPr>
      <w:r>
        <w:t xml:space="preserve">2.3 Chamber Geometry Check</w:t>
      </w:r>
    </w:p>
    <w:p>
      <w:pPr>
        <w:spacing w:after="160"/>
      </w:pPr>
      <w:r>
        <w:t xml:space="preserve">A characteristic-length (L*) and contraction-ratio check was run against the as-modeled baseline chamber dimensions (Ø55mm bore, 90mm straight length). This returned L* ≈ 263mm, against a typical LOX/Kerosene design range of 800–1500mm. This indicates the chamber, as modeled, is shorter than standard practice would recommend for complete combustion residence time. This is documented as a known limitation; it does not affect the validity of the single-piece consolidation comparison, which is geometry-independent of chamber length.</w:t>
      </w:r>
    </w:p>
    <w:p>
      <w:pPr>
        <w:pStyle w:val="Heading1"/>
        <w:spacing w:after="200" w:before="400"/>
      </w:pPr>
      <w:r>
        <w:t xml:space="preserve">3. Baseline Design (Multi-Part)</w:t>
      </w:r>
    </w:p>
    <w:p>
      <w:pPr>
        <w:spacing w:after="160"/>
      </w:pPr>
      <w:r>
        <w:t xml:space="preserve">The baseline assembly was modeled in Autodesk Fusion 360 (Personal Use license) as three separate components, representative of a traditionally-machined engine assembly: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Injector plate — Ø70mm disk, 10mm thick, with 73 injector holes (49 oxidizer + 24 fuel) across 5 concentric rings (Ø12/18/24/30/36mm), plus an Ø82mm mounting flange with 8 ×4.5mm clearance holes on a Ø76mm bolt circle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Combustion chamber — Ø55mm ID, Ø65mm OD, 90mm straight length, 5mm wall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Nozzle — converging-diverging profile, Ø55mm inlet, Ø34.28mm throat, Ø64.97mm exit, 70mm axial length</w:t>
      </w:r>
    </w:p>
    <w:p>
      <w:pPr>
        <w:spacing w:after="160"/>
      </w:pPr>
      <w:r>
        <w:t xml:space="preserve">The three components were assembled using two rigid joints (injector-to-chamber, chamber-to-nozzle). Only the injector-to-chamber interface includes a bolted flange (8 × M4 clearance holes); the chamber-to-nozzle interface is a positional joint only, without modeled fasteners — noted here as an acknowledged simplification of the baseline.</w:t>
      </w:r>
    </w:p>
    <w:p>
      <w:pPr>
        <w:pStyle w:val="Heading1"/>
        <w:spacing w:after="200" w:before="400"/>
      </w:pPr>
      <w:r>
        <w:t xml:space="preserve">4. Single-Piece DfAM Redesign</w:t>
      </w:r>
    </w:p>
    <w:p>
      <w:pPr>
        <w:spacing w:after="160"/>
      </w:pPr>
      <w:r>
        <w:t xml:space="preserve">The redesign consolidates all three baseline components into a single revolved solid body, modeled directly from the same throat/exit/injector dimensions as the baseline, ensuring a fair comparison.</w:t>
      </w:r>
    </w:p>
    <w:p>
      <w:pPr>
        <w:pStyle w:val="Heading2"/>
        <w:spacing w:after="150" w:before="300"/>
      </w:pPr>
      <w:r>
        <w:t xml:space="preserve">4.1 Design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continuous revolved body from injector face through chamber, throat, and nozzle exit — no seams, flanges, or fasteners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Same 73-hole injector pattern (49 oxidizer + 24 fuel), cut into a solid 10mm end cap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 integrated cooling channels (1.5mm liner + 3mm channel height + 2.5mm outer skin), left open at both ends to allow powder removal in a metal powder-bed process and to double as coolant ports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1mm fillets at the two internal direction-change corners (chamber-to-throat, throat-to-nozzle) to reduce stress concentration</w:t>
      </w:r>
    </w:p>
    <w:p>
      <w:pPr>
        <w:pStyle w:val="Heading2"/>
        <w:spacing w:after="150" w:before="300"/>
      </w:pPr>
      <w:r>
        <w:t xml:space="preserve">4.2 Part-Count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Baseline (multi-part)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Redesign (single-piece)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Part count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Fastener interfaces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2 (1 bolted, 1 joint-only)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Mounting holes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Cooling provisions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6 integrated channels</w:t>
            </w:r>
          </w:p>
        </w:tc>
      </w:tr>
    </w:tbl>
    <w:p>
      <w:pPr>
        <w:spacing w:after="160"/>
      </w:pPr>
      <w:r>
        <w:t xml:space="preserve">Note: the cooling channel count (6) was reduced from a production-representative value (e.g. 24) to keep the modeling scope achievable within the project timeline; this is noted as a deliberate simplification.</w:t>
      </w:r>
    </w:p>
    <w:p>
      <w:pPr>
        <w:pStyle w:val="Heading1"/>
        <w:spacing w:after="200" w:before="400"/>
      </w:pPr>
      <w:r>
        <w:t xml:space="preserve">5. Structural &amp; Thermal Validation (SimScale)</w:t>
      </w:r>
    </w:p>
    <w:p>
      <w:pPr>
        <w:pStyle w:val="Heading2"/>
        <w:spacing w:after="150" w:before="300"/>
      </w:pPr>
      <w:r>
        <w:t xml:space="preserve">5.1 Structural Simulation</w:t>
      </w:r>
    </w:p>
    <w:p>
      <w:pPr>
        <w:spacing w:after="160"/>
      </w:pPr>
      <w:r>
        <w:t xml:space="preserve">A static structural simulation was run on the single-piece redesign under a 20 bar (2 MPa) internal pressure load, with the material assigned as Ti-6Al-4V (yield strength ≈ 880 MPa).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Maximum von Mises stress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141 MPa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Material yield strength (Ti-6Al-4V)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880 MPa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Safety factor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6.24</w:t>
            </w:r>
          </w:p>
        </w:tc>
      </w:tr>
    </w:tbl>
    <w:p>
      <w:pPr>
        <w:spacing w:after="160"/>
      </w:pPr>
      <w:r>
        <w:t xml:space="preserve">A safety factor of 6.24 indicates the 7mm wall thickness is structurally conservative for the applied pressure load — comfortably exceeding typical aerospace practice (1.5–2.0×). This suggests a future iteration could explore wall-thickness reduction to trade some margin for mass savings.</w:t>
      </w:r>
    </w:p>
    <w:p>
      <w:pPr>
        <w:pStyle w:val="Heading2"/>
        <w:spacing w:after="150" w:before="300"/>
      </w:pPr>
      <w:r>
        <w:t xml:space="preserve">5.2 Thermal Simulation — Documented Limitation</w:t>
      </w:r>
    </w:p>
    <w:p>
      <w:pPr>
        <w:spacing w:after="160"/>
      </w:pPr>
      <w:r>
        <w:t xml:space="preserve">A steady-state thermal simulation was attempted to validate the Stage 1 hand-calculated heat flux estimate (19.2 MW/m², target wall temperature 800K). The initial setup (Conjugate Heat Transfer analysis) produced non-physical results (solver divergence, reporting temperatures from −1832K to 7.99×10⁵K), most likely due to an incomplete fluid-flow boundary definition inherent to the CHT analysis type — a simpler steady-state conduction analysis would have been the more appropriate choice for the boundary conditions defined.</w:t>
      </w:r>
    </w:p>
    <w:p>
      <w:pPr>
        <w:spacing w:after="160"/>
      </w:pPr>
      <w:r>
        <w:t xml:space="preserve">Due to free-tier compute limits on the simulation platform, a corrected re-run was not completed within the project timeline. The Stage 1 first-order estimate is retained as the primary thermal reference for this project. This is reported transparently as a limitation rather than omitted, consistent with the project's overall approach of validating claims and documenting gaps honestly.</w:t>
      </w:r>
    </w:p>
    <w:p>
      <w:pPr>
        <w:pStyle w:val="Heading1"/>
        <w:spacing w:after="200" w:before="400"/>
      </w:pPr>
      <w:r>
        <w:t xml:space="preserve">6. Sensor &amp; Telemetry Board (KiCad)</w:t>
      </w:r>
    </w:p>
    <w:p>
      <w:pPr>
        <w:spacing w:after="160"/>
      </w:pPr>
      <w:r>
        <w:t xml:space="preserve">A sensor/telemetry PCB was designed in KiCad to represent how the redesigned part could be instrumented during a hypothetical static test — directly applying an electronics/embedded-systems background to a propulsion hardware context.</w:t>
      </w:r>
    </w:p>
    <w:p>
      <w:pPr>
        <w:pStyle w:val="Heading2"/>
        <w:spacing w:after="150" w:before="300"/>
      </w:pPr>
      <w:r>
        <w:t xml:space="preserve">6.1 Board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ESP32 microcontroller module for sensor readout and data logging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Chamber pressure sensor input (analog, with RC low-pass filtering)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Two thermocouple amplifier inputs (SPI) for throat and injector temperature monitoring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Onboard voltage regulation (barrel/terminal block input → 3.3V logic rail)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Reset button, status LEDs, 4-corner mounting holes</w:t>
      </w:r>
    </w:p>
    <w:p>
      <w:pPr>
        <w:spacing w:after="160"/>
      </w:pPr>
      <w:r>
        <w:t xml:space="preserve">The board passed design rule checks (DRC) with 0 errors. Schematic, PCB layout, Gerber/drill files, bill of materials, and a 3D render are included in the project repository.</w:t>
      </w:r>
    </w:p>
    <w:p>
      <w:pPr>
        <w:pStyle w:val="Heading1"/>
        <w:spacing w:after="200" w:before="400"/>
      </w:pPr>
      <w:r>
        <w:t xml:space="preserve">7. Known Limitations &amp; Future 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Chamber L* (263mm vs. a typical 800–1500mm range) — the as-modeled chamber is shorter than standard LOX/Kerosene practice would recommend; does not affect the validity of the part-count/consolidation comparison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Thermal simulation incomplete — documented above; a corrected steady-state conduction run is the logical next step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Cooling channel count reduced to 6 from a production-representative value for modeling-scope reasons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Coolant inlet/outlet port routing was not modeled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Print-readiness analysis (slicer-based orientation and support-structure check) was scoped as future work. The part would realistically be manufactured via metal powder-bed fusion rather than FDM; a slicer tool approximates general printability concepts (overhangs, orientation) but does not simulate the actual metal additive manufacturing process</w:t>
      </w:r>
    </w:p>
    <w:p>
      <w:pPr>
        <w:pStyle w:val="Heading1"/>
        <w:spacing w:after="200" w:before="400"/>
      </w:pPr>
      <w:r>
        <w:t xml:space="preserve">8. Conclusion</w:t>
      </w:r>
    </w:p>
    <w:p>
      <w:pPr>
        <w:spacing w:after="160"/>
      </w:pPr>
      <w:r>
        <w:t xml:space="preserve">This project demonstrates the practical reasoning behind single-piece additive manufacturing for rocket engine hardware: a 3-part, 8-fastener baseline assembly was redesigned as a single consolidated body with zero fasteners and integrated cooling — while remaining dimensionally consistent with hand-calculated propulsion design targets and passing a structural validation check with significant margin (SF = 6.24). Equally important, every limitation encountered along the way — the short chamber L*, the diverged thermal simulation, the reduced channel count — was investigated, understood, and documented rather than hidden, reflecting an engineering approach grounded in validating claims rather than assuming them.</w:t>
      </w:r>
    </w:p>
    <w:p>
      <w:pPr>
        <w:spacing w:after="160"/>
      </w:pPr>
      <w:r>
        <w:t xml:space="preserve">Tools used: Python (SciPy) for propulsion calculations; Autodesk Fusion 360 for CAD modeling and built-in simulation; SimScale for structural and thermal validation; and KiCad for sensor/telemetry PCB design.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2026-10-04T17:40:26.510Z</dcterms:created>
  <dcterms:modified xsi:type="dcterms:W3CDTF">2026-10-04T17:40:26.517Z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