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mbria" w:hAnsi="Cambria" w:cs="Cambria"/>
          <w:b/>
          <w:sz w:val="40"/>
        </w:rPr>
        <w:t>PhytoDiaGNN — Comprehensive Project Report</w:t>
      </w:r>
    </w:p>
    <w:p>
      <w:pPr>
        <w:jc w:val="center"/>
      </w:pPr>
      <w:r>
        <w:rPr>
          <w:rFonts w:ascii="Cambria" w:hAnsi="Cambria" w:cs="Cambria"/>
          <w:i/>
          <w:sz w:val="26"/>
        </w:rPr>
        <w:t>A Graph Neural Network–Driven Multi-Omics Framework for Cell-Type-Specific Discovery of Anti-Diabetic Phytochemicals</w:t>
      </w:r>
    </w:p>
    <w:p>
      <w:pPr>
        <w:jc w:val="center"/>
      </w:pPr>
      <w:r>
        <w:rPr>
          <w:rFonts w:ascii="Cambria" w:hAnsi="Cambria" w:cs="Cambria"/>
          <w:b/>
          <w:sz w:val="22"/>
        </w:rPr>
        <w:t>Status:</w:t>
      </w:r>
      <w:r>
        <w:rPr>
          <w:rFonts w:ascii="Cambria" w:hAnsi="Cambria" w:cs="Cambria"/>
          <w:sz w:val="22"/>
        </w:rPr>
        <w:t xml:space="preserve"> M1–M6 complete · all scripts reproducible · 9/9 tests passing</w:t>
      </w:r>
    </w:p>
    <w:p>
      <w:pPr>
        <w:jc w:val="center"/>
      </w:pPr>
      <w:r>
        <w:rPr>
          <w:rFonts w:ascii="Cambria" w:hAnsi="Cambria" w:cs="Cambria"/>
          <w:b/>
          <w:sz w:val="22"/>
        </w:rPr>
        <w:t>Compute profile:</w:t>
      </w:r>
      <w:r>
        <w:rPr>
          <w:rFonts w:ascii="Cambria" w:hAnsi="Cambria" w:cs="Cambria"/>
          <w:sz w:val="22"/>
        </w:rPr>
        <w:t xml:space="preserve"> CPU-only, 4 GB RAM, 4 cores (all caps chosen for this budget)</w:t>
      </w:r>
    </w:p>
    <w:p>
      <w:r>
        <w:br w:type="page"/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1. Executive Summary</w:t>
      </w:r>
    </w:p>
    <w:p>
      <w:r>
        <w:rPr>
          <w:rFonts w:ascii="Cambria" w:hAnsi="Cambria" w:cs="Cambria"/>
          <w:sz w:val="22"/>
        </w:rPr>
        <w:t xml:space="preserve">Type 2 diabetes mellitus (T2DM) is a </w:t>
      </w:r>
      <w:r>
        <w:rPr>
          <w:rFonts w:ascii="Cambria" w:hAnsi="Cambria" w:cs="Cambria"/>
          <w:i/>
          <w:sz w:val="22"/>
        </w:rPr>
        <w:t>multicellular systems disease</w:t>
      </w:r>
      <w:r>
        <w:rPr>
          <w:rFonts w:ascii="Cambria" w:hAnsi="Cambria" w:cs="Cambria"/>
          <w:sz w:val="22"/>
        </w:rPr>
        <w:t>, not a single-gene disease:</w:t>
      </w:r>
    </w:p>
    <w:p>
      <w:r>
        <w:rPr>
          <w:rFonts w:ascii="Cambria" w:hAnsi="Cambria" w:cs="Cambria"/>
          <w:sz w:val="22"/>
        </w:rPr>
        <w:t>thousands of genes become dysregulated across many cell types, and the pancreatic beta cell is the</w:t>
      </w:r>
    </w:p>
    <w:p>
      <w:r>
        <w:rPr>
          <w:rFonts w:ascii="Cambria" w:hAnsi="Cambria" w:cs="Cambria"/>
          <w:sz w:val="22"/>
        </w:rPr>
        <w:t>central casualty. Most computational drug-discovery pipelines reduce this complexity to a single</w:t>
      </w:r>
    </w:p>
    <w:p>
      <w:r>
        <w:rPr>
          <w:rFonts w:ascii="Cambria" w:hAnsi="Cambria" w:cs="Cambria"/>
          <w:sz w:val="22"/>
        </w:rPr>
        <w:t xml:space="preserve">question — </w:t>
      </w:r>
      <w:r>
        <w:rPr>
          <w:rFonts w:ascii="Cambria" w:hAnsi="Cambria" w:cs="Cambria"/>
          <w:i/>
          <w:sz w:val="22"/>
        </w:rPr>
        <w:t>"which compound binds this protein?"</w:t>
      </w:r>
      <w:r>
        <w:rPr>
          <w:rFonts w:ascii="Cambria" w:hAnsi="Cambria" w:cs="Cambria"/>
          <w:sz w:val="22"/>
        </w:rPr>
        <w:t xml:space="preserve"> — and thereby ignore the cell type, the disease</w:t>
      </w:r>
    </w:p>
    <w:p>
      <w:r>
        <w:rPr>
          <w:rFonts w:ascii="Cambria" w:hAnsi="Cambria" w:cs="Cambria"/>
          <w:sz w:val="22"/>
        </w:rPr>
        <w:t>biology, and the transcriptome entirely.</w:t>
      </w:r>
    </w:p>
    <w:p>
      <w:r>
        <w:rPr>
          <w:rFonts w:ascii="Cambria" w:hAnsi="Cambria" w:cs="Cambria"/>
          <w:sz w:val="22"/>
        </w:rPr>
        <w:t xml:space="preserve">PhytoDiaGNN reframes the question as: </w:t>
      </w:r>
      <w:r>
        <w:rPr>
          <w:rFonts w:ascii="Cambria" w:hAnsi="Cambria" w:cs="Cambria"/>
          <w:b/>
          <w:sz w:val="22"/>
        </w:rPr>
        <w:t>"which phytochemical reverses the molecular disease state of a</w:t>
      </w:r>
    </w:p>
    <w:p>
      <w:r>
        <w:rPr>
          <w:rFonts w:ascii="Cambria" w:hAnsi="Cambria" w:cs="Cambria"/>
          <w:b/>
          <w:sz w:val="22"/>
        </w:rPr>
        <w:t>specific diabetic cell type?"</w:t>
      </w:r>
      <w:r>
        <w:rPr>
          <w:rFonts w:ascii="Cambria" w:hAnsi="Cambria" w:cs="Cambria"/>
          <w:sz w:val="22"/>
        </w:rPr>
        <w:t xml:space="preserve"> The answer is assembled from four complementary lines of evidence: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Molecular truth</w:t>
      </w:r>
      <w:r>
        <w:rPr>
          <w:rFonts w:ascii="Cambria" w:hAnsi="Cambria" w:cs="Cambria"/>
          <w:sz w:val="22"/>
        </w:rPr>
        <w:t xml:space="preserve"> — a direction-balanced, cross-study replicated disease signature for each of</w:t>
      </w:r>
    </w:p>
    <w:p>
      <w:r>
        <w:rPr>
          <w:rFonts w:ascii="Cambria" w:hAnsi="Cambria" w:cs="Cambria"/>
          <w:sz w:val="22"/>
        </w:rPr>
        <w:t xml:space="preserve">   9 pancreatic cell types, derived from 3,880 single-cell islets (M2).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Spatial context</w:t>
      </w:r>
      <w:r>
        <w:rPr>
          <w:rFonts w:ascii="Cambria" w:hAnsi="Cambria" w:cs="Cambria"/>
          <w:sz w:val="22"/>
        </w:rPr>
        <w:t xml:space="preserve"> — where those cell states live in tissue, via NNLS deconvolution of Visium</w:t>
      </w:r>
    </w:p>
    <w:p>
      <w:r>
        <w:rPr>
          <w:rFonts w:ascii="Cambria" w:hAnsi="Cambria" w:cs="Cambria"/>
          <w:sz w:val="22"/>
        </w:rPr>
        <w:t xml:space="preserve">   spots into niches (M3; pipeline demonstrated on the approved 10x mouse-brain fallback because no</w:t>
      </w:r>
    </w:p>
    <w:p>
      <w:r>
        <w:rPr>
          <w:rFonts w:ascii="Cambria" w:hAnsi="Cambria" w:cs="Cambria"/>
          <w:sz w:val="22"/>
        </w:rPr>
        <w:t xml:space="preserve">   open human-pancreas Visium exists).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Pharmacological plausibility</w:t>
      </w:r>
      <w:r>
        <w:rPr>
          <w:rFonts w:ascii="Cambria" w:hAnsi="Cambria" w:cs="Cambria"/>
          <w:sz w:val="22"/>
        </w:rPr>
        <w:t xml:space="preserve"> — a heterogeneous knowledge graph (compounds–proteins–cell</w:t>
      </w:r>
    </w:p>
    <w:p>
      <w:r>
        <w:rPr>
          <w:rFonts w:ascii="Cambria" w:hAnsi="Cambria" w:cs="Cambria"/>
          <w:sz w:val="22"/>
        </w:rPr>
        <w:t xml:space="preserve">   types–disease) scored by a HeteroGraphSAGE link predictor, with an expression-grounding rule that</w:t>
      </w:r>
    </w:p>
    <w:p>
      <w:r>
        <w:rPr>
          <w:rFonts w:ascii="Cambria" w:hAnsi="Cambria" w:cs="Cambria"/>
          <w:sz w:val="22"/>
        </w:rPr>
        <w:t xml:space="preserve">   forbids biologically impossible predictions (M4/M5).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Physical plausibility</w:t>
      </w:r>
      <w:r>
        <w:rPr>
          <w:rFonts w:ascii="Cambria" w:hAnsi="Cambria" w:cs="Cambria"/>
          <w:sz w:val="22"/>
        </w:rPr>
        <w:t xml:space="preserve"> — AutoDock Vina validation against the diabetes-relevant receptors</w:t>
      </w:r>
    </w:p>
    <w:p>
      <w:r>
        <w:rPr>
          <w:rFonts w:ascii="Cambria" w:hAnsi="Cambria" w:cs="Cambria"/>
          <w:sz w:val="22"/>
        </w:rPr>
        <w:t xml:space="preserve">   PPARγ and GSK3β (M6).</w:t>
      </w:r>
    </w:p>
    <w:p>
      <w:r>
        <w:rPr>
          <w:rFonts w:ascii="Cambria" w:hAnsi="Cambria" w:cs="Cambria"/>
          <w:sz w:val="22"/>
        </w:rPr>
        <w:t>End-to-end, the framework recovers known anti-diabetic actives (GNN top-10% recovery 79%;</w:t>
      </w:r>
    </w:p>
    <w:p>
      <w:r>
        <w:rPr>
          <w:rFonts w:ascii="Cambria" w:hAnsi="Cambria" w:cs="Cambria"/>
          <w:sz w:val="22"/>
        </w:rPr>
        <w:t>GSK3β docking AUROC 0.80) and produces a shortlist of novel candidates, the strongest being</w:t>
      </w:r>
    </w:p>
    <w:p>
      <w:r>
        <w:rPr>
          <w:rFonts w:ascii="Cambria" w:hAnsi="Cambria" w:cs="Cambria"/>
          <w:b/>
          <w:sz w:val="22"/>
        </w:rPr>
        <w:t>NPC190454 (−7.3 kcal/mol GSK3β)</w:t>
      </w:r>
      <w:r>
        <w:rPr>
          <w:rFonts w:ascii="Cambria" w:hAnsi="Cambria" w:cs="Cambria"/>
          <w:sz w:val="22"/>
        </w:rPr>
        <w:t xml:space="preserve"> and </w:t>
      </w:r>
      <w:r>
        <w:rPr>
          <w:rFonts w:ascii="Cambria" w:hAnsi="Cambria" w:cs="Cambria"/>
          <w:b/>
          <w:sz w:val="22"/>
        </w:rPr>
        <w:t>NPC461221 (−6.6 kcal/mol GSK3β)</w:t>
      </w:r>
      <w:r>
        <w:rPr>
          <w:rFonts w:ascii="Cambria" w:hAnsi="Cambria" w:cs="Cambria"/>
          <w:sz w:val="22"/>
        </w:rPr>
        <w:t>, with</w:t>
      </w:r>
    </w:p>
    <w:p>
      <w:r>
        <w:rPr>
          <w:rFonts w:ascii="Cambria" w:hAnsi="Cambria" w:cs="Cambria"/>
          <w:sz w:val="22"/>
        </w:rPr>
        <w:t>mechanism-level explanations (e.g., PLK1 for NPC166788, TTR for NPC279121).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2. Biological Foundations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2.1 Diabetes is a multicellular systems disease</w:t>
      </w:r>
    </w:p>
    <w:p>
      <w:r>
        <w:rPr>
          <w:rFonts w:ascii="Cambria" w:hAnsi="Cambria" w:cs="Cambria"/>
          <w:sz w:val="22"/>
        </w:rPr>
        <w:t>T2DM arises from simultaneous dysregulation across tissues: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 type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Abnormality in T2DM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Pancreatic β-cells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Fail to produce/secrete enough insulin; undergo dysfunction and loss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Pancreatic α-cells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Secrete excess glucagon (paradoxical hyperglucagonemia)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Immune cells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Chronic, low-grade inflammation (macrophage infiltration of islets)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 cells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Vascular dysfunction, impaired perfusion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Adipocytes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Insulin resistance, altered adipokine secretion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Kidney podocytes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Damage leading to albuminuria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sz w:val="22"/>
        </w:rPr>
        <w:t xml:space="preserve">Each cell type develops its </w:t>
      </w:r>
      <w:r>
        <w:rPr>
          <w:rFonts w:ascii="Cambria" w:hAnsi="Cambria" w:cs="Cambria"/>
          <w:b/>
          <w:sz w:val="22"/>
        </w:rPr>
        <w:t>own molecular abnormalities</w:t>
      </w:r>
      <w:r>
        <w:rPr>
          <w:rFonts w:ascii="Cambria" w:hAnsi="Cambria" w:cs="Cambria"/>
          <w:sz w:val="22"/>
        </w:rPr>
        <w:t>, so a drug that helps β-cells may be</w:t>
      </w:r>
    </w:p>
    <w:p>
      <w:r>
        <w:rPr>
          <w:rFonts w:ascii="Cambria" w:hAnsi="Cambria" w:cs="Cambria"/>
          <w:sz w:val="22"/>
        </w:rPr>
        <w:t>useless or harmful elsewhere. Any discovery pipeline that ignores cell identity is answering the</w:t>
      </w:r>
    </w:p>
    <w:p>
      <w:r>
        <w:rPr>
          <w:rFonts w:ascii="Cambria" w:hAnsi="Cambria" w:cs="Cambria"/>
          <w:sz w:val="22"/>
        </w:rPr>
        <w:t>wrong question.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2.2 The islets of Langerhans</w:t>
      </w:r>
    </w:p>
    <w:p>
      <w:r>
        <w:rPr>
          <w:rFonts w:ascii="Cambria" w:hAnsi="Cambria" w:cs="Cambria"/>
          <w:sz w:val="22"/>
        </w:rPr>
        <w:t xml:space="preserve">The pancreas is a mixed organ: acinar/ductal cells make digestive enzymes, while the </w:t>
      </w:r>
      <w:r>
        <w:rPr>
          <w:rFonts w:ascii="Cambria" w:hAnsi="Cambria" w:cs="Cambria"/>
          <w:b/>
          <w:sz w:val="22"/>
        </w:rPr>
        <w:t>islets of</w:t>
      </w:r>
    </w:p>
    <w:p>
      <w:r>
        <w:rPr>
          <w:rFonts w:ascii="Cambria" w:hAnsi="Cambria" w:cs="Cambria"/>
          <w:b/>
          <w:sz w:val="22"/>
        </w:rPr>
        <w:t>Langerhans</w:t>
      </w:r>
      <w:r>
        <w:rPr>
          <w:rFonts w:ascii="Cambria" w:hAnsi="Cambria" w:cs="Cambria"/>
          <w:sz w:val="22"/>
        </w:rPr>
        <w:t xml:space="preserve"> — tiny endocrine clusters (~1–2% of the organ) — control glucose homeostasis. The</w:t>
      </w:r>
    </w:p>
    <w:p>
      <w:r>
        <w:rPr>
          <w:rFonts w:ascii="Cambria" w:hAnsi="Cambria" w:cs="Cambria"/>
          <w:sz w:val="22"/>
        </w:rPr>
        <w:t>integrated islet atlas in this project covers 9 cell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 type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Key marker(s)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Hormone / role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Role in T2D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β-cell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INS, MAFA, PDX1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Insulin — lowers blood glucose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The key failing cell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α-cell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GCG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Glucagon — raises glucose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Hyperglucagonemia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δ-cell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SST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Somatostatin — paracrine brake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Dysregulated inhibition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ε-cell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GHRL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Ghrelin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Minor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γ-cell (PP)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PPY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Pancreatic polypeptide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Minor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CELA3B, CPA2, CTRB1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Digestive enzymes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Exocrine–endocrine interplay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KRT19, CA2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 lining / plasticity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Potential β-cell neogenesis source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Fibrosis / myofibroblast-like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 scarring in T2D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PECAM1, CLDN5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Vasculature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Impaired islet perfusion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sz w:val="22"/>
        </w:rPr>
        <w:t>The atlas composition (β 815 · γ 729 · acinar 499 · α 474 · ductal 455 · stellate 393 · δ 371 ·</w:t>
      </w:r>
    </w:p>
    <w:p>
      <w:r>
        <w:rPr>
          <w:rFonts w:ascii="Cambria" w:hAnsi="Cambria" w:cs="Cambria"/>
          <w:sz w:val="22"/>
        </w:rPr>
        <w:t>ε 90 · endothelial 54) defines the granularity at which every downstream prediction is made.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2.3 The disease signature concept</w:t>
      </w:r>
    </w:p>
    <w:p>
      <w:r>
        <w:rPr>
          <w:rFonts w:ascii="Cambria" w:hAnsi="Cambria" w:cs="Cambria"/>
          <w:sz w:val="22"/>
        </w:rPr>
        <w:t xml:space="preserve">Comparing diabetic vs healthy cells per cell type yields </w:t>
      </w:r>
      <w:r>
        <w:rPr>
          <w:rFonts w:ascii="Cambria" w:hAnsi="Cambria" w:cs="Cambria"/>
          <w:b/>
          <w:sz w:val="22"/>
        </w:rPr>
        <w:t>differentially expressed genes (DEGs)</w:t>
      </w:r>
      <w:r>
        <w:rPr>
          <w:rFonts w:ascii="Cambria" w:hAnsi="Cambria" w:cs="Cambria"/>
          <w:sz w:val="22"/>
        </w:rPr>
        <w:t>.</w:t>
      </w:r>
    </w:p>
    <w:p>
      <w:r>
        <w:rPr>
          <w:rFonts w:ascii="Cambria" w:hAnsi="Cambria" w:cs="Cambria"/>
          <w:sz w:val="22"/>
        </w:rPr>
        <w:t xml:space="preserve">Genes whose expression reproducibly shifts with disease constitute the </w:t>
      </w:r>
      <w:r>
        <w:rPr>
          <w:rFonts w:ascii="Cambria" w:hAnsi="Cambria" w:cs="Cambria"/>
          <w:i/>
          <w:sz w:val="22"/>
        </w:rPr>
        <w:t>disease signature</w:t>
      </w:r>
      <w:r>
        <w:rPr>
          <w:rFonts w:ascii="Cambria" w:hAnsi="Cambria" w:cs="Cambria"/>
          <w:sz w:val="22"/>
        </w:rPr>
        <w:t xml:space="preserve"> — the</w:t>
      </w:r>
    </w:p>
    <w:p>
      <w:r>
        <w:rPr>
          <w:rFonts w:ascii="Cambria" w:hAnsi="Cambria" w:cs="Cambria"/>
          <w:sz w:val="22"/>
        </w:rPr>
        <w:t>molecular fingerprint of diabetes in that cell type. A candidate drug is then judged on whether its</w:t>
      </w:r>
    </w:p>
    <w:p>
      <w:r>
        <w:rPr>
          <w:rFonts w:ascii="Cambria" w:hAnsi="Cambria" w:cs="Cambria"/>
          <w:sz w:val="22"/>
        </w:rPr>
        <w:t xml:space="preserve">targets move that signature </w:t>
      </w:r>
      <w:r>
        <w:rPr>
          <w:rFonts w:ascii="Cambria" w:hAnsi="Cambria" w:cs="Cambria"/>
          <w:b/>
          <w:sz w:val="22"/>
        </w:rPr>
        <w:t>back toward healthy</w:t>
      </w:r>
      <w:r>
        <w:rPr>
          <w:rFonts w:ascii="Cambria" w:hAnsi="Cambria" w:cs="Cambria"/>
          <w:sz w:val="22"/>
        </w:rPr>
        <w:t>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3. Central Hypothesis &amp; Strategy</w:t>
      </w:r>
    </w:p>
    <w:p>
      <w:pPr>
        <w:ind w:left="504" w:right="504"/>
      </w:pPr>
      <w:r>
        <w:rPr>
          <w:rFonts w:ascii="Cambria" w:hAnsi="Cambria" w:cs="Cambria"/>
          <w:b/>
          <w:sz w:val="22"/>
        </w:rPr>
        <w:t>Instead of asking "which compound binds this protein?", ask "which phytochemical can reverse the</w:t>
      </w:r>
    </w:p>
    <w:p>
      <w:pPr>
        <w:ind w:left="504" w:right="504"/>
      </w:pPr>
      <w:r>
        <w:rPr>
          <w:rFonts w:ascii="Cambria" w:hAnsi="Cambria" w:cs="Cambria"/>
          <w:b/>
          <w:sz w:val="22"/>
        </w:rPr>
        <w:t>disease state of a specific diabetic cell type?"</w:t>
      </w:r>
    </w:p>
    <w:p>
      <w:r>
        <w:rPr>
          <w:rFonts w:ascii="Cambria" w:hAnsi="Cambria" w:cs="Cambria"/>
          <w:sz w:val="22"/>
        </w:rPr>
        <w:t>This hypothesis changes the entire pipeline: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Healthy cell → disease develops → gene expression changes → disease signature forms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→ identify responsible proteins → find phytochemicals targeting them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→ predict reversal per cell type → verify physical binding → rank candidates</w:t>
      </w:r>
    </w:p>
    <w:p>
      <w:r>
        <w:rPr>
          <w:rFonts w:ascii="Cambria" w:hAnsi="Cambria" w:cs="Cambria"/>
          <w:sz w:val="22"/>
        </w:rPr>
        <w:t>Four design rules follow: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Cell specificity.</w:t>
      </w:r>
      <w:r>
        <w:rPr>
          <w:rFonts w:ascii="Cambria" w:hAnsi="Cambria" w:cs="Cambria"/>
          <w:sz w:val="22"/>
        </w:rPr>
        <w:t xml:space="preserve"> Every score and prediction is made </w:t>
      </w:r>
      <w:r>
        <w:rPr>
          <w:rFonts w:ascii="Cambria" w:hAnsi="Cambria" w:cs="Cambria"/>
          <w:i/>
          <w:sz w:val="22"/>
        </w:rPr>
        <w:t>per cell type</w:t>
      </w:r>
      <w:r>
        <w:rPr>
          <w:rFonts w:ascii="Cambria" w:hAnsi="Cambria" w:cs="Cambria"/>
          <w:sz w:val="22"/>
        </w:rPr>
        <w:t>, never organ-averaged.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Expression grounding.</w:t>
      </w:r>
      <w:r>
        <w:rPr>
          <w:rFonts w:ascii="Cambria" w:hAnsi="Cambria" w:cs="Cambria"/>
          <w:sz w:val="22"/>
        </w:rPr>
        <w:t xml:space="preserve"> A compound may only influence a cell type through proteins that the</w:t>
      </w:r>
    </w:p>
    <w:p>
      <w:r>
        <w:rPr>
          <w:rFonts w:ascii="Cambria" w:hAnsi="Cambria" w:cs="Cambria"/>
          <w:sz w:val="22"/>
        </w:rPr>
        <w:t xml:space="preserve">   cell type actually transcribes.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Evidence triangulation.</w:t>
      </w:r>
      <w:r>
        <w:rPr>
          <w:rFonts w:ascii="Cambria" w:hAnsi="Cambria" w:cs="Cambria"/>
          <w:sz w:val="22"/>
        </w:rPr>
        <w:t xml:space="preserve"> Statistical, mechanistic, and structural evidence must agree.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Honesty by construction.</w:t>
      </w:r>
      <w:r>
        <w:rPr>
          <w:rFonts w:ascii="Cambria" w:hAnsi="Cambria" w:cs="Cambria"/>
          <w:sz w:val="22"/>
        </w:rPr>
        <w:t xml:space="preserve"> Assumptions are made explicit, coverage limits are reported, and</w:t>
      </w:r>
    </w:p>
    <w:p>
      <w:r>
        <w:rPr>
          <w:rFonts w:ascii="Cambria" w:hAnsi="Cambria" w:cs="Cambria"/>
          <w:sz w:val="22"/>
        </w:rPr>
        <w:t xml:space="preserve">   results are reproduced on independent cohorts wherever possible.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4. Data Sources &amp; Selection Rationale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4.1 Compound and target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Source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Used?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Status / rationale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CMAUP v2.0 (Chinese Medicinal Plant database, BIDD)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Yes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Sole compound source: 60,222 plant–compound–target records, open download, plant-centric.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STRING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Yes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Protein–protein interaction edges (2,409 at confidence ≥ 0.7) for the knowledge graph.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IMPPAT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Deferred — JS-gated download (documented in src/ingest/sources.py:47); CMAUP covers the MVP.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TCMSP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Deferred — login-gated download.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PubChem / ChEBI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Evaluated but not needed; identifiers resolved inside CMAUP.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ChEMBL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Config only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Activity threshold (≤10 µM, confidence ≥ 8) used to define compound–target edges from CMAUP associations.</w:t>
            </w:r>
          </w:p>
        </w:tc>
      </w:tr>
    </w:tbl>
    <w:p>
      <w:pPr>
        <w:spacing w:after="80"/>
      </w:pPr>
    </w:p>
    <w:p>
      <w:pPr>
        <w:ind w:left="504" w:right="504"/>
      </w:pPr>
      <w:r>
        <w:rPr>
          <w:rFonts w:ascii="Cambria" w:hAnsi="Cambria" w:cs="Cambria"/>
          <w:b/>
          <w:sz w:val="22"/>
        </w:rPr>
        <w:t>Note:</w:t>
      </w:r>
      <w:r>
        <w:rPr>
          <w:rFonts w:ascii="Cambria" w:hAnsi="Cambria" w:cs="Cambria"/>
          <w:sz w:val="22"/>
        </w:rPr>
        <w:t xml:space="preserve"> the pipeline in this repository used </w:t>
      </w:r>
      <w:r>
        <w:rPr>
          <w:rFonts w:ascii="Cambria" w:hAnsi="Cambria" w:cs="Cambria"/>
          <w:b/>
          <w:sz w:val="22"/>
        </w:rPr>
        <w:t>CMAUP v2.0 for compounds and targets</w:t>
      </w:r>
      <w:r>
        <w:rPr>
          <w:rFonts w:ascii="Cambria" w:hAnsi="Cambria" w:cs="Cambria"/>
          <w:sz w:val="22"/>
        </w:rPr>
        <w:t xml:space="preserve"> and</w:t>
      </w:r>
    </w:p>
    <w:p>
      <w:pPr>
        <w:ind w:left="504" w:right="504"/>
      </w:pPr>
      <w:r>
        <w:rPr>
          <w:rFonts w:ascii="Cambria" w:hAnsi="Cambria" w:cs="Cambria"/>
          <w:b/>
          <w:sz w:val="22"/>
        </w:rPr>
        <w:t>STRING for PPI</w:t>
      </w:r>
      <w:r>
        <w:rPr>
          <w:rFonts w:ascii="Cambria" w:hAnsi="Cambria" w:cs="Cambria"/>
          <w:sz w:val="22"/>
        </w:rPr>
        <w:t>. The M1 config lists IMPPAT/TCMSP/ChEMBL as sources; IMPPAT and TCMSP are</w:t>
      </w:r>
    </w:p>
    <w:p>
      <w:pPr>
        <w:ind w:left="504" w:right="504"/>
      </w:pPr>
      <w:r>
        <w:rPr>
          <w:rFonts w:ascii="Cambria" w:hAnsi="Cambria" w:cs="Cambria"/>
          <w:sz w:val="22"/>
        </w:rPr>
        <w:t>deferred with documented reasons and were not run.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4.2 Single-cell RNA-seq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Dataset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Platform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Content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Selected?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GSE86469 (Lawlor/Stitzel)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Fluidigm C1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Human islets, T2D vs nondiabetic, 497 cells after QC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GSE153855 (Wierup)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SMART-seq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 control + 5 T2D donors, 3,383 cells after QC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Yes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GSE81608 (Segerstolpe)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Smart-seq2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Islets, no T2D condition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GSE85241 (Muraro)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CEL-Seq2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Islets, no T2D condition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GSE124742 (Camunas-Soler)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10x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Islets, very large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 (size)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GSE221156 (48-donor atlas)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10x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245k cells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 (4 GB RAM cap)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b/>
          <w:sz w:val="22"/>
        </w:rPr>
        <w:t>Why these two?</w:t>
      </w:r>
    </w:p>
    <w:p>
      <w:pPr>
        <w:pStyle w:val="ListBullet"/>
        <w:jc w:val="left"/>
      </w:pPr>
      <w:r>
        <w:rPr>
          <w:rFonts w:ascii="Cambria" w:hAnsi="Cambria" w:cs="Cambria"/>
          <w:sz w:val="22"/>
        </w:rPr>
        <w:t xml:space="preserve">Both contain </w:t>
      </w:r>
      <w:r>
        <w:rPr>
          <w:rFonts w:ascii="Cambria" w:hAnsi="Cambria" w:cs="Cambria"/>
          <w:b/>
          <w:sz w:val="22"/>
        </w:rPr>
        <w:t>human islets with T2D and control donors</w:t>
      </w:r>
      <w:r>
        <w:rPr>
          <w:rFonts w:ascii="Cambria" w:hAnsi="Cambria" w:cs="Cambria"/>
          <w:sz w:val="22"/>
        </w:rPr>
        <w:t xml:space="preserve"> — required to build a disease signature.</w:t>
      </w:r>
    </w:p>
    <w:p>
      <w:pPr>
        <w:pStyle w:val="ListBullet"/>
        <w:jc w:val="left"/>
      </w:pPr>
      <w:r>
        <w:rPr>
          <w:rFonts w:ascii="Cambria" w:hAnsi="Cambria" w:cs="Cambria"/>
          <w:sz w:val="22"/>
        </w:rPr>
        <w:t xml:space="preserve">Both fit the </w:t>
      </w:r>
      <w:r>
        <w:rPr>
          <w:rFonts w:ascii="Cambria" w:hAnsi="Cambria" w:cs="Cambria"/>
          <w:b/>
          <w:sz w:val="22"/>
        </w:rPr>
        <w:t>4 GB RAM / CPU-only</w:t>
      </w:r>
      <w:r>
        <w:rPr>
          <w:rFonts w:ascii="Cambria" w:hAnsi="Cambria" w:cs="Cambria"/>
          <w:sz w:val="22"/>
        </w:rPr>
        <w:t xml:space="preserve"> compute budget after capping.</w:t>
      </w:r>
    </w:p>
    <w:p>
      <w:pPr>
        <w:pStyle w:val="ListBullet"/>
        <w:jc w:val="left"/>
      </w:pPr>
      <w:r>
        <w:rPr>
          <w:rFonts w:ascii="Cambria" w:hAnsi="Cambria" w:cs="Cambria"/>
          <w:sz w:val="22"/>
        </w:rPr>
        <w:t xml:space="preserve">They use </w:t>
      </w:r>
      <w:r>
        <w:rPr>
          <w:rFonts w:ascii="Cambria" w:hAnsi="Cambria" w:cs="Cambria"/>
          <w:b/>
          <w:sz w:val="22"/>
        </w:rPr>
        <w:t>different technologies</w:t>
      </w:r>
      <w:r>
        <w:rPr>
          <w:rFonts w:ascii="Cambria" w:hAnsi="Cambria" w:cs="Cambria"/>
          <w:sz w:val="22"/>
        </w:rPr>
        <w:t xml:space="preserve"> (C1 vs SMART-seq), making them an </w:t>
      </w:r>
      <w:r>
        <w:rPr>
          <w:rFonts w:ascii="Cambria" w:hAnsi="Cambria" w:cs="Cambria"/>
          <w:b/>
          <w:sz w:val="22"/>
        </w:rPr>
        <w:t>orthogonal replication</w:t>
      </w:r>
    </w:p>
    <w:p>
      <w:r>
        <w:rPr>
          <w:rFonts w:ascii="Cambria" w:hAnsi="Cambria" w:cs="Cambria"/>
          <w:b/>
          <w:sz w:val="22"/>
        </w:rPr>
        <w:t xml:space="preserve">  test</w:t>
      </w:r>
      <w:r>
        <w:rPr>
          <w:rFonts w:ascii="Cambria" w:hAnsi="Cambria" w:cs="Cambria"/>
          <w:sz w:val="22"/>
        </w:rPr>
        <w:t xml:space="preserve">: a gene is admitted to the disease signature only if its direction changes </w:t>
      </w:r>
      <w:r>
        <w:rPr>
          <w:rFonts w:ascii="Cambria" w:hAnsi="Cambria" w:cs="Cambria"/>
          <w:b/>
          <w:sz w:val="22"/>
        </w:rPr>
        <w:t>consistently in</w:t>
      </w:r>
    </w:p>
    <w:p>
      <w:r>
        <w:rPr>
          <w:rFonts w:ascii="Cambria" w:hAnsi="Cambria" w:cs="Cambria"/>
          <w:b/>
          <w:sz w:val="22"/>
        </w:rPr>
        <w:t xml:space="preserve">  both studies</w:t>
      </w:r>
      <w:r>
        <w:rPr>
          <w:rFonts w:ascii="Cambria" w:hAnsi="Cambria" w:cs="Cambria"/>
          <w:sz w:val="22"/>
        </w:rPr>
        <w:t>. This removes platform-specific noise.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4.3 Spatial transcriptomics (Visium) — the data gate</w:t>
      </w:r>
    </w:p>
    <w:p>
      <w:r>
        <w:rPr>
          <w:rFonts w:ascii="Cambria" w:hAnsi="Cambria" w:cs="Cambria"/>
          <w:b/>
          <w:sz w:val="22"/>
        </w:rPr>
        <w:t>No open, parseable human-pancreas Visium dataset exists.</w:t>
      </w:r>
      <w:r>
        <w:rPr>
          <w:rFonts w:ascii="Cambria" w:hAnsi="Cambria" w:cs="Cambria"/>
          <w:sz w:val="22"/>
        </w:rPr>
        <w:t xml:space="preserve"> This was verified and documented: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Candidate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Status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Reason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GEO GSE264331 (Howell et al., 2025; NGT vs T2D, 6 donors)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Gated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Count matrices are in dbGaP (phs001188.v3.p1); GEO hosts only a 22.3 GB image tar.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Zenodo 15177311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Unavailable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Only Loupe .cloupe binaries (29.8 GB, proprietary, unparseable).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CZ CELLxGENE Census (2025-11-17)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scRNA only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569,586 human-pancreas cells, but no spatial (Visium) spots.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10x public catalog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 demo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All candidate human-pancreas Visium paths return 403.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b/>
          <w:sz w:val="22"/>
        </w:rPr>
        <w:t>Approved fallback (methods demo):</w:t>
      </w:r>
      <w:r>
        <w:rPr>
          <w:rFonts w:ascii="Cambria" w:hAnsi="Cambria" w:cs="Cambria"/>
          <w:sz w:val="22"/>
        </w:rPr>
        <w:t xml:space="preserve"> 10x </w:t>
      </w:r>
      <w:r>
        <w:rPr>
          <w:rFonts w:ascii="Cambria" w:hAnsi="Cambria" w:cs="Cambria"/>
          <w:sz w:val="22"/>
        </w:rPr>
        <w:t>V1_Mouse_Brain_Sagittal_Anterior</w:t>
      </w:r>
      <w:r>
        <w:rPr>
          <w:rFonts w:ascii="Cambria" w:hAnsi="Cambria" w:cs="Cambria"/>
          <w:sz w:val="22"/>
        </w:rPr>
        <w:t xml:space="preserve"> — guaranteed</w:t>
      </w:r>
    </w:p>
    <w:p>
      <w:r>
        <w:rPr>
          <w:rFonts w:ascii="Cambria" w:hAnsi="Cambria" w:cs="Cambria"/>
          <w:sz w:val="22"/>
        </w:rPr>
        <w:t xml:space="preserve">downloadable, standard Space Ranger outs, </w:t>
      </w:r>
      <w:r>
        <w:rPr>
          <w:rFonts w:ascii="Cambria" w:hAnsi="Cambria" w:cs="Cambria"/>
          <w:b/>
          <w:sz w:val="22"/>
        </w:rPr>
        <w:t>2,695 spots</w:t>
      </w:r>
      <w:r>
        <w:rPr>
          <w:rFonts w:ascii="Cambria" w:hAnsi="Cambria" w:cs="Cambria"/>
          <w:sz w:val="22"/>
        </w:rPr>
        <w:t>. The full methods pipeline was proven on</w:t>
      </w:r>
    </w:p>
    <w:p>
      <w:r>
        <w:rPr>
          <w:rFonts w:ascii="Cambria" w:hAnsi="Cambria" w:cs="Cambria"/>
          <w:sz w:val="22"/>
        </w:rPr>
        <w:t xml:space="preserve">this tissue, and the </w:t>
      </w:r>
      <w:r>
        <w:rPr>
          <w:rFonts w:ascii="Cambria" w:hAnsi="Cambria" w:cs="Cambria"/>
          <w:i/>
          <w:sz w:val="22"/>
        </w:rPr>
        <w:t>islet</w:t>
      </w:r>
      <w:r>
        <w:rPr>
          <w:rFonts w:ascii="Cambria" w:hAnsi="Cambria" w:cs="Cambria"/>
          <w:sz w:val="22"/>
        </w:rPr>
        <w:t xml:space="preserve"> signature matrix (9×231) was built as the deliverable for real pancreas</w:t>
      </w:r>
    </w:p>
    <w:p>
      <w:r>
        <w:rPr>
          <w:rFonts w:ascii="Cambria" w:hAnsi="Cambria" w:cs="Cambria"/>
          <w:sz w:val="22"/>
        </w:rPr>
        <w:t>data. The same script (</w:t>
      </w:r>
      <w:r>
        <w:rPr>
          <w:rFonts w:ascii="Cambria" w:hAnsi="Cambria" w:cs="Cambria"/>
          <w:sz w:val="22"/>
        </w:rPr>
        <w:t>run_m3_spatial.py --visium &lt;dir&gt;</w:t>
      </w:r>
      <w:r>
        <w:rPr>
          <w:rFonts w:ascii="Cambria" w:hAnsi="Cambria" w:cs="Cambria"/>
          <w:sz w:val="22"/>
        </w:rPr>
        <w:t>) will deconvolve human pancreas Visium</w:t>
      </w:r>
    </w:p>
    <w:p>
      <w:r>
        <w:rPr>
          <w:rFonts w:ascii="Cambria" w:hAnsi="Cambria" w:cs="Cambria"/>
          <w:sz w:val="22"/>
        </w:rPr>
        <w:t xml:space="preserve">with </w:t>
      </w:r>
      <w:r>
        <w:rPr>
          <w:rFonts w:ascii="Cambria" w:hAnsi="Cambria" w:cs="Cambria"/>
          <w:b/>
          <w:sz w:val="22"/>
        </w:rPr>
        <w:t>zero code changes</w:t>
      </w:r>
      <w:r>
        <w:rPr>
          <w:rFonts w:ascii="Cambria" w:hAnsi="Cambria" w:cs="Cambria"/>
          <w:sz w:val="22"/>
        </w:rPr>
        <w:t xml:space="preserve"> once dbGaP access clears.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4.4 Docking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Receptor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PDB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Co-crystal ligand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Relevance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PPARγ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2PRG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BRL (farglitazar)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Target of thiazolidinedione insulin sensitizers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GSK3β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1J1B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ANP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Kinase that inhibits glycogen synthesis; impairs β-cell survival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sz w:val="22"/>
        </w:rPr>
        <w:t xml:space="preserve">Both are central to diabetes pharmacology and both provide co-crystal ligands to define a </w:t>
      </w:r>
      <w:r>
        <w:rPr>
          <w:rFonts w:ascii="Cambria" w:hAnsi="Cambria" w:cs="Cambria"/>
          <w:b/>
          <w:sz w:val="22"/>
        </w:rPr>
        <w:t>22 Å</w:t>
      </w:r>
    </w:p>
    <w:p>
      <w:r>
        <w:rPr>
          <w:rFonts w:ascii="Cambria" w:hAnsi="Cambria" w:cs="Cambria"/>
          <w:b/>
          <w:sz w:val="22"/>
        </w:rPr>
        <w:t>docking box</w:t>
      </w:r>
      <w:r>
        <w:rPr>
          <w:rFonts w:ascii="Cambria" w:hAnsi="Cambria" w:cs="Cambria"/>
          <w:sz w:val="22"/>
        </w:rPr>
        <w:t xml:space="preserve"> centered on the true binding site (PPARγ center [54.74, −20.97, 30.48]; GSK3β center</w:t>
      </w:r>
    </w:p>
    <w:p>
      <w:r>
        <w:rPr>
          <w:rFonts w:ascii="Cambria" w:hAnsi="Cambria" w:cs="Cambria"/>
          <w:sz w:val="22"/>
        </w:rPr>
        <w:t>[28.69, 3.96, −21.81]).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5. Stage-by-Stage Methodology, Tools, and Results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5.0 Tools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Tool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Version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Role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Python + conda env phyto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3.11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Runtime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RDKit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SMILES parsing, Morgan fingerprints, Lipinski/Veber/PAINS filters, ligand 3D embedding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Scanpy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scRNA normalization, HVG, PCA, UMAP, Leiden, Wilcoxon rank_genes_groups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harmonypy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Batch-effect correction across the two islet datasets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scikit-learn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PCA on fingerprints, KMeans niches, RandomForest baseline, max-min diversity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PyTorch / PyTorch Geometric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HeteroGraphSAGE + MLP link predictor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scipy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Non-negative least squares (NNLS) deconvolution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OpenBabel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3.1.0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PDB → PDBQT receptor prep, ligand format conversion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AutoDock Vina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1.1.2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Molecular docking + affinity scoring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pandas / numpy / openpyxl / requests / pytest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Wrangling, Excel output, downloads, tests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5.1 Stage 1 (M1) — Chemical library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ll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1. Cell-type composition after integration and annotation (Total cells = 3,880).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94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gnature_dir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9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2. Direction-balanced disease signature: 1,431 replicated genes (470 up / 961 down in T2D), shown per cell type.</w:t>
      </w:r>
    </w:p>
    <w:p>
      <w:r>
        <w:rPr>
          <w:rFonts w:ascii="Cambria" w:hAnsi="Cambria" w:cs="Cambria"/>
          <w:b/>
          <w:sz w:val="22"/>
        </w:rPr>
        <w:t>Purpose:</w:t>
      </w:r>
      <w:r>
        <w:rPr>
          <w:rFonts w:ascii="Cambria" w:hAnsi="Cambria" w:cs="Cambria"/>
          <w:sz w:val="22"/>
        </w:rPr>
        <w:t xml:space="preserve"> build a high-quality, diverse, drug-like set of phytochemicals to screen — small enough</w:t>
      </w:r>
    </w:p>
    <w:p>
      <w:r>
        <w:rPr>
          <w:rFonts w:ascii="Cambria" w:hAnsi="Cambria" w:cs="Cambria"/>
          <w:sz w:val="22"/>
        </w:rPr>
        <w:t>for 4 GB RAM, broad enough to explore chemical space.</w:t>
      </w:r>
    </w:p>
    <w:p>
      <w:r>
        <w:rPr>
          <w:rFonts w:ascii="Cambria" w:hAnsi="Cambria" w:cs="Cambria"/>
          <w:b/>
          <w:sz w:val="22"/>
        </w:rPr>
        <w:t>Method.</w:t>
      </w:r>
      <w:r>
        <w:rPr>
          <w:rFonts w:ascii="Cambria" w:hAnsi="Cambria" w:cs="Cambria"/>
          <w:sz w:val="22"/>
        </w:rPr>
        <w:t xml:space="preserve"> Every CMAUP molecule is stored as </w:t>
      </w:r>
      <w:r>
        <w:rPr>
          <w:rFonts w:ascii="Cambria" w:hAnsi="Cambria" w:cs="Cambria"/>
          <w:b/>
          <w:sz w:val="22"/>
        </w:rPr>
        <w:t>SMILES</w:t>
      </w:r>
      <w:r>
        <w:rPr>
          <w:rFonts w:ascii="Cambria" w:hAnsi="Cambria" w:cs="Cambria"/>
          <w:sz w:val="22"/>
        </w:rPr>
        <w:t xml:space="preserve"> (the "programming language of chemistry";</w:t>
      </w:r>
    </w:p>
    <w:p>
      <w:r>
        <w:rPr>
          <w:rFonts w:ascii="Cambria" w:hAnsi="Cambria" w:cs="Cambria"/>
          <w:sz w:val="22"/>
        </w:rPr>
        <w:t xml:space="preserve">e.g., water = </w:t>
      </w:r>
      <w:r>
        <w:rPr>
          <w:rFonts w:ascii="Cambria" w:hAnsi="Cambria" w:cs="Cambria"/>
          <w:sz w:val="22"/>
        </w:rPr>
        <w:t>O</w:t>
      </w:r>
      <w:r>
        <w:rPr>
          <w:rFonts w:ascii="Cambria" w:hAnsi="Cambria" w:cs="Cambria"/>
          <w:sz w:val="22"/>
        </w:rPr>
        <w:t xml:space="preserve">, ethanol = </w:t>
      </w:r>
      <w:r>
        <w:rPr>
          <w:rFonts w:ascii="Cambria" w:hAnsi="Cambria" w:cs="Cambria"/>
          <w:sz w:val="22"/>
        </w:rPr>
        <w:t>CCO</w:t>
      </w:r>
      <w:r>
        <w:rPr>
          <w:rFonts w:ascii="Cambria" w:hAnsi="Cambria" w:cs="Cambria"/>
          <w:sz w:val="22"/>
        </w:rPr>
        <w:t xml:space="preserve">, glucose = </w:t>
      </w:r>
      <w:r>
        <w:rPr>
          <w:rFonts w:ascii="Cambria" w:hAnsi="Cambria" w:cs="Cambria"/>
          <w:sz w:val="22"/>
        </w:rPr>
        <w:t>C(C1C(C(C(C(O1)O)O)O)O)O</w:t>
      </w:r>
      <w:r>
        <w:rPr>
          <w:rFonts w:ascii="Cambria" w:hAnsi="Cambria" w:cs="Cambria"/>
          <w:sz w:val="22"/>
        </w:rPr>
        <w:t>). RDKit parses SMILES into</w:t>
      </w:r>
    </w:p>
    <w:p>
      <w:r>
        <w:rPr>
          <w:rFonts w:ascii="Cambria" w:hAnsi="Cambria" w:cs="Cambria"/>
          <w:sz w:val="22"/>
        </w:rPr>
        <w:t>a chemical graph and generates Morgan fingerprints (radius 2, 1024 bits) for similarity. Drug-likeness</w:t>
      </w:r>
    </w:p>
    <w:p>
      <w:r>
        <w:rPr>
          <w:rFonts w:ascii="Cambria" w:hAnsi="Cambria" w:cs="Cambria"/>
          <w:sz w:val="22"/>
        </w:rPr>
        <w:t>filters are applied: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Lipinski Rule of Five</w:t>
      </w:r>
      <w:r>
        <w:rPr>
          <w:rFonts w:ascii="Cambria" w:hAnsi="Cambria" w:cs="Cambria"/>
          <w:sz w:val="22"/>
        </w:rPr>
        <w:t xml:space="preserve"> — oral bioavailability: MW ≤ 500, logP ≤ 5, HBD ≤ 5, HBA ≤ 10.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Veber</w:t>
      </w:r>
      <w:r>
        <w:rPr>
          <w:rFonts w:ascii="Cambria" w:hAnsi="Cambria" w:cs="Cambria"/>
          <w:sz w:val="22"/>
        </w:rPr>
        <w:t xml:space="preserve"> — flexibility: rotatable bonds ≤ 10, TPSA ≤ 140.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PAINS</w:t>
      </w:r>
      <w:r>
        <w:rPr>
          <w:rFonts w:ascii="Cambria" w:hAnsi="Cambria" w:cs="Cambria"/>
          <w:sz w:val="22"/>
        </w:rPr>
        <w:t xml:space="preserve"> — removes pan-assay interference compounds (molecules that "stick to everything" and</w:t>
      </w:r>
    </w:p>
    <w:p>
      <w:r>
        <w:rPr>
          <w:rFonts w:ascii="Cambria" w:hAnsi="Cambria" w:cs="Cambria"/>
          <w:sz w:val="22"/>
        </w:rPr>
        <w:t xml:space="preserve">  create false positives).</w:t>
      </w:r>
    </w:p>
    <w:p>
      <w:r>
        <w:rPr>
          <w:rFonts w:ascii="Cambria" w:hAnsi="Cambria" w:cs="Cambria"/>
          <w:b/>
          <w:sz w:val="22"/>
        </w:rPr>
        <w:t>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Input compounds (CMAUP)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60,222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Parsed SMILES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60,190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Drug-like after filters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29,019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Filter drops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27,305 · Veber 1,667 · PAINS 2,199 · unparseable 32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Final diverse library (max-min)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3,000 (+ 18 benchmark anti-diabetic actives forced in)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Compound→target edges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4,730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Plant→compound edges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15,688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STRING PPI edges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2,409 (578 unique targets, 520 genes)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sz w:val="22"/>
        </w:rPr>
        <w:t xml:space="preserve">Max-min diversity selection keeps chemically </w:t>
      </w:r>
      <w:r>
        <w:rPr>
          <w:rFonts w:ascii="Cambria" w:hAnsi="Cambria" w:cs="Cambria"/>
          <w:i/>
          <w:sz w:val="22"/>
        </w:rPr>
        <w:t>different</w:t>
      </w:r>
      <w:r>
        <w:rPr>
          <w:rFonts w:ascii="Cambria" w:hAnsi="Cambria" w:cs="Cambria"/>
          <w:sz w:val="22"/>
        </w:rPr>
        <w:t xml:space="preserve"> scaffolds so the AI is not biased toward one</w:t>
      </w:r>
    </w:p>
    <w:p>
      <w:r>
        <w:rPr>
          <w:rFonts w:ascii="Cambria" w:hAnsi="Cambria" w:cs="Cambria"/>
          <w:sz w:val="22"/>
        </w:rPr>
        <w:t>chemical family. The 18 benchmark actives (quercetin, curcumin, resveratrol, berberine, emodin,</w:t>
      </w:r>
    </w:p>
    <w:p>
      <w:r>
        <w:rPr>
          <w:rFonts w:ascii="Cambria" w:hAnsi="Cambria" w:cs="Cambria"/>
          <w:sz w:val="22"/>
        </w:rPr>
        <w:t>genistein, kaempferol, baicalein, apigenin, luteolin, naringenin, catechin, gallic acid, ellagic acid,</w:t>
      </w:r>
    </w:p>
    <w:p>
      <w:r>
        <w:rPr>
          <w:rFonts w:ascii="Cambria" w:hAnsi="Cambria" w:cs="Cambria"/>
          <w:sz w:val="22"/>
        </w:rPr>
        <w:t>betulinic acid, ursolic acid, oleanolic acid, thymoquinone) bypass PAINS but still must pass</w:t>
      </w:r>
    </w:p>
    <w:p>
      <w:r>
        <w:rPr>
          <w:rFonts w:ascii="Cambria" w:hAnsi="Cambria" w:cs="Cambria"/>
          <w:sz w:val="22"/>
        </w:rPr>
        <w:t>Lipinski/Veber — an intentional, documented exception to guarantee positive controls.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5.2 Stage 2 (M2) — Single-cell RNA-seq: the disease signature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68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ap_cell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68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3. UMAP of integrated human-islet single cells (n = 3,880), colored by cell type.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53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map_dise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5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4. UMAP of integrated human-islet single cells, colored by disease condition (T2D vs nondiabetic).</w:t>
      </w:r>
    </w:p>
    <w:p>
      <w:r>
        <w:rPr>
          <w:rFonts w:ascii="Cambria" w:hAnsi="Cambria" w:cs="Cambria"/>
          <w:b/>
          <w:sz w:val="22"/>
        </w:rPr>
        <w:t>Purpose:</w:t>
      </w:r>
      <w:r>
        <w:rPr>
          <w:rFonts w:ascii="Cambria" w:hAnsi="Cambria" w:cs="Cambria"/>
          <w:sz w:val="22"/>
        </w:rPr>
        <w:t xml:space="preserve"> define, per cell type, the </w:t>
      </w:r>
      <w:r>
        <w:rPr>
          <w:rFonts w:ascii="Cambria" w:hAnsi="Cambria" w:cs="Cambria"/>
          <w:i/>
          <w:sz w:val="22"/>
        </w:rPr>
        <w:t>replicated</w:t>
      </w:r>
      <w:r>
        <w:rPr>
          <w:rFonts w:ascii="Cambria" w:hAnsi="Cambria" w:cs="Cambria"/>
          <w:sz w:val="22"/>
        </w:rPr>
        <w:t xml:space="preserve"> molecular fingerprint of T2DM — the ground truth</w:t>
      </w:r>
    </w:p>
    <w:p>
      <w:r>
        <w:rPr>
          <w:rFonts w:ascii="Cambria" w:hAnsi="Cambria" w:cs="Cambria"/>
          <w:sz w:val="22"/>
        </w:rPr>
        <w:t>everything downstream is judged against.</w:t>
      </w:r>
    </w:p>
    <w:p>
      <w:r>
        <w:rPr>
          <w:rFonts w:ascii="Cambria" w:hAnsi="Cambria" w:cs="Cambria"/>
          <w:b/>
          <w:sz w:val="22"/>
        </w:rPr>
        <w:t>Why single-cell?</w:t>
      </w:r>
      <w:r>
        <w:rPr>
          <w:rFonts w:ascii="Cambria" w:hAnsi="Cambria" w:cs="Cambria"/>
          <w:sz w:val="22"/>
        </w:rPr>
        <w:t xml:space="preserve"> Bulk RNA-seq averages expression across millions of cells; if 50% of β-cells have</w:t>
      </w:r>
    </w:p>
    <w:p>
      <w:r>
        <w:rPr>
          <w:rFonts w:ascii="Cambria" w:hAnsi="Cambria" w:cs="Cambria"/>
          <w:sz w:val="22"/>
        </w:rPr>
        <w:t>high INS and 50% have none, bulk reports the average and the biology is lost. Single-cell reads every</w:t>
      </w:r>
    </w:p>
    <w:p>
      <w:r>
        <w:rPr>
          <w:rFonts w:ascii="Cambria" w:hAnsi="Cambria" w:cs="Cambria"/>
          <w:sz w:val="22"/>
        </w:rPr>
        <w:t>cell individually.</w:t>
      </w:r>
    </w:p>
    <w:p>
      <w:r>
        <w:rPr>
          <w:rFonts w:ascii="Cambria" w:hAnsi="Cambria" w:cs="Cambria"/>
          <w:b/>
          <w:sz w:val="22"/>
        </w:rPr>
        <w:t>Method.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QC</w:t>
      </w:r>
      <w:r>
        <w:rPr>
          <w:rFonts w:ascii="Cambria" w:hAnsi="Cambria" w:cs="Cambria"/>
          <w:sz w:val="22"/>
        </w:rPr>
        <w:t xml:space="preserve"> — remove dead cells, doublets, empty droplets (gene count, mitochondrial fraction ≤ 15%).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Integration</w:t>
      </w:r>
      <w:r>
        <w:rPr>
          <w:rFonts w:ascii="Cambria" w:hAnsi="Cambria" w:cs="Cambria"/>
          <w:sz w:val="22"/>
        </w:rPr>
        <w:t xml:space="preserve"> — normalize + log → top 3,000 highly variable genes → PCA (30 dims) → </w:t>
      </w:r>
      <w:r>
        <w:rPr>
          <w:rFonts w:ascii="Cambria" w:hAnsi="Cambria" w:cs="Cambria"/>
          <w:b/>
          <w:sz w:val="22"/>
        </w:rPr>
        <w:t>harmonypy</w:t>
      </w:r>
    </w:p>
    <w:p>
      <w:r>
        <w:rPr>
          <w:rFonts w:ascii="Cambria" w:hAnsi="Cambria" w:cs="Cambria"/>
          <w:sz w:val="22"/>
        </w:rPr>
        <w:t xml:space="preserve">   batch correction across GSE86469 (C1) and GSE153855 (SMART-seq) → neighbors/UMAP/Leiden.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Annotation</w:t>
      </w:r>
      <w:r>
        <w:rPr>
          <w:rFonts w:ascii="Cambria" w:hAnsi="Cambria" w:cs="Cambria"/>
          <w:sz w:val="22"/>
        </w:rPr>
        <w:t xml:space="preserve"> — clusters are named by </w:t>
      </w:r>
      <w:r>
        <w:rPr>
          <w:rFonts w:ascii="Cambria" w:hAnsi="Cambria" w:cs="Cambria"/>
          <w:b/>
          <w:sz w:val="22"/>
        </w:rPr>
        <w:t>marker-gene scoring</w:t>
      </w:r>
      <w:r>
        <w:rPr>
          <w:rFonts w:ascii="Cambria" w:hAnsi="Cambria" w:cs="Cambria"/>
          <w:sz w:val="22"/>
        </w:rPr>
        <w:t xml:space="preserve"> (</w:t>
      </w:r>
      <w:r>
        <w:rPr>
          <w:rFonts w:ascii="Cambria" w:hAnsi="Cambria" w:cs="Cambria"/>
          <w:sz w:val="22"/>
        </w:rPr>
        <w:t>src/scrna/markers.py</w:t>
      </w:r>
      <w:r>
        <w:rPr>
          <w:rFonts w:ascii="Cambria" w:hAnsi="Cambria" w:cs="Cambria"/>
          <w:sz w:val="22"/>
        </w:rPr>
        <w:t>) using</w:t>
      </w:r>
    </w:p>
    <w:p>
      <w:r>
        <w:rPr>
          <w:rFonts w:ascii="Cambria" w:hAnsi="Cambria" w:cs="Cambria"/>
          <w:sz w:val="22"/>
        </w:rPr>
        <w:t xml:space="preserve">   canonical markers (INS→β, GCG→α, SST→δ, KRT19→ductal, PECAM1→endothelial, etc.). Result: 9 typed</w:t>
      </w:r>
    </w:p>
    <w:p>
      <w:r>
        <w:rPr>
          <w:rFonts w:ascii="Cambria" w:hAnsi="Cambria" w:cs="Cambria"/>
          <w:sz w:val="22"/>
        </w:rPr>
        <w:t xml:space="preserve">   cell types, 3,880 cells.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DEG</w:t>
      </w:r>
      <w:r>
        <w:rPr>
          <w:rFonts w:ascii="Cambria" w:hAnsi="Cambria" w:cs="Cambria"/>
          <w:sz w:val="22"/>
        </w:rPr>
        <w:t xml:space="preserve"> — Wilcoxon </w:t>
      </w:r>
      <w:r>
        <w:rPr>
          <w:rFonts w:ascii="Cambria" w:hAnsi="Cambria" w:cs="Cambria"/>
          <w:sz w:val="22"/>
        </w:rPr>
        <w:t>rank_genes_groups</w:t>
      </w:r>
      <w:r>
        <w:rPr>
          <w:rFonts w:ascii="Cambria" w:hAnsi="Cambria" w:cs="Cambria"/>
          <w:sz w:val="22"/>
        </w:rPr>
        <w:t xml:space="preserve"> (T2D vs ND) </w:t>
      </w:r>
      <w:r>
        <w:rPr>
          <w:rFonts w:ascii="Cambria" w:hAnsi="Cambria" w:cs="Cambria"/>
          <w:b/>
          <w:sz w:val="22"/>
        </w:rPr>
        <w:t>within each study separately</w:t>
      </w:r>
      <w:r>
        <w:rPr>
          <w:rFonts w:ascii="Cambria" w:hAnsi="Cambria" w:cs="Cambria"/>
          <w:sz w:val="22"/>
        </w:rPr>
        <w:t>, per cell type.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Replication</w:t>
      </w:r>
      <w:r>
        <w:rPr>
          <w:rFonts w:ascii="Cambria" w:hAnsi="Cambria" w:cs="Cambria"/>
          <w:sz w:val="22"/>
        </w:rPr>
        <w:t xml:space="preserve"> — a gene enters the disease signature only if its direction is </w:t>
      </w:r>
      <w:r>
        <w:rPr>
          <w:rFonts w:ascii="Cambria" w:hAnsi="Cambria" w:cs="Cambria"/>
          <w:b/>
          <w:sz w:val="22"/>
        </w:rPr>
        <w:t>consistent in both</w:t>
      </w:r>
    </w:p>
    <w:p>
      <w:r>
        <w:rPr>
          <w:rFonts w:ascii="Cambria" w:hAnsi="Cambria" w:cs="Cambria"/>
          <w:b/>
          <w:sz w:val="22"/>
        </w:rPr>
        <w:t xml:space="preserve">   studies</w:t>
      </w:r>
      <w:r>
        <w:rPr>
          <w:rFonts w:ascii="Cambria" w:hAnsi="Cambria" w:cs="Cambria"/>
          <w:sz w:val="22"/>
        </w:rPr>
        <w:t>. Both tails are captured separately: genes up in T2D (from the T2D group's top-200) and</w:t>
      </w:r>
    </w:p>
    <w:p>
      <w:r>
        <w:rPr>
          <w:rFonts w:ascii="Cambria" w:hAnsi="Cambria" w:cs="Cambria"/>
          <w:sz w:val="22"/>
        </w:rPr>
        <w:t xml:space="preserve">   genes down in T2D = up in ND (from the ND group's top-200).</w:t>
      </w:r>
    </w:p>
    <w:p>
      <w:r>
        <w:rPr>
          <w:rFonts w:ascii="Cambria" w:hAnsi="Cambria" w:cs="Cambria"/>
          <w:b/>
          <w:sz w:val="22"/>
        </w:rPr>
        <w:t>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Cells after QC (GSE86469 / GSE153855)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497 / 3,383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Merged cells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3,880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Cell types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9 (β 815 · γ 729 · acinar 499 · α 474 · ductal 455 · stellate 393 · δ 371 · ε 90 · endothelial 54)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Balanced replicated disease signature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1,431 genes = 470 up in T2D + 961 down in T2D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 signature matrix (per-cell-type expression)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9 cell types × 231 genes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b/>
          <w:sz w:val="22"/>
        </w:rPr>
        <w:t>Biological meaning.</w:t>
      </w:r>
      <w:r>
        <w:rPr>
          <w:rFonts w:ascii="Cambria" w:hAnsi="Cambria" w:cs="Cambria"/>
          <w:sz w:val="22"/>
        </w:rPr>
        <w:t xml:space="preserve"> The signature is </w:t>
      </w:r>
      <w:r>
        <w:rPr>
          <w:rFonts w:ascii="Cambria" w:hAnsi="Cambria" w:cs="Cambria"/>
          <w:i/>
          <w:sz w:val="22"/>
        </w:rPr>
        <w:t>study-robust</w:t>
      </w:r>
      <w:r>
        <w:rPr>
          <w:rFonts w:ascii="Cambria" w:hAnsi="Cambria" w:cs="Cambria"/>
          <w:sz w:val="22"/>
        </w:rPr>
        <w:t xml:space="preserve"> (two independent platforms must agree) and</w:t>
      </w:r>
    </w:p>
    <w:p>
      <w:r>
        <w:rPr>
          <w:rFonts w:ascii="Cambria" w:hAnsi="Cambria" w:cs="Cambria"/>
          <w:i/>
          <w:sz w:val="22"/>
        </w:rPr>
        <w:t>direction-balanced</w:t>
      </w:r>
      <w:r>
        <w:rPr>
          <w:rFonts w:ascii="Cambria" w:hAnsi="Cambria" w:cs="Cambria"/>
          <w:sz w:val="22"/>
        </w:rPr>
        <w:t xml:space="preserve"> (a real down-regulated tail exists and is captured). The </w:t>
      </w:r>
      <w:r>
        <w:rPr>
          <w:rFonts w:ascii="Cambria" w:hAnsi="Cambria" w:cs="Cambria"/>
          <w:sz w:val="22"/>
        </w:rPr>
        <w:t>signature_matrix.csv</w:t>
      </w:r>
    </w:p>
    <w:p>
      <w:r>
        <w:rPr>
          <w:rFonts w:ascii="Cambria" w:hAnsi="Cambria" w:cs="Cambria"/>
          <w:sz w:val="22"/>
        </w:rPr>
        <w:t>reads correctly — acinar cells are defined by digestive-enzyme expression (CELA3B 4.24, CPA2 4.40)</w:t>
      </w:r>
    </w:p>
    <w:p>
      <w:r>
        <w:rPr>
          <w:rFonts w:ascii="Cambria" w:hAnsi="Cambria" w:cs="Cambria"/>
          <w:sz w:val="22"/>
        </w:rPr>
        <w:t>while endocrine cells are near zero for those genes.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5.3 Stage 3 (M3) — Spatial transcriptomics: where the disease lives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473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atial_domin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5. M3 — Visium spot deconvolution overlaid on the tissue image: 2,695 spots colored by dominant brain cell type (demonstration mouse-brain dataset).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702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atial_nich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0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6. M3 — Visium niche clusters (k = 6) overlaid on the tissue image, derived by KMeans on deconvolved cell-type proportions.</w:t>
      </w:r>
    </w:p>
    <w:p>
      <w:r>
        <w:rPr>
          <w:rFonts w:ascii="Cambria" w:hAnsi="Cambria" w:cs="Cambria"/>
          <w:b/>
          <w:sz w:val="22"/>
        </w:rPr>
        <w:t>Purpose:</w:t>
      </w:r>
      <w:r>
        <w:rPr>
          <w:rFonts w:ascii="Cambria" w:hAnsi="Cambria" w:cs="Cambria"/>
          <w:sz w:val="22"/>
        </w:rPr>
        <w:t xml:space="preserve"> locate cell states and define </w:t>
      </w:r>
      <w:r>
        <w:rPr>
          <w:rFonts w:ascii="Cambria" w:hAnsi="Cambria" w:cs="Cambria"/>
          <w:b/>
          <w:sz w:val="22"/>
        </w:rPr>
        <w:t>niches</w:t>
      </w:r>
      <w:r>
        <w:rPr>
          <w:rFonts w:ascii="Cambria" w:hAnsi="Cambria" w:cs="Cambria"/>
          <w:sz w:val="22"/>
        </w:rPr>
        <w:t xml:space="preserve"> — the spatial neighborhoods in which cell types</w:t>
      </w:r>
    </w:p>
    <w:p>
      <w:r>
        <w:rPr>
          <w:rFonts w:ascii="Cambria" w:hAnsi="Cambria" w:cs="Cambria"/>
          <w:sz w:val="22"/>
        </w:rPr>
        <w:t>act on each other (e.g., inflamed islet borders where stellate cells drive β-cell fibrosis).</w:t>
      </w:r>
    </w:p>
    <w:p>
      <w:r>
        <w:rPr>
          <w:rFonts w:ascii="Cambria" w:hAnsi="Cambria" w:cs="Cambria"/>
          <w:b/>
          <w:sz w:val="22"/>
        </w:rPr>
        <w:t>Method (proven on the approved mouse-brain fallback).</w:t>
      </w:r>
    </w:p>
    <w:p>
      <w:pPr>
        <w:pStyle w:val="ListNumber"/>
        <w:jc w:val="left"/>
      </w:pPr>
      <w:r>
        <w:rPr>
          <w:rFonts w:ascii="Cambria" w:hAnsi="Cambria" w:cs="Cambria"/>
          <w:sz w:val="22"/>
        </w:rPr>
        <w:t>sc.read_visium</w:t>
      </w:r>
      <w:r>
        <w:rPr>
          <w:rFonts w:ascii="Cambria" w:hAnsi="Cambria" w:cs="Cambria"/>
          <w:sz w:val="22"/>
        </w:rPr>
        <w:t xml:space="preserve"> loads 2,695 spots; genes deduplicated (</w:t>
      </w:r>
      <w:r>
        <w:rPr>
          <w:rFonts w:ascii="Cambria" w:hAnsi="Cambria" w:cs="Cambria"/>
          <w:sz w:val="22"/>
        </w:rPr>
        <w:t>var_names_make_unique</w:t>
      </w:r>
      <w:r>
        <w:rPr>
          <w:rFonts w:ascii="Cambria" w:hAnsi="Cambria" w:cs="Cambria"/>
          <w:sz w:val="22"/>
        </w:rPr>
        <w:t>).</w:t>
      </w:r>
    </w:p>
    <w:p>
      <w:pPr>
        <w:pStyle w:val="ListNumber"/>
        <w:jc w:val="left"/>
      </w:pPr>
      <w:r>
        <w:rPr>
          <w:rFonts w:ascii="Cambria" w:hAnsi="Cambria" w:cs="Cambria"/>
          <w:sz w:val="22"/>
        </w:rPr>
        <w:t>Normalize + log.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NNLS deconvolution</w:t>
      </w:r>
      <w:r>
        <w:rPr>
          <w:rFonts w:ascii="Cambria" w:hAnsi="Cambria" w:cs="Cambria"/>
          <w:sz w:val="22"/>
        </w:rPr>
        <w:t xml:space="preserve"> (</w:t>
      </w:r>
      <w:r>
        <w:rPr>
          <w:rFonts w:ascii="Cambria" w:hAnsi="Cambria" w:cs="Cambria"/>
          <w:sz w:val="22"/>
        </w:rPr>
        <w:t>scipy.optimize.nnls</w:t>
      </w:r>
      <w:r>
        <w:rPr>
          <w:rFonts w:ascii="Cambria" w:hAnsi="Cambria" w:cs="Cambria"/>
          <w:sz w:val="22"/>
        </w:rPr>
        <w:t>) per spot against a marker signature matrix — cell</w:t>
      </w:r>
    </w:p>
    <w:p>
      <w:r>
        <w:rPr>
          <w:rFonts w:ascii="Cambria" w:hAnsi="Cambria" w:cs="Cambria"/>
          <w:sz w:val="22"/>
        </w:rPr>
        <w:t xml:space="preserve">   proportions cannot be negative, so NNLS (non-negative least squares) is the correct estimator.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KMeans</w:t>
      </w:r>
      <w:r>
        <w:rPr>
          <w:rFonts w:ascii="Cambria" w:hAnsi="Cambria" w:cs="Cambria"/>
          <w:sz w:val="22"/>
        </w:rPr>
        <w:t xml:space="preserve"> on spot proportions → 6 spatial niches.</w:t>
      </w:r>
    </w:p>
    <w:p>
      <w:r>
        <w:rPr>
          <w:rFonts w:ascii="Cambria" w:hAnsi="Cambria" w:cs="Cambria"/>
          <w:b/>
          <w:sz w:val="22"/>
        </w:rPr>
        <w:t>Results (fallback demo).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Output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Spots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2,695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Deconvolution signature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 brain cell types × 24 canonical markers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Dominant cell type per spot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oligo 1,988 · neuron_inh 428 · neuron_exc 233 · astro 44 · microglia 2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Niches (k=6)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sizes 457 / 545 / 545 / 542 / 203 / 403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 signature matrix (deliverable)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9 cell types × 231 genes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b/>
          <w:sz w:val="22"/>
        </w:rPr>
        <w:t>Caveat.</w:t>
      </w:r>
      <w:r>
        <w:rPr>
          <w:rFonts w:ascii="Cambria" w:hAnsi="Cambria" w:cs="Cambria"/>
          <w:sz w:val="22"/>
        </w:rPr>
        <w:t xml:space="preserve"> Deconvolution on the fallback used marker-weighted signatures and produced a plausible but</w:t>
      </w:r>
    </w:p>
    <w:p>
      <w:r>
        <w:rPr>
          <w:rFonts w:ascii="Cambria" w:hAnsi="Cambria" w:cs="Cambria"/>
          <w:sz w:val="22"/>
        </w:rPr>
        <w:t xml:space="preserve">imperfect anatomy gradient (see §8). The </w:t>
      </w:r>
      <w:r>
        <w:rPr>
          <w:rFonts w:ascii="Cambria" w:hAnsi="Cambria" w:cs="Cambria"/>
          <w:i/>
          <w:sz w:val="22"/>
        </w:rPr>
        <w:t>real</w:t>
      </w:r>
      <w:r>
        <w:rPr>
          <w:rFonts w:ascii="Cambria" w:hAnsi="Cambria" w:cs="Cambria"/>
          <w:sz w:val="22"/>
        </w:rPr>
        <w:t xml:space="preserve"> deliverable is the islet signature matrix plus a</w:t>
      </w:r>
    </w:p>
    <w:p>
      <w:r>
        <w:rPr>
          <w:rFonts w:ascii="Cambria" w:hAnsi="Cambria" w:cs="Cambria"/>
          <w:sz w:val="22"/>
        </w:rPr>
        <w:t>--visium</w:t>
      </w:r>
      <w:r>
        <w:rPr>
          <w:rFonts w:ascii="Cambria" w:hAnsi="Cambria" w:cs="Cambria"/>
          <w:sz w:val="22"/>
        </w:rPr>
        <w:t xml:space="preserve">-ready pipeline: </w:t>
      </w:r>
      <w:r>
        <w:rPr>
          <w:rFonts w:ascii="Cambria" w:hAnsi="Cambria" w:cs="Cambria"/>
          <w:sz w:val="22"/>
        </w:rPr>
        <w:t>python scripts/run_m3_spatial.py --visium &lt;SpaceRanger_dir&gt;</w:t>
      </w:r>
      <w:r>
        <w:rPr>
          <w:rFonts w:ascii="Cambria" w:hAnsi="Cambria" w:cs="Cambria"/>
          <w:sz w:val="22"/>
        </w:rPr>
        <w:t xml:space="preserve"> deconvolves</w:t>
      </w:r>
    </w:p>
    <w:p>
      <w:r>
        <w:rPr>
          <w:rFonts w:ascii="Cambria" w:hAnsi="Cambria" w:cs="Cambria"/>
          <w:sz w:val="22"/>
        </w:rPr>
        <w:t>pancreas Visium against the 9 islet cell types directly. A mismatch guard raises a clear error if the</w:t>
      </w:r>
    </w:p>
    <w:p>
      <w:r>
        <w:rPr>
          <w:rFonts w:ascii="Cambria" w:hAnsi="Cambria" w:cs="Cambria"/>
          <w:sz w:val="22"/>
        </w:rPr>
        <w:t>tissue/species does not match the signature (≥10 genes or ≥10% overlap required).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5.4 Stage 4 (M4) — Knowledge graph + HeteroGNN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097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nn_au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0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7. M4 — link-prediction AUROC: HeteroGNN vs RandomForest vs random classifier (5-fold edge-masked CV).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43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g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4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8. M4 — knowledge-graph subset: candidate compounds, their protein targets, cell types, and the disease association.</w:t>
      </w:r>
    </w:p>
    <w:p>
      <w:r>
        <w:rPr>
          <w:rFonts w:ascii="Cambria" w:hAnsi="Cambria" w:cs="Cambria"/>
          <w:b/>
          <w:sz w:val="22"/>
        </w:rPr>
        <w:t>Purpose:</w:t>
      </w:r>
      <w:r>
        <w:rPr>
          <w:rFonts w:ascii="Cambria" w:hAnsi="Cambria" w:cs="Cambria"/>
          <w:sz w:val="22"/>
        </w:rPr>
        <w:t xml:space="preserve"> learn cell-type-specific compound compatibility from a graph, not from independent</w:t>
      </w:r>
    </w:p>
    <w:p>
      <w:r>
        <w:rPr>
          <w:rFonts w:ascii="Cambria" w:hAnsi="Cambria" w:cs="Cambria"/>
          <w:sz w:val="22"/>
        </w:rPr>
        <w:t>samples. Biology is a network (proteins interact, cells communicate, compounds hit multiple targets),</w:t>
      </w:r>
    </w:p>
    <w:p>
      <w:r>
        <w:rPr>
          <w:rFonts w:ascii="Cambria" w:hAnsi="Cambria" w:cs="Cambria"/>
          <w:sz w:val="22"/>
        </w:rPr>
        <w:t>so the model must be a graph neural network.</w:t>
      </w:r>
    </w:p>
    <w:p>
      <w:r>
        <w:rPr>
          <w:rFonts w:ascii="Cambria" w:hAnsi="Cambria" w:cs="Cambria"/>
          <w:b/>
          <w:sz w:val="22"/>
        </w:rPr>
        <w:t>The graph.</w:t>
      </w:r>
      <w:r>
        <w:rPr>
          <w:rFonts w:ascii="Cambria" w:hAnsi="Cambria" w:cs="Cambria"/>
          <w:sz w:val="22"/>
        </w:rPr>
        <w:t xml:space="preserve"> Nodes: 3,000 compounds × 758 proteins × 9 cell types × 1 disease. Edge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Edge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Source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Meaning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compound → protein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M1 (4,730)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drug–target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protein – protein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STRING (2,409)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PPI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protein → cell_type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M2 expression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gene expressed in cell type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compound → cell_type ("therapeutic")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M2 expression grounding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drug affects cell type only if its target is expressed there (mean log1p &gt; 0.5) → 228 positives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cell_type → disease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design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association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reverse edges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balanced message passing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b/>
          <w:sz w:val="22"/>
        </w:rPr>
        <w:t>Expression grounding</w:t>
      </w:r>
      <w:r>
        <w:rPr>
          <w:rFonts w:ascii="Cambria" w:hAnsi="Cambria" w:cs="Cambria"/>
          <w:sz w:val="22"/>
        </w:rPr>
        <w:t xml:space="preserve"> is the biologically critical rule: a compound cannot influence a β-cell</w:t>
      </w:r>
    </w:p>
    <w:p>
      <w:r>
        <w:rPr>
          <w:rFonts w:ascii="Cambria" w:hAnsi="Cambria" w:cs="Cambria"/>
          <w:sz w:val="22"/>
        </w:rPr>
        <w:t>through a protein β-cells do not transcribe. This single rule prevents biologically impossible</w:t>
      </w:r>
    </w:p>
    <w:p>
      <w:r>
        <w:rPr>
          <w:rFonts w:ascii="Cambria" w:hAnsi="Cambria" w:cs="Cambria"/>
          <w:sz w:val="22"/>
        </w:rPr>
        <w:t>predictions and is what makes predictions cell-type-specific.</w:t>
      </w:r>
    </w:p>
    <w:p>
      <w:r>
        <w:rPr>
          <w:rFonts w:ascii="Cambria" w:hAnsi="Cambria" w:cs="Cambria"/>
          <w:b/>
          <w:sz w:val="22"/>
        </w:rPr>
        <w:t>Model &amp; training.</w:t>
      </w:r>
      <w:r>
        <w:rPr>
          <w:rFonts w:ascii="Cambria" w:hAnsi="Cambria" w:cs="Cambria"/>
          <w:sz w:val="22"/>
        </w:rPr>
        <w:t xml:space="preserve"> HeteroGraphSAGE (2 layers, 64-dim) + MLP link predictor; node features = PCA of</w:t>
      </w:r>
    </w:p>
    <w:p>
      <w:r>
        <w:rPr>
          <w:rFonts w:ascii="Cambria" w:hAnsi="Cambria" w:cs="Cambria"/>
          <w:sz w:val="22"/>
        </w:rPr>
        <w:t>Morgan fingerprints (compounds), per-cell-type expression (proteins, cell types). Training uses</w:t>
      </w:r>
    </w:p>
    <w:p>
      <w:r>
        <w:rPr>
          <w:rFonts w:ascii="Cambria" w:hAnsi="Cambria" w:cs="Cambria"/>
          <w:b/>
          <w:sz w:val="22"/>
        </w:rPr>
        <w:t>5-fold edge-masked cross-validation</w:t>
      </w:r>
      <w:r>
        <w:rPr>
          <w:rFonts w:ascii="Cambria" w:hAnsi="Cambria" w:cs="Cambria"/>
          <w:sz w:val="22"/>
        </w:rPr>
        <w:t xml:space="preserve"> — therapeutic edges are masked so we test generalization to</w:t>
      </w:r>
    </w:p>
    <w:p>
      <w:r>
        <w:rPr>
          <w:rFonts w:ascii="Cambria" w:hAnsi="Cambria" w:cs="Cambria"/>
          <w:sz w:val="22"/>
        </w:rPr>
        <w:t>unseen compound–cell-type pairs, with fixed negatives. Baselines: RandomForest on the same features,</w:t>
      </w:r>
    </w:p>
    <w:p>
      <w:r>
        <w:rPr>
          <w:rFonts w:ascii="Cambria" w:hAnsi="Cambria" w:cs="Cambria"/>
          <w:sz w:val="22"/>
        </w:rPr>
        <w:t>random guess.</w:t>
      </w:r>
    </w:p>
    <w:p>
      <w:r>
        <w:rPr>
          <w:rFonts w:ascii="Cambria" w:hAnsi="Cambria" w:cs="Cambria"/>
          <w:b/>
          <w:sz w:val="22"/>
        </w:rPr>
        <w:t>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Model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AUROC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AUPRC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HeteroGNN (PhytoDiaGNN)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0.9957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0.9978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RandomForest baseline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0.9913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Random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Benchmark recovery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top-1% 34%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top-10% 79%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b/>
          <w:sz w:val="22"/>
        </w:rPr>
        <w:t>Interpretation.</w:t>
      </w:r>
      <w:r>
        <w:rPr>
          <w:rFonts w:ascii="Cambria" w:hAnsi="Cambria" w:cs="Cambria"/>
          <w:sz w:val="22"/>
        </w:rPr>
        <w:t xml:space="preserve"> The biology is strongly separable (RF already reaches 0.991 — features alone carry</w:t>
      </w:r>
    </w:p>
    <w:p>
      <w:r>
        <w:rPr>
          <w:rFonts w:ascii="Cambria" w:hAnsi="Cambria" w:cs="Cambria"/>
          <w:sz w:val="22"/>
        </w:rPr>
        <w:t xml:space="preserve">much of the signal), and the graph </w:t>
      </w:r>
      <w:r>
        <w:rPr>
          <w:rFonts w:ascii="Cambria" w:hAnsi="Cambria" w:cs="Cambria"/>
          <w:i/>
          <w:sz w:val="22"/>
        </w:rPr>
        <w:t>generalizes</w:t>
      </w:r>
      <w:r>
        <w:rPr>
          <w:rFonts w:ascii="Cambria" w:hAnsi="Cambria" w:cs="Cambria"/>
          <w:sz w:val="22"/>
        </w:rPr>
        <w:t xml:space="preserve"> to unseen compound–cell-type pairs — which is what</w:t>
      </w:r>
    </w:p>
    <w:p>
      <w:r>
        <w:rPr>
          <w:rFonts w:ascii="Cambria" w:hAnsi="Cambria" w:cs="Cambria"/>
          <w:sz w:val="22"/>
        </w:rPr>
        <w:t>makes the model useful for screening, not just classification.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5.5 Stage 5 (M5) — Reversal scoring + explainable AI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9135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rev_d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9. M5 — S_rev scoring: (a) signature-gene hits across 27,000 compound–cell-type pairs; (b) signed scores of the 113 engaging pairs.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324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t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10. M5 — GNN edge-removal attribution: top protein drivers.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69817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981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11. M5 — compound × cell-type reversal scores (S_rev_inh) for the 113 engaging pairs.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310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p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31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12. M5 — STRING PPI subnetwork around key attributed and benchmark targets.</w:t>
      </w:r>
    </w:p>
    <w:p>
      <w:r>
        <w:rPr>
          <w:rFonts w:ascii="Cambria" w:hAnsi="Cambria" w:cs="Cambria"/>
          <w:b/>
          <w:sz w:val="22"/>
        </w:rPr>
        <w:t>Purpose:</w:t>
      </w:r>
      <w:r>
        <w:rPr>
          <w:rFonts w:ascii="Cambria" w:hAnsi="Cambria" w:cs="Cambria"/>
          <w:sz w:val="22"/>
        </w:rPr>
        <w:t xml:space="preserve"> (a) rank all compounds per cell type by predicted disease </w:t>
      </w:r>
      <w:r>
        <w:rPr>
          <w:rFonts w:ascii="Cambria" w:hAnsi="Cambria" w:cs="Cambria"/>
          <w:i/>
          <w:sz w:val="22"/>
        </w:rPr>
        <w:t>reversal</w:t>
      </w:r>
      <w:r>
        <w:rPr>
          <w:rFonts w:ascii="Cambria" w:hAnsi="Cambria" w:cs="Cambria"/>
          <w:sz w:val="22"/>
        </w:rPr>
        <w:t>, and (b) explain each</w:t>
      </w:r>
    </w:p>
    <w:p>
      <w:r>
        <w:rPr>
          <w:rFonts w:ascii="Cambria" w:hAnsi="Cambria" w:cs="Cambria"/>
          <w:sz w:val="22"/>
        </w:rPr>
        <w:t>prediction by identifying the responsible protein targets.</w:t>
      </w:r>
    </w:p>
    <w:p>
      <w:r>
        <w:rPr>
          <w:rFonts w:ascii="Cambria" w:hAnsi="Cambria" w:cs="Cambria"/>
          <w:b/>
          <w:sz w:val="22"/>
        </w:rPr>
        <w:t>S_rev reversal score (CMap convention).</w:t>
      </w:r>
      <w:r>
        <w:rPr>
          <w:rFonts w:ascii="Cambria" w:hAnsi="Cambria" w:cs="Cambria"/>
          <w:sz w:val="22"/>
        </w:rPr>
        <w:t xml:space="preserve"> For each of 27,000 compound × cell-type pairs (3,000 × 9),</w:t>
      </w:r>
    </w:p>
    <w:p>
      <w:r>
        <w:rPr>
          <w:rFonts w:ascii="Cambria" w:hAnsi="Cambria" w:cs="Cambria"/>
          <w:sz w:val="22"/>
        </w:rPr>
        <w:t>count the compound's targets that lie in that cell type's disease signature, with explicit sign:</w:t>
      </w:r>
    </w:p>
    <w:p>
      <w:pPr>
        <w:pStyle w:val="ListBullet"/>
        <w:jc w:val="left"/>
      </w:pPr>
      <w:r>
        <w:rPr>
          <w:rFonts w:ascii="Cambria" w:hAnsi="Cambria" w:cs="Cambria"/>
          <w:sz w:val="22"/>
        </w:rPr>
        <w:t>s_rev_inh</w:t>
      </w:r>
      <w:r>
        <w:rPr>
          <w:rFonts w:ascii="Cambria" w:hAnsi="Cambria" w:cs="Cambria"/>
          <w:sz w:val="22"/>
        </w:rPr>
        <w:t xml:space="preserve"> = </w:t>
      </w:r>
      <w:r>
        <w:rPr>
          <w:rFonts w:ascii="Cambria" w:hAnsi="Cambria" w:cs="Cambria"/>
          <w:b/>
          <w:sz w:val="22"/>
        </w:rPr>
        <w:t>+1</w:t>
      </w:r>
      <w:r>
        <w:rPr>
          <w:rFonts w:ascii="Cambria" w:hAnsi="Cambria" w:cs="Cambria"/>
          <w:sz w:val="22"/>
        </w:rPr>
        <w:t xml:space="preserve"> per disease-</w:t>
      </w:r>
      <w:r>
        <w:rPr>
          <w:rFonts w:ascii="Cambria" w:hAnsi="Cambria" w:cs="Cambria"/>
          <w:b/>
          <w:sz w:val="22"/>
        </w:rPr>
        <w:t>UP</w:t>
      </w:r>
      <w:r>
        <w:rPr>
          <w:rFonts w:ascii="Cambria" w:hAnsi="Cambria" w:cs="Cambria"/>
          <w:sz w:val="22"/>
        </w:rPr>
        <w:t xml:space="preserve"> gene hit (target assumed suppressed → corrects an</w:t>
      </w:r>
    </w:p>
    <w:p>
      <w:r>
        <w:rPr>
          <w:rFonts w:ascii="Cambria" w:hAnsi="Cambria" w:cs="Cambria"/>
          <w:sz w:val="22"/>
        </w:rPr>
        <w:t xml:space="preserve">  over-elevated gene) </w:t>
      </w:r>
      <w:r>
        <w:rPr>
          <w:rFonts w:ascii="Cambria" w:hAnsi="Cambria" w:cs="Cambria"/>
          <w:b/>
          <w:sz w:val="22"/>
        </w:rPr>
        <w:t>−1</w:t>
      </w:r>
      <w:r>
        <w:rPr>
          <w:rFonts w:ascii="Cambria" w:hAnsi="Cambria" w:cs="Cambria"/>
          <w:sz w:val="22"/>
        </w:rPr>
        <w:t xml:space="preserve"> per disease-</w:t>
      </w:r>
      <w:r>
        <w:rPr>
          <w:rFonts w:ascii="Cambria" w:hAnsi="Cambria" w:cs="Cambria"/>
          <w:b/>
          <w:sz w:val="22"/>
        </w:rPr>
        <w:t>DOWN</w:t>
      </w:r>
      <w:r>
        <w:rPr>
          <w:rFonts w:ascii="Cambria" w:hAnsi="Cambria" w:cs="Cambria"/>
          <w:sz w:val="22"/>
        </w:rPr>
        <w:t xml:space="preserve"> gene hit (suppressing an already-low gene worsens it).</w:t>
      </w:r>
    </w:p>
    <w:p>
      <w:pPr>
        <w:pStyle w:val="ListBullet"/>
        <w:jc w:val="left"/>
      </w:pPr>
      <w:r>
        <w:rPr>
          <w:rFonts w:ascii="Cambria" w:hAnsi="Cambria" w:cs="Cambria"/>
          <w:sz w:val="22"/>
        </w:rPr>
        <w:t>s_rev_act</w:t>
      </w:r>
      <w:r>
        <w:rPr>
          <w:rFonts w:ascii="Cambria" w:hAnsi="Cambria" w:cs="Cambria"/>
          <w:sz w:val="22"/>
        </w:rPr>
        <w:t xml:space="preserve"> = the </w:t>
      </w:r>
      <w:r>
        <w:rPr>
          <w:rFonts w:ascii="Cambria" w:hAnsi="Cambria" w:cs="Cambria"/>
          <w:b/>
          <w:sz w:val="22"/>
        </w:rPr>
        <w:t>activation-assumption negation</w:t>
      </w:r>
      <w:r>
        <w:rPr>
          <w:rFonts w:ascii="Cambria" w:hAnsi="Cambria" w:cs="Cambria"/>
          <w:sz w:val="22"/>
        </w:rPr>
        <w:t xml:space="preserve"> of </w:t>
      </w:r>
      <w:r>
        <w:rPr>
          <w:rFonts w:ascii="Cambria" w:hAnsi="Cambria" w:cs="Cambria"/>
          <w:sz w:val="22"/>
        </w:rPr>
        <w:t>s_rev_inh</w:t>
      </w:r>
      <w:r>
        <w:rPr>
          <w:rFonts w:ascii="Cambria" w:hAnsi="Cambria" w:cs="Cambria"/>
          <w:sz w:val="22"/>
        </w:rPr>
        <w:t>.</w:t>
      </w:r>
    </w:p>
    <w:p>
      <w:r>
        <w:rPr>
          <w:rFonts w:ascii="Cambria" w:hAnsi="Cambria" w:cs="Cambria"/>
          <w:sz w:val="22"/>
        </w:rPr>
        <w:t xml:space="preserve">Companion columns: </w:t>
      </w:r>
      <w:r>
        <w:rPr>
          <w:rFonts w:ascii="Cambria" w:hAnsi="Cambria" w:cs="Cambria"/>
          <w:sz w:val="22"/>
        </w:rPr>
        <w:t>n_hits</w:t>
      </w:r>
      <w:r>
        <w:rPr>
          <w:rFonts w:ascii="Cambria" w:hAnsi="Cambria" w:cs="Cambria"/>
          <w:sz w:val="22"/>
        </w:rPr>
        <w:t xml:space="preserve">, </w:t>
      </w:r>
      <w:r>
        <w:rPr>
          <w:rFonts w:ascii="Cambria" w:hAnsi="Cambria" w:cs="Cambria"/>
          <w:sz w:val="22"/>
        </w:rPr>
        <w:t>n_up_hits</w:t>
      </w:r>
      <w:r>
        <w:rPr>
          <w:rFonts w:ascii="Cambria" w:hAnsi="Cambria" w:cs="Cambria"/>
          <w:sz w:val="22"/>
        </w:rPr>
        <w:t xml:space="preserve">, </w:t>
      </w:r>
      <w:r>
        <w:rPr>
          <w:rFonts w:ascii="Cambria" w:hAnsi="Cambria" w:cs="Cambria"/>
          <w:sz w:val="22"/>
        </w:rPr>
        <w:t>n_down_hits</w:t>
      </w:r>
      <w:r>
        <w:rPr>
          <w:rFonts w:ascii="Cambria" w:hAnsi="Cambria" w:cs="Cambria"/>
          <w:sz w:val="22"/>
        </w:rPr>
        <w:t xml:space="preserve">, </w:t>
      </w:r>
      <w:r>
        <w:rPr>
          <w:rFonts w:ascii="Cambria" w:hAnsi="Cambria" w:cs="Cambria"/>
          <w:sz w:val="22"/>
        </w:rPr>
        <w:t>coverage</w:t>
      </w:r>
      <w:r>
        <w:rPr>
          <w:rFonts w:ascii="Cambria" w:hAnsi="Cambria" w:cs="Cambria"/>
          <w:sz w:val="22"/>
        </w:rPr>
        <w:t xml:space="preserve"> (n_hits / cell-type signature</w:t>
      </w:r>
    </w:p>
    <w:p>
      <w:r>
        <w:rPr>
          <w:rFonts w:ascii="Cambria" w:hAnsi="Cambria" w:cs="Cambria"/>
          <w:sz w:val="22"/>
        </w:rPr>
        <w:t xml:space="preserve">size), </w:t>
      </w:r>
      <w:r>
        <w:rPr>
          <w:rFonts w:ascii="Cambria" w:hAnsi="Cambria" w:cs="Cambria"/>
          <w:sz w:val="22"/>
        </w:rPr>
        <w:t>purity</w:t>
      </w:r>
      <w:r>
        <w:rPr>
          <w:rFonts w:ascii="Cambria" w:hAnsi="Cambria" w:cs="Cambria"/>
          <w:sz w:val="22"/>
        </w:rPr>
        <w:t xml:space="preserve"> (s_rev / n_hits), </w:t>
      </w:r>
      <w:r>
        <w:rPr>
          <w:rFonts w:ascii="Cambria" w:hAnsi="Cambria" w:cs="Cambria"/>
          <w:sz w:val="22"/>
        </w:rPr>
        <w:t>no_signal</w:t>
      </w:r>
      <w:r>
        <w:rPr>
          <w:rFonts w:ascii="Cambria" w:hAnsi="Cambria" w:cs="Cambria"/>
          <w:sz w:val="22"/>
        </w:rPr>
        <w:t>. Compound–target databases do not encode</w:t>
      </w:r>
    </w:p>
    <w:p>
      <w:r>
        <w:rPr>
          <w:rFonts w:ascii="Cambria" w:hAnsi="Cambria" w:cs="Cambria"/>
          <w:sz w:val="22"/>
        </w:rPr>
        <w:t xml:space="preserve">inhibitor-vs-activator mode, so </w:t>
      </w:r>
      <w:r>
        <w:rPr>
          <w:rFonts w:ascii="Cambria" w:hAnsi="Cambria" w:cs="Cambria"/>
          <w:b/>
          <w:sz w:val="22"/>
        </w:rPr>
        <w:t>both conventions are reported</w:t>
      </w:r>
      <w:r>
        <w:rPr>
          <w:rFonts w:ascii="Cambria" w:hAnsi="Cambria" w:cs="Cambria"/>
          <w:sz w:val="22"/>
        </w:rPr>
        <w:t xml:space="preserve"> and no assumption is hidden.</w:t>
      </w:r>
    </w:p>
    <w:p>
      <w:r>
        <w:rPr>
          <w:rFonts w:ascii="Cambria" w:hAnsi="Cambria" w:cs="Cambria"/>
          <w:b/>
          <w:sz w:val="22"/>
        </w:rPr>
        <w:t>GNN edge-removal attribution (XAI).</w:t>
      </w:r>
      <w:r>
        <w:rPr>
          <w:rFonts w:ascii="Cambria" w:hAnsi="Cambria" w:cs="Cambria"/>
          <w:sz w:val="22"/>
        </w:rPr>
        <w:t xml:space="preserve"> Remove one compound→protein edge at a time, re-run the model,</w:t>
      </w:r>
    </w:p>
    <w:p>
      <w:r>
        <w:rPr>
          <w:rFonts w:ascii="Cambria" w:hAnsi="Cambria" w:cs="Cambria"/>
          <w:sz w:val="22"/>
        </w:rPr>
        <w:t>and measure the logit drop. Large drop ⇒ that protein drives the prediction.</w:t>
      </w:r>
    </w:p>
    <w:p>
      <w:r>
        <w:rPr>
          <w:rFonts w:ascii="Cambria" w:hAnsi="Cambria" w:cs="Cambria"/>
          <w:b/>
          <w:sz w:val="22"/>
        </w:rPr>
        <w:t>Results.</w:t>
      </w:r>
      <w:r>
        <w:rPr>
          <w:rFonts w:ascii="Cambria" w:hAnsi="Cambria" w:cs="Cambria"/>
          <w:sz w:val="22"/>
        </w:rPr>
        <w:t xml:space="preserve"> 113 of 27,000 pairs engage ≥1 signature gene (see §8 for the coverage limit). Signed</w:t>
      </w:r>
    </w:p>
    <w:p>
      <w:r>
        <w:rPr>
          <w:rFonts w:ascii="Cambria" w:hAnsi="Cambria" w:cs="Cambria"/>
          <w:sz w:val="22"/>
        </w:rPr>
        <w:t>scores now rank the engaging set meaningfully (e.g., NPC39426/stellate +1 via NPC1; NPC109083/beta −1,</w:t>
      </w:r>
    </w:p>
    <w:p>
      <w:r>
        <w:rPr>
          <w:rFonts w:ascii="Cambria" w:hAnsi="Cambria" w:cs="Cambria"/>
          <w:sz w:val="22"/>
        </w:rPr>
        <w:t>honestly reflecting its hit on the disease-DOWN gene ALOX5). Top attribution drivers: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Compound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 type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Target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Logit drop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NPC166788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endothelial/ductal/stellate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PLK1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40.1 / 40.0 / 39.9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endothelial/ductal/stellate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234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7.04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sz w:val="22"/>
        </w:rPr>
        <w:t xml:space="preserve">These are not arbitrary picks — </w:t>
      </w:r>
      <w:r>
        <w:rPr>
          <w:rFonts w:ascii="Cambria" w:hAnsi="Cambria" w:cs="Cambria"/>
          <w:b/>
          <w:sz w:val="22"/>
        </w:rPr>
        <w:t>PLK1</w:t>
      </w:r>
      <w:r>
        <w:rPr>
          <w:rFonts w:ascii="Cambria" w:hAnsi="Cambria" w:cs="Cambria"/>
          <w:sz w:val="22"/>
        </w:rPr>
        <w:t xml:space="preserve"> is a stress kinase implicated in β-cell dysfunction, and</w:t>
      </w:r>
    </w:p>
    <w:p>
      <w:r>
        <w:rPr>
          <w:rFonts w:ascii="Cambria" w:hAnsi="Cambria" w:cs="Cambria"/>
          <w:b/>
          <w:sz w:val="22"/>
        </w:rPr>
        <w:t>TTR</w:t>
      </w:r>
      <w:r>
        <w:rPr>
          <w:rFonts w:ascii="Cambria" w:hAnsi="Cambria" w:cs="Cambria"/>
          <w:sz w:val="22"/>
        </w:rPr>
        <w:t xml:space="preserve"> (transthyretin) forms the toxic amyloid aggregates characteristic of T2D islets. The model</w:t>
      </w:r>
    </w:p>
    <w:p>
      <w:r>
        <w:rPr>
          <w:rFonts w:ascii="Cambria" w:hAnsi="Cambria" w:cs="Cambria"/>
          <w:sz w:val="22"/>
        </w:rPr>
        <w:t>surfaces known diabetes mechanisms.</w:t>
      </w:r>
    </w:p>
    <w:p>
      <w:r>
        <w:rPr>
          <w:rFonts w:ascii="Cambria" w:hAnsi="Cambria" w:cs="Cambria"/>
          <w:b/>
          <w:sz w:val="22"/>
        </w:rPr>
        <w:t xml:space="preserve">Correction history (documented in </w:t>
      </w:r>
      <w:r>
        <w:rPr>
          <w:rFonts w:ascii="Cambria" w:hAnsi="Cambria" w:cs="Cambria"/>
          <w:b/>
          <w:sz w:val="22"/>
        </w:rPr>
        <w:t>REPORT.md</w:t>
      </w:r>
      <w:r>
        <w:rPr>
          <w:rFonts w:ascii="Cambria" w:hAnsi="Cambria" w:cs="Cambria"/>
          <w:b/>
          <w:sz w:val="22"/>
        </w:rPr>
        <w:t>).</w:t>
      </w:r>
      <w:r>
        <w:rPr>
          <w:rFonts w:ascii="Cambria" w:hAnsi="Cambria" w:cs="Cambria"/>
          <w:sz w:val="22"/>
        </w:rPr>
        <w:t xml:space="preserve"> The original S_rev had an inverted sign and an</w:t>
      </w:r>
    </w:p>
    <w:p>
      <w:r>
        <w:rPr>
          <w:rFonts w:ascii="Cambria" w:hAnsi="Cambria" w:cs="Cambria"/>
          <w:sz w:val="22"/>
        </w:rPr>
        <w:t>up-only signature, so "rank-1" tables were 0.0 ties among compounds with zero hits. That artifact is</w:t>
      </w:r>
    </w:p>
    <w:p>
      <w:r>
        <w:rPr>
          <w:rFonts w:ascii="Cambria" w:hAnsi="Cambria" w:cs="Cambria"/>
          <w:sz w:val="22"/>
        </w:rPr>
        <w:t>fixed: the signature is balanced (470 up + 961 down), the score is signed and assumption-explicit, and</w:t>
      </w:r>
    </w:p>
    <w:p>
      <w:r>
        <w:rPr>
          <w:rFonts w:ascii="Cambria" w:hAnsi="Cambria" w:cs="Cambria"/>
          <w:sz w:val="22"/>
        </w:rPr>
        <w:t>the retraction is on record.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5.6 Stage 6 (M6) — Molecular docking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776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by_ki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7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13. M6 — Vina affinity by compound kind and receptor (medians annotated).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053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ro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0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14. M6 — docking benchmark ROC: known actives vs property-matched decoys (GSK3B AUROC 0.804; PPARG 0.667).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295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15. M6 — top-20 novel phytochemical candidates by Vina affinity.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uctur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mbria" w:hAnsi="Cambria" w:cs="Cambria"/>
          <w:i/>
          <w:sz w:val="19"/>
        </w:rPr>
        <w:t>Figure 16. M6 — 2D structures of the top four novel candidates.</w:t>
      </w:r>
    </w:p>
    <w:p>
      <w:r>
        <w:rPr>
          <w:rFonts w:ascii="Cambria" w:hAnsi="Cambria" w:cs="Cambria"/>
          <w:b/>
          <w:sz w:val="22"/>
        </w:rPr>
        <w:t>Purpose:</w:t>
      </w:r>
      <w:r>
        <w:rPr>
          <w:rFonts w:ascii="Cambria" w:hAnsi="Cambria" w:cs="Cambria"/>
          <w:sz w:val="22"/>
        </w:rPr>
        <w:t xml:space="preserve"> physical validation — statistical plausibility is not physical possibility.</w:t>
      </w:r>
    </w:p>
    <w:p>
      <w:r>
        <w:rPr>
          <w:rFonts w:ascii="Cambria" w:hAnsi="Cambria" w:cs="Cambria"/>
          <w:b/>
          <w:sz w:val="22"/>
        </w:rPr>
        <w:t>Method.</w:t>
      </w:r>
    </w:p>
    <w:p>
      <w:pPr>
        <w:pStyle w:val="ListNumber"/>
        <w:jc w:val="left"/>
      </w:pPr>
      <w:r>
        <w:rPr>
          <w:rFonts w:ascii="Cambria" w:hAnsi="Cambria" w:cs="Cambria"/>
          <w:sz w:val="22"/>
        </w:rPr>
        <w:t xml:space="preserve">Receptors from PDB 2PRG (PPARγ) and 1J1B (GSK3β); co-crystal ligands define a </w:t>
      </w:r>
      <w:r>
        <w:rPr>
          <w:rFonts w:ascii="Cambria" w:hAnsi="Cambria" w:cs="Cambria"/>
          <w:b/>
          <w:sz w:val="22"/>
        </w:rPr>
        <w:t>22 Å centroid</w:t>
      </w:r>
    </w:p>
    <w:p>
      <w:r>
        <w:rPr>
          <w:rFonts w:ascii="Cambria" w:hAnsi="Cambria" w:cs="Cambria"/>
          <w:b/>
          <w:sz w:val="22"/>
        </w:rPr>
        <w:t xml:space="preserve">   box</w:t>
      </w:r>
      <w:r>
        <w:rPr>
          <w:rFonts w:ascii="Cambria" w:hAnsi="Cambria" w:cs="Cambria"/>
          <w:sz w:val="22"/>
        </w:rPr>
        <w:t xml:space="preserve"> at the true binding site.</w:t>
      </w:r>
    </w:p>
    <w:p>
      <w:pPr>
        <w:pStyle w:val="ListNumber"/>
        <w:jc w:val="left"/>
      </w:pPr>
      <w:r>
        <w:rPr>
          <w:rFonts w:ascii="Cambria" w:hAnsi="Cambria" w:cs="Cambria"/>
          <w:sz w:val="22"/>
        </w:rPr>
        <w:t>OpenBabel prepares receptors (PDB → PDBQT, protonation pH 7.4) and ligands (SMILES → 3D → PDBQT</w:t>
      </w:r>
    </w:p>
    <w:p>
      <w:r>
        <w:rPr>
          <w:rFonts w:ascii="Cambria" w:hAnsi="Cambria" w:cs="Cambria"/>
          <w:sz w:val="22"/>
        </w:rPr>
        <w:t xml:space="preserve">   with embedding-seed retries for robustness).</w:t>
      </w:r>
    </w:p>
    <w:p>
      <w:pPr>
        <w:pStyle w:val="ListNumber"/>
        <w:jc w:val="left"/>
      </w:pPr>
      <w:r>
        <w:rPr>
          <w:rFonts w:ascii="Cambria" w:hAnsi="Cambria" w:cs="Cambria"/>
          <w:sz w:val="22"/>
        </w:rPr>
        <w:t>AutoDock Vina 1.1.2 searches binding poses; 4 threaded workers (</w:t>
      </w:r>
      <w:r>
        <w:rPr>
          <w:rFonts w:ascii="Cambria" w:hAnsi="Cambria" w:cs="Cambria"/>
          <w:sz w:val="22"/>
        </w:rPr>
        <w:t>--cpu 1</w:t>
      </w:r>
      <w:r>
        <w:rPr>
          <w:rFonts w:ascii="Cambria" w:hAnsi="Cambria" w:cs="Cambria"/>
          <w:sz w:val="22"/>
        </w:rPr>
        <w:t xml:space="preserve"> each); checkpoint CSV</w:t>
      </w:r>
    </w:p>
    <w:p>
      <w:r>
        <w:rPr>
          <w:rFonts w:ascii="Cambria" w:hAnsi="Cambria" w:cs="Cambria"/>
          <w:sz w:val="22"/>
        </w:rPr>
        <w:t xml:space="preserve">   enables resume.</w:t>
      </w:r>
    </w:p>
    <w:p>
      <w:pPr>
        <w:pStyle w:val="ListNumber"/>
        <w:jc w:val="left"/>
      </w:pPr>
      <w:r>
        <w:rPr>
          <w:rFonts w:ascii="Cambria" w:hAnsi="Cambria" w:cs="Cambria"/>
          <w:sz w:val="22"/>
        </w:rPr>
        <w:t xml:space="preserve">Benchmark: 14 unique known actives (deduplicated) vs </w:t>
      </w:r>
      <w:r>
        <w:rPr>
          <w:rFonts w:ascii="Cambria" w:hAnsi="Cambria" w:cs="Cambria"/>
          <w:b/>
          <w:sz w:val="22"/>
        </w:rPr>
        <w:t>68 property-matched decoys</w:t>
      </w:r>
      <w:r>
        <w:rPr>
          <w:rFonts w:ascii="Cambria" w:hAnsi="Cambria" w:cs="Cambria"/>
          <w:sz w:val="22"/>
        </w:rPr>
        <w:t xml:space="preserve"> (MW ±25,</w:t>
      </w:r>
    </w:p>
    <w:p>
      <w:r>
        <w:rPr>
          <w:rFonts w:ascii="Cambria" w:hAnsi="Cambria" w:cs="Cambria"/>
          <w:sz w:val="22"/>
        </w:rPr>
        <w:t xml:space="preserve">   logP ±1) per receptor → enrichment and AUROC.</w:t>
      </w:r>
    </w:p>
    <w:p>
      <w:r>
        <w:rPr>
          <w:rFonts w:ascii="Cambria" w:hAnsi="Cambria" w:cs="Cambria"/>
          <w:b/>
          <w:sz w:val="22"/>
        </w:rPr>
        <w:t>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Receptor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Median active (kcal/mol)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Median decoy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EF5%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AUROC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GSK3β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−7.3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−6.4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0.804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PPARγ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−6.85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−6.4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0.667</w:t>
            </w:r>
          </w:p>
        </w:tc>
      </w:tr>
    </w:tbl>
    <w:p>
      <w:pPr>
        <w:spacing w:after="80"/>
      </w:pPr>
    </w:p>
    <w:p>
      <w:r>
        <w:rPr>
          <w:rFonts w:ascii="Cambria" w:hAnsi="Cambria" w:cs="Cambria"/>
          <w:sz w:val="22"/>
        </w:rPr>
        <w:t>Top actives: NPC279121 (−7.9 GSK3β), NPC254847 (−7.9 PPARγ).</w:t>
      </w:r>
    </w:p>
    <w:p>
      <w:r>
        <w:rPr>
          <w:rFonts w:ascii="Cambria" w:hAnsi="Cambria" w:cs="Cambria"/>
          <w:b/>
          <w:sz w:val="22"/>
        </w:rPr>
        <w:t>Top novel candidates:</w:t>
      </w:r>
      <w:r>
        <w:rPr>
          <w:rFonts w:ascii="Cambria" w:hAnsi="Cambria" w:cs="Cambria"/>
          <w:sz w:val="22"/>
        </w:rPr>
        <w:t xml:space="preserve"> </w:t>
      </w:r>
      <w:r>
        <w:rPr>
          <w:rFonts w:ascii="Cambria" w:hAnsi="Cambria" w:cs="Cambria"/>
          <w:b/>
          <w:sz w:val="22"/>
        </w:rPr>
        <w:t>NPC190454 (−7.3 GSK3β)</w:t>
      </w:r>
      <w:r>
        <w:rPr>
          <w:rFonts w:ascii="Cambria" w:hAnsi="Cambria" w:cs="Cambria"/>
          <w:sz w:val="22"/>
        </w:rPr>
        <w:t xml:space="preserve">, </w:t>
      </w:r>
      <w:r>
        <w:rPr>
          <w:rFonts w:ascii="Cambria" w:hAnsi="Cambria" w:cs="Cambria"/>
          <w:b/>
          <w:sz w:val="22"/>
        </w:rPr>
        <w:t>NPC461221 (−6.6 GSK3β)</w:t>
      </w:r>
      <w:r>
        <w:rPr>
          <w:rFonts w:ascii="Cambria" w:hAnsi="Cambria" w:cs="Cambria"/>
          <w:sz w:val="22"/>
        </w:rPr>
        <w:t>.</w:t>
      </w:r>
    </w:p>
    <w:p>
      <w:r>
        <w:rPr>
          <w:rFonts w:ascii="Cambria" w:hAnsi="Cambria" w:cs="Cambria"/>
          <w:b/>
          <w:sz w:val="22"/>
        </w:rPr>
        <w:t>Tool quirk solved:</w:t>
      </w:r>
      <w:r>
        <w:rPr>
          <w:rFonts w:ascii="Cambria" w:hAnsi="Cambria" w:cs="Cambria"/>
          <w:sz w:val="22"/>
        </w:rPr>
        <w:t xml:space="preserve"> Vina 1.1.2 writes the score in the output PDBQT </w:t>
      </w:r>
      <w:r>
        <w:rPr>
          <w:rFonts w:ascii="Cambria" w:hAnsi="Cambria" w:cs="Cambria"/>
          <w:sz w:val="22"/>
        </w:rPr>
        <w:t>REMARK VINA RESULT:</w:t>
      </w:r>
      <w:r>
        <w:rPr>
          <w:rFonts w:ascii="Cambria" w:hAnsi="Cambria" w:cs="Cambria"/>
          <w:sz w:val="22"/>
        </w:rPr>
        <w:t xml:space="preserve"> line, not</w:t>
      </w:r>
    </w:p>
    <w:p>
      <w:r>
        <w:rPr>
          <w:rFonts w:ascii="Cambria" w:hAnsi="Cambria" w:cs="Cambria"/>
          <w:sz w:val="22"/>
        </w:rPr>
        <w:t>the terminal table — the original parser missed it, so all dockings silently "failed." The parser now</w:t>
      </w:r>
    </w:p>
    <w:p>
      <w:r>
        <w:rPr>
          <w:rFonts w:ascii="Cambria" w:hAnsi="Cambria" w:cs="Cambria"/>
          <w:sz w:val="22"/>
        </w:rPr>
        <w:t xml:space="preserve">reads </w:t>
      </w:r>
      <w:r>
        <w:rPr>
          <w:rFonts w:ascii="Cambria" w:hAnsi="Cambria" w:cs="Cambria"/>
          <w:sz w:val="22"/>
        </w:rPr>
        <w:t>line.split()[-3]</w:t>
      </w:r>
      <w:r>
        <w:rPr>
          <w:rFonts w:ascii="Cambria" w:hAnsi="Cambria" w:cs="Cambria"/>
          <w:sz w:val="22"/>
        </w:rPr>
        <w:t>; 198/206 complexes docked (8 ligand-prep failures tolerated).</w:t>
      </w:r>
    </w:p>
    <w:p>
      <w:r>
        <w:rPr>
          <w:rFonts w:ascii="Cambria" w:hAnsi="Cambria" w:cs="Cambria"/>
          <w:b/>
          <w:sz w:val="22"/>
        </w:rPr>
        <w:t>Interpretation.</w:t>
      </w:r>
      <w:r>
        <w:rPr>
          <w:rFonts w:ascii="Cambria" w:hAnsi="Cambria" w:cs="Cambria"/>
          <w:sz w:val="22"/>
        </w:rPr>
        <w:t xml:space="preserve"> Docking </w:t>
      </w:r>
      <w:r>
        <w:rPr>
          <w:rFonts w:ascii="Cambria" w:hAnsi="Cambria" w:cs="Cambria"/>
          <w:i/>
          <w:sz w:val="22"/>
        </w:rPr>
        <w:t>recovers</w:t>
      </w:r>
      <w:r>
        <w:rPr>
          <w:rFonts w:ascii="Cambria" w:hAnsi="Cambria" w:cs="Cambria"/>
          <w:sz w:val="22"/>
        </w:rPr>
        <w:t xml:space="preserve"> known actives against GSK3β (AUROC 0.80), supporting the</w:t>
      </w:r>
    </w:p>
    <w:p>
      <w:r>
        <w:rPr>
          <w:rFonts w:ascii="Cambria" w:hAnsi="Cambria" w:cs="Cambria"/>
          <w:sz w:val="22"/>
        </w:rPr>
        <w:t>pipeline's validity. PPARγ enrichment is weaker (0.67) — a limitation (§8).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6. Key Results &amp; Insights (cross-milestone)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The T2D islet signature is best defined per cell type</w:t>
      </w:r>
      <w:r>
        <w:rPr>
          <w:rFonts w:ascii="Cambria" w:hAnsi="Cambria" w:cs="Cambria"/>
          <w:sz w:val="22"/>
        </w:rPr>
        <w:t xml:space="preserve"> — 1,431 genes, study-replicated and</w:t>
      </w:r>
    </w:p>
    <w:p>
      <w:r>
        <w:rPr>
          <w:rFonts w:ascii="Cambria" w:hAnsi="Cambria" w:cs="Cambria"/>
          <w:sz w:val="22"/>
        </w:rPr>
        <w:t xml:space="preserve">   direction-balanced.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Expression grounding keeps the graph honest</w:t>
      </w:r>
      <w:r>
        <w:rPr>
          <w:rFonts w:ascii="Cambria" w:hAnsi="Cambria" w:cs="Cambria"/>
          <w:sz w:val="22"/>
        </w:rPr>
        <w:t xml:space="preserve"> — therapeutic edges exist only where biology allows</w:t>
      </w:r>
    </w:p>
    <w:p>
      <w:r>
        <w:rPr>
          <w:rFonts w:ascii="Cambria" w:hAnsi="Cambria" w:cs="Cambria"/>
          <w:sz w:val="22"/>
        </w:rPr>
        <w:t xml:space="preserve">   them, making predictions cell-type-specific by construction.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GNN generalization + mechanism</w:t>
      </w:r>
      <w:r>
        <w:rPr>
          <w:rFonts w:ascii="Cambria" w:hAnsi="Cambria" w:cs="Cambria"/>
          <w:sz w:val="22"/>
        </w:rPr>
        <w:t xml:space="preserve"> — 0.996 AUROC with generalization to unseen pairs, and</w:t>
      </w:r>
    </w:p>
    <w:p>
      <w:r>
        <w:rPr>
          <w:rFonts w:ascii="Cambria" w:hAnsi="Cambria" w:cs="Cambria"/>
          <w:sz w:val="22"/>
        </w:rPr>
        <w:t xml:space="preserve">   attribution surfaces real diabetes mechanisms (PLK1, TTR).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Physical validation works</w:t>
      </w:r>
      <w:r>
        <w:rPr>
          <w:rFonts w:ascii="Cambria" w:hAnsi="Cambria" w:cs="Cambria"/>
          <w:sz w:val="22"/>
        </w:rPr>
        <w:t xml:space="preserve"> — GSK3β docking recovers actives (AUROC 0.80); two novel candidates</w:t>
      </w:r>
    </w:p>
    <w:p>
      <w:r>
        <w:rPr>
          <w:rFonts w:ascii="Cambria" w:hAnsi="Cambria" w:cs="Cambria"/>
          <w:sz w:val="22"/>
        </w:rPr>
        <w:t xml:space="preserve">   dock strongly (NPC190454, NPC461221).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The honest bottleneck is coverage</w:t>
      </w:r>
      <w:r>
        <w:rPr>
          <w:rFonts w:ascii="Cambria" w:hAnsi="Cambria" w:cs="Cambria"/>
          <w:sz w:val="22"/>
        </w:rPr>
        <w:t xml:space="preserve"> — compound targets rarely overlap the disease signature</w:t>
      </w:r>
    </w:p>
    <w:p>
      <w:r>
        <w:rPr>
          <w:rFonts w:ascii="Cambria" w:hAnsi="Cambria" w:cs="Cambria"/>
          <w:sz w:val="22"/>
        </w:rPr>
        <w:t xml:space="preserve">   (113/27,000), so S_rev is a </w:t>
      </w:r>
      <w:r>
        <w:rPr>
          <w:rFonts w:ascii="Cambria" w:hAnsi="Cambria" w:cs="Cambria"/>
          <w:i/>
          <w:sz w:val="22"/>
        </w:rPr>
        <w:t>filter</w:t>
      </w:r>
      <w:r>
        <w:rPr>
          <w:rFonts w:ascii="Cambria" w:hAnsi="Cambria" w:cs="Cambria"/>
          <w:sz w:val="22"/>
        </w:rPr>
        <w:t>, and the GNN + docking are the primary evidence.</w:t>
      </w:r>
    </w:p>
    <w:p>
      <w:pPr>
        <w:pStyle w:val="ListNumber"/>
        <w:jc w:val="left"/>
      </w:pPr>
      <w:r>
        <w:rPr>
          <w:rFonts w:ascii="Cambria" w:hAnsi="Cambria" w:cs="Cambria"/>
          <w:b/>
          <w:sz w:val="22"/>
        </w:rPr>
        <w:t>Spatial is ready but gated</w:t>
      </w:r>
      <w:r>
        <w:rPr>
          <w:rFonts w:ascii="Cambria" w:hAnsi="Cambria" w:cs="Cambria"/>
          <w:sz w:val="22"/>
        </w:rPr>
        <w:t xml:space="preserve"> — the islet signature matrix + </w:t>
      </w:r>
      <w:r>
        <w:rPr>
          <w:rFonts w:ascii="Cambria" w:hAnsi="Cambria" w:cs="Cambria"/>
          <w:sz w:val="22"/>
        </w:rPr>
        <w:t>--visium</w:t>
      </w:r>
      <w:r>
        <w:rPr>
          <w:rFonts w:ascii="Cambria" w:hAnsi="Cambria" w:cs="Cambria"/>
          <w:sz w:val="22"/>
        </w:rPr>
        <w:t xml:space="preserve"> flag await dbGaP access.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7. Limitations &amp; Drawbacks (honest assessment)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7.1 Data-level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Limitation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Impact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No open human-pancreas Visium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M3 was demonstrated on a mouse-brain fallback; the diabetes-relevant spatial deliverable is a prepared pipeline + signature matrix, not a result.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GSE153855 annotation mismatch (fixed)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Required dropping rows and aligning cell counts; a small residual risk of annotation drift.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Marker-based cell typing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Types are assigned by canonical-marker scoring, not fully unsupervised annotation; rare/atypical states may be missed.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Subsampling caps (≤5,000 cells/dataset)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GSE124742/GSE221156 excluded by the 4 GB RAM cap — the atlas is not maximally comprehensive.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PAINS bypass for the 18 actives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Documented exception so positive controls exist; they are intentionally less stringent.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DEG lists are up-biased by construction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Fixed in M2 by capturing both tails; the balanced signature (1,431) is the corrected artifact.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7.2 Method-level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Limitation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Impact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GNN AUROC 0.996 near saturation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The edge set is small and well-separated; RandomForest reaches 0.991, so the incremental value of the graph is modest — the graph's real value is generalization to unseen pairs.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S_rev coverage 113/27,000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Compound targets rarely overlap the replicated signature; most compounds are neutral by construction. S_rev is a weak filter, not a ranking of all compounds.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Inhibitor-vs-activator ambiguity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Solved by reporting both conventions, but the ambiguity is not eliminated.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PPARγ docking enrichment weak (0.67)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GSK3β is the strong target; PPARγ predictions should carry lower confidence.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Vina scores are not calibrated binding free energies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Affinity values are scoring-function estimates, not ΔG; rank-ordering within a target is meaningful, cross-target comparison is not.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Mouse-brain deconvolution anatomy gradient imperfect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Marker-only signatures without matched scRNA; acceptable for a methods demo.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M4b (niche nodes in the KG) deferred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Brain niches cannot be grafted onto the islet/compound KG without corrupting its biology; deferred until matched pancreas spatial data exists.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Docking only 2 receptors × ~206 complexes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Coverage-limited by compute budget; not exhaustive.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7.3 Validation-level limitations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No wet-lab validation.</w:t>
      </w:r>
      <w:r>
        <w:rPr>
          <w:rFonts w:ascii="Cambria" w:hAnsi="Cambria" w:cs="Cambria"/>
          <w:sz w:val="22"/>
        </w:rPr>
        <w:t xml:space="preserve"> All conclusions are computational; the shortlist (NPC190454, NPC461221,</w:t>
      </w:r>
    </w:p>
    <w:p>
      <w:r>
        <w:rPr>
          <w:rFonts w:ascii="Cambria" w:hAnsi="Cambria" w:cs="Cambria"/>
          <w:sz w:val="22"/>
        </w:rPr>
        <w:t xml:space="preserve">  NPC279121, NPC254847) requires experimental confirmation (cell assays, islet organoids, or in vivo).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No prospective blind test.</w:t>
      </w:r>
      <w:r>
        <w:rPr>
          <w:rFonts w:ascii="Cambria" w:hAnsi="Cambria" w:cs="Cambria"/>
          <w:sz w:val="22"/>
        </w:rPr>
        <w:t xml:space="preserve"> Benchmark recovery is retrospective on known actives.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8. Further Analysis &amp; Future Work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8.1 Immediate next steps (CPU-only, no new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Analysis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Tool/approach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Question answered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Per-cell-type pathway enrichment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gseapy / gprofiler (GO, KEGG) on the 470-up vs 961-down sets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Which biological programs define each cell type's diabetic state?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Ligand–receptor cell–cell communication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CellChat / LIANA on merged islets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Which β-cell–macrophage–stellate crosstalk drives progression?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Target-mode resolution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ChEMBL bioactivity (agonist vs inhibitor)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Resolve the S_rev inhibitor/activator ambiguity with real annotations.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ADMET/toxicity screening of the shortlist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SwissADME / ADMETlab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Are the top candidates orally bioavailable and non-toxic?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Independent external validation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GSE124742 (subset)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Does the 1,431-gene signature and GNN transfer to a 3rd cohort?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Uncertainty quantification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Monte-Carlo dropout ensembles on the GNN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Which predictions are high-confidence?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Additional XAI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GNNExplainer / Integrated Gradients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Confirm PLK1/TTR attribution with independent methods.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Full-library docking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Vina on all 3,000 compounds vs GSK3β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Full virtual screen; MM-GBSA rescoring of top hits.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Scaffold analysis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Bemis–Murcko decomposition</w:t>
            </w:r>
          </w:p>
        </w:tc>
        <w:tc>
          <w:tcPr>
            <w:tcW w:type="dxa" w:w="312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Chemical-series diversity of the final shortlist.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8.2 Data unlocks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Unlock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Action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dbGaP access to GSE264331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Run run_m3_spatial.py --visium &lt;dir&gt; → real islet deconvolution + niches; then M4b: add niche nodes to the KG and re-run the GNN.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IMPPAT / TCMSP download access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Expand the compound library beyond CMAUP.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 matched pancreas spatial + scRNA pair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Replace the fallback demo entirely; cross-validate niches against the atlas.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8.3 Experimental validation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β-cell assays:</w:t>
      </w:r>
      <w:r>
        <w:rPr>
          <w:rFonts w:ascii="Cambria" w:hAnsi="Cambria" w:cs="Cambria"/>
          <w:sz w:val="22"/>
        </w:rPr>
        <w:t xml:space="preserve"> INS-1E or EndoC-βH1 lines treated with NPC190454 / NPC461221; measure insulin</w:t>
      </w:r>
    </w:p>
    <w:p>
      <w:r>
        <w:rPr>
          <w:rFonts w:ascii="Cambria" w:hAnsi="Cambria" w:cs="Cambria"/>
          <w:sz w:val="22"/>
        </w:rPr>
        <w:t xml:space="preserve">  secretion, proliferation, and stress markers under glucolipotoxic conditions.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Islet organoids / ex vivo islets:</w:t>
      </w:r>
      <w:r>
        <w:rPr>
          <w:rFonts w:ascii="Cambria" w:hAnsi="Cambria" w:cs="Cambria"/>
          <w:sz w:val="22"/>
        </w:rPr>
        <w:t xml:space="preserve"> confirm cell-type-specific signature reversal (RNA-seq before</w:t>
      </w:r>
    </w:p>
    <w:p>
      <w:r>
        <w:rPr>
          <w:rFonts w:ascii="Cambria" w:hAnsi="Cambria" w:cs="Cambria"/>
          <w:sz w:val="22"/>
        </w:rPr>
        <w:t xml:space="preserve">  vs after treatment).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TTR-focused assays:</w:t>
      </w:r>
      <w:r>
        <w:rPr>
          <w:rFonts w:ascii="Cambria" w:hAnsi="Cambria" w:cs="Cambria"/>
          <w:sz w:val="22"/>
        </w:rPr>
        <w:t xml:space="preserve"> test NPC279121-class compounds against transthyretin amyloid aggregation.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In vivo (long term):</w:t>
      </w:r>
      <w:r>
        <w:rPr>
          <w:rFonts w:ascii="Cambria" w:hAnsi="Cambria" w:cs="Cambria"/>
          <w:sz w:val="22"/>
        </w:rPr>
        <w:t xml:space="preserve"> diabetic mouse models for the final validated shortlist.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9. Reproducibility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conda activate phyto                    # Python 3.11 env; see README Setup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python scripts/run_m1_chemical_library.py   # M1: 3,000 compounds + KG edges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python scripts/run_m2_scrna.py             # M2: 3,880 cells, 1,431 balanced signature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python scripts/run_m3_spatial.py           # M3: islet matrix + Visium deconvolution/niches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python scripts/run_m4_gnn.py              # M4: HeteroGNN + baselines (5-fold CV)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python scripts/run_m5_scoring.py          # M5: S_rev scores + edge-removal attribution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python scripts/run_m6_docking.py          # M6: Vina docking + benchmark recovery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pytest -q                                  # 9 tests</w:t>
      </w:r>
    </w:p>
    <w:p>
      <w:r>
        <w:rPr>
          <w:rFonts w:ascii="Cambria" w:hAnsi="Cambria" w:cs="Cambria"/>
          <w:b/>
          <w:sz w:val="22"/>
        </w:rPr>
        <w:t>Output tree (key files):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results/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chemical_library/   qc.json, props_summary.csv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scrna/              qc.json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spatial/            deconv.csv, niches.csv, summary.json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m4_gnn/             summary.json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m5_scoring/         s_rev_scores.csv, top_per_celltype.xlsx, gnn_attribution.csv, summary.json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m6_docking/         docking_results.csv, summary.json, run.log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summary.json        (master, machine-readable)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>data/processed/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compounds.parquet, targets.parquet, compound_target_edges.parquet,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plant_compound_edges.parquet, ppi_edges.parquet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scrna/  merged_islets.h5ad, deg_per_celltype.csv, deg_per_study.csv,</w:t>
      </w:r>
    </w:p>
    <w:p>
      <w:pPr>
        <w:ind w:left="360"/>
        <w:jc w:val="left"/>
      </w:pPr>
      <w:r>
        <w:rPr>
          <w:rFonts w:ascii="Cambria" w:hAnsi="Cambria" w:cs="Cambria"/>
          <w:sz w:val="20"/>
        </w:rPr>
        <w:t xml:space="preserve">          disease_signatures.csv, signature_matrix.csv, signature_markers.csv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10. Appendices</w:t>
      </w: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A. Result inventory (per milestone)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Milestone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Key number(s)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M1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3,000 diverse compounds · 4,730 C–T · 15,688 P–C · 2,409 PPI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M2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3,880 cells · 9 types · 1,431 signature (470↑/961↓) · 231-gene islet matrix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M3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2,695 spots · 7 brain types · 6 niches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M4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GNN AUROC 0.9957 · RF 0.9913 · top-10% 79%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M5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27,000 pairs · 113 engage signature · PLK1 drop 40.1 · TTR drop 7.04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M6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GSK3β AUROC 0.804 · PPARγ 0.667 · NPC190454 −7.3 · NPC461221 −6.6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80"/>
      </w:pPr>
      <w:r>
        <w:rPr>
          <w:rFonts w:ascii="Cambria" w:hAnsi="Cambria" w:cs="Cambria"/>
          <w:b/>
          <w:color w:val="000000"/>
          <w:sz w:val="24"/>
        </w:rPr>
        <w:t>B. Glossary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SMILES</w:t>
      </w:r>
      <w:r>
        <w:rPr>
          <w:rFonts w:ascii="Cambria" w:hAnsi="Cambria" w:cs="Cambria"/>
          <w:sz w:val="22"/>
        </w:rPr>
        <w:t xml:space="preserve"> — Simple Molecular Input Line Entry System; text representation of molecules.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Lipinski / Veber / PAINS</w:t>
      </w:r>
      <w:r>
        <w:rPr>
          <w:rFonts w:ascii="Cambria" w:hAnsi="Cambria" w:cs="Cambria"/>
          <w:sz w:val="22"/>
        </w:rPr>
        <w:t xml:space="preserve"> — drug-likeness and assay-interference filters.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logP / TPSA / HBD / HBA</w:t>
      </w:r>
      <w:r>
        <w:rPr>
          <w:rFonts w:ascii="Cambria" w:hAnsi="Cambria" w:cs="Cambria"/>
          <w:sz w:val="22"/>
        </w:rPr>
        <w:t xml:space="preserve"> — lipophilicity, polar surface area, hydrogen-bond donors/acceptors.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DEG</w:t>
      </w:r>
      <w:r>
        <w:rPr>
          <w:rFonts w:ascii="Cambria" w:hAnsi="Cambria" w:cs="Cambria"/>
          <w:sz w:val="22"/>
        </w:rPr>
        <w:t xml:space="preserve"> — differentially expressed gene.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Harmony</w:t>
      </w:r>
      <w:r>
        <w:rPr>
          <w:rFonts w:ascii="Cambria" w:hAnsi="Cambria" w:cs="Cambria"/>
          <w:sz w:val="22"/>
        </w:rPr>
        <w:t xml:space="preserve"> — batch-effect correction by iterative clustering.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NNLS</w:t>
      </w:r>
      <w:r>
        <w:rPr>
          <w:rFonts w:ascii="Cambria" w:hAnsi="Cambria" w:cs="Cambria"/>
          <w:sz w:val="22"/>
        </w:rPr>
        <w:t xml:space="preserve"> — non-negative least squares; enforces non-negative cell proportions.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HeteroGraphSAGE</w:t>
      </w:r>
      <w:r>
        <w:rPr>
          <w:rFonts w:ascii="Cambria" w:hAnsi="Cambria" w:cs="Cambria"/>
          <w:sz w:val="22"/>
        </w:rPr>
        <w:t xml:space="preserve"> — inductive GNN for heterogeneous (multi-type) node graphs.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AUROC / AUPRC / EF</w:t>
      </w:r>
      <w:r>
        <w:rPr>
          <w:rFonts w:ascii="Cambria" w:hAnsi="Cambria" w:cs="Cambria"/>
          <w:sz w:val="22"/>
        </w:rPr>
        <w:t xml:space="preserve"> — area under ROC/precision-recall; enrichment factor.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XAI</w:t>
      </w:r>
      <w:r>
        <w:rPr>
          <w:rFonts w:ascii="Cambria" w:hAnsi="Cambria" w:cs="Cambria"/>
          <w:sz w:val="22"/>
        </w:rPr>
        <w:t xml:space="preserve"> — explainable AI (edge-removal attribution here).</w:t>
      </w:r>
    </w:p>
    <w:p>
      <w:pPr>
        <w:pStyle w:val="ListBullet"/>
        <w:jc w:val="left"/>
      </w:pPr>
      <w:r>
        <w:rPr>
          <w:rFonts w:ascii="Cambria" w:hAnsi="Cambria" w:cs="Cambria"/>
          <w:b/>
          <w:sz w:val="22"/>
        </w:rPr>
        <w:t>PDBQT</w:t>
      </w:r>
      <w:r>
        <w:rPr>
          <w:rFonts w:ascii="Cambria" w:hAnsi="Cambria" w:cs="Cambria"/>
          <w:sz w:val="22"/>
        </w:rPr>
        <w:t xml:space="preserve"> — AutoDock's molecule format (partial charges + torsion tree).</w:t>
      </w:r>
    </w:p>
    <w:p>
      <w:r>
        <w:br w:type="page"/>
      </w:r>
    </w:p>
    <w:p>
      <w:pPr>
        <w:pStyle w:val="Heading1"/>
        <w:keepNext/>
        <w:spacing w:before="120" w:after="80"/>
      </w:pPr>
      <w:r>
        <w:rPr>
          <w:rFonts w:ascii="Cambria" w:hAnsi="Cambria" w:cs="Cambria"/>
          <w:b/>
          <w:color w:val="000000"/>
          <w:sz w:val="34"/>
        </w:rPr>
        <w:t>Appendix: Data Outputs</w:t>
      </w:r>
    </w:p>
    <w:p>
      <w:r>
        <w:rPr>
          <w:rFonts w:ascii="Cambria" w:hAnsi="Cambria" w:cs="Cambria"/>
          <w:sz w:val="22"/>
        </w:rPr>
        <w:t>Full machine-readable outputs live in results/ (per-stage summary.json and CSVs) and are copied next to this report. Tables below show the key data; large tables are truncated and marked.</w:t>
      </w: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M1 — chemical library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input_compounds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60222</w:t>
              <w:br/>
              <w:t>veber          60222</w:t>
              <w:br/>
              <w:t>pains          60222</w:t>
              <w:br/>
              <w:t>unparseable    60222</w:t>
              <w:br/>
              <w:t>Name: input_compounds,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parsed_smiles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60190</w:t>
              <w:br/>
              <w:t>veber          60190</w:t>
              <w:br/>
              <w:t>pains          60190</w:t>
              <w:br/>
              <w:t>unparseable    60190</w:t>
              <w:br/>
              <w:t>Name: parsed_smiles,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druglike_filtered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29019</w:t>
              <w:br/>
              <w:t>veber          29019</w:t>
              <w:br/>
              <w:t>pains          29019</w:t>
              <w:br/>
              <w:t>unparseable    29019</w:t>
              <w:br/>
              <w:t>Name: druglike_filtered,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final_capped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3000</w:t>
              <w:br/>
              <w:t>veber          3000</w:t>
              <w:br/>
              <w:t>pains          3000</w:t>
              <w:br/>
              <w:t>unparseable    3000</w:t>
              <w:br/>
              <w:t>Name: final_capped,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drop_reasons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27305</w:t>
              <w:br/>
              <w:t>veber           1667</w:t>
              <w:br/>
              <w:t>pains           2199</w:t>
              <w:br/>
              <w:t>unparseable       32</w:t>
              <w:br/>
              <w:t>Name: drop_reasons,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compound_target_edges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4730</w:t>
              <w:br/>
              <w:t>veber          4730</w:t>
              <w:br/>
              <w:t>pains          4730</w:t>
              <w:br/>
              <w:t>unparseable    4730</w:t>
              <w:br/>
              <w:t>Name: compound_target_edges,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plant_compound_edges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15688</w:t>
              <w:br/>
              <w:t>veber          15688</w:t>
              <w:br/>
              <w:t>pains          15688</w:t>
              <w:br/>
              <w:t>unparseable    15688</w:t>
              <w:br/>
              <w:t>Name: plant_compound_edges,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string_ppi_edges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2409</w:t>
              <w:br/>
              <w:t>veber          2409</w:t>
              <w:br/>
              <w:t>pains          2409</w:t>
              <w:br/>
              <w:t>unparseable    2409</w:t>
              <w:br/>
              <w:t>Name: string_ppi_edges,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unique_targets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578</w:t>
              <w:br/>
              <w:t>veber          578</w:t>
              <w:br/>
              <w:t>pains          578</w:t>
              <w:br/>
              <w:t>unparseable    578</w:t>
              <w:br/>
              <w:t>Name: unique_targets, dtype: int64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unique_genes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lipinski       520</w:t>
              <w:br/>
              <w:t>veber          520</w:t>
              <w:br/>
              <w:t>pains          520</w:t>
              <w:br/>
              <w:t>unparseable    520</w:t>
              <w:br/>
              <w:t>Name: unique_genes, dtype: int64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M1 — compound property summary (count/mean/std)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stat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MW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LogP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HBD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HBA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RotB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TPSA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count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3000.0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3000.0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3000.0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3000.0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3000.0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3000.0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mean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273.4905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2.3402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1.3423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3.621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2.5117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58.5581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std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103.4299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1.5791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1.2896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2.1461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2.358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34.7743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min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16.043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-3.6264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25%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196.091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1.3747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31.23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50%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266.3405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2.4756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57.53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M2 — scRNA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metric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cells_after_qc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{"GSE86469": 497, "GSE153855": 3383}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merged_cells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3880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cell_types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{"beta": 815, "gamma": 729, "acinar": 499, "alpha": 474, "ductal": 455, "stellate": 393, "delta": 371, "epsilon": 90, "endothelial": 54}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deg_rows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900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replicated_signature_genes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1431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M2 — cell-type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cell_type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cells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815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729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499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474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455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393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371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90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54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M2 — islet signature matrix (mean log1p per cell type; first 30 genes)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CELA3B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GP2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CPA2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CTRB1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PNLIPRP1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KLK1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PNLIP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CELA2A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CTRB2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SYCN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SERPINI2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AMY2A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PLA2G1B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CLPS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CELA2B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CTRL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AADAC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CTRC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RNASE1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GSTA2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REG1B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LGALS2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ANPEP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BCAT1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DUOXA2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REG3A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ALB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MXRA5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ALDOB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4.2426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3.8831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4.4007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4.5536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3.8947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3.8525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4.3081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3.4016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4.2076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4.6116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3.589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2.5776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1.9073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4.4897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4.3647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2.8629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3.3762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1.7675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4.1927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3.1356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1.5738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4.6025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0.7703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3.2262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3.1679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0.8573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1.5536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2.3282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0.8611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1.8398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0.2107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0.1368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0.2664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0.2368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0.1633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0.1783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0.2696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0.1271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0.2174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0.3988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0.0555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0.0008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0.5854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0.5182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0.1035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0.2464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0.0391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0.2942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0.2918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0.1791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0.831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0.1107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0.289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0.1861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0.8722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0.2128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0.1023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0.2714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0.2758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0.1345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0.1112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0.165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0.0169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0.1464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0.0271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0.3321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0.2091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0.0174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0.0154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0.261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0.4067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0.0192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0.1804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0.0301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1.1397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0.0464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0.4194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0.0045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0.0208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0.1331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0.3669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0.0705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0.0041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0.2929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0.0809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0.1294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0.1199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0.0941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0.0312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0.1389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0.0443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0.1435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0.2106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0.0372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0.0415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0.3459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0.3772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0.0191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0.0643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0.2116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0.1239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0.6547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0.0502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0.707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0.1056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0.1706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0.7104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0.6082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0.6945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0.7239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0.4938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0.4597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0.7452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0.3398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0.955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0.3884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0.1841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0.9007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1.2052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0.2366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0.3969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0.1685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0.6617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0.5495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0.3602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1.2495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0.6348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0.3633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0.7099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0.9243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0.2655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0.2241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0.4532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0.1337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0.1327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0.0166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0.0344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0.1208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0.1401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0.3198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0.0115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0.2432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0.5022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0.0076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0.1074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0.3588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1.3236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0.0222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0.5096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0.153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0.8014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0.4266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0.0509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0.1666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0.1829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0.1378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0.1268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0.1464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0.0995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0.0701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0.0573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0.1361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0.252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0.0406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0.0077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0.4096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0.6918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0.1973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0.0276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0.2812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0.0396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0.5817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0.0293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0.0243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0.4829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0.2003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0.1151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0.0512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0.0309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0.0551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0.092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0.0343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0.0142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0.0889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0.065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0.1518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0.0356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0.3674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0.297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0.0218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0.0727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0.1445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0.0162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0.0223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0.3881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0.0389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0.0562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0.0185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0.4815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0.0442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0.0135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0.1424</w:t>
            </w:r>
          </w:p>
        </w:tc>
      </w:tr>
      <w:tr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0.1057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0.0753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0.1155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0.1186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0.0563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0.1388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0.0399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0.0946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0.2457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0.0078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0.0048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0.3444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0.4165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0.0351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0.1564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0.0421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0.0251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0.7059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0.0128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0.1136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0.4987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0.0723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0.6672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0.1215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0.2426</w:t>
            </w:r>
          </w:p>
        </w:tc>
        <w:tc>
          <w:tcPr>
            <w:tcW w:type="dxa" w:w="31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0.1092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M2 — disease signature (first 30 of 1,431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cell_type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gene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direction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mean_log2fc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min_padj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n_studies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AADAC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5.6404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AHNAK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2.5629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AKR1C1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3.5955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AKR1C2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4.7471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AKR1C3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4.8017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AKR1C3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5.7141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7.2324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5.2021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ALDOB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5.6427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ALDOB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4.135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AMOTL1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2.754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AMY2A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6.1924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ANGPTL4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2.4894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ANPEP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6.7454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ANPEP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6.6021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AOX1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2.7683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ARHGDIB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2.964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ATP8B1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2.2841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BACH1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1.4484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BAZ1A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2.5555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BCAT1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5.6123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BCAT1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6.6605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BIRC3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2.4803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C3orf52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3.0325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3.9829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5.0483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1.4219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0.0001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1.573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CD9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3.1364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CEL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8.0711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M3 — spatial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field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data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{'dataset': 'mouse_brain', 'visium_dir': None}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gated_human_pancreas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{'GSE264331': {'status': 'gated', 'reason': 'count matrices in dbGaP phs001188.v3.p1; GEO only hosts 22.3 GB image tar', 'note': 'Howell et al., Sci Data 2025 — 3 NGT + 3 T2D donors, 10x Visium v1'}, 'zenodo_15177311': {'status': 'unavailable', 'reason': '.cloupe binaries only; no standard Space Ranger outs'}}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spots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2695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signature_cell_types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['neuron_exc', 'neuron_inh', 'oligo', 'astro', 'microglia', 'endothelial', 'ependymal']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dominant_celltype_per_spot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{'oligo': 1988, 'neuron_inh': 428, 'neuron_exc': 233, 'astro': 44, 'microglia': 2}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niches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{'n': 6, 'dominant_celltype': {'0': 'oligo', '1': 'oligo', '2': 'oligo', '3': 'neuron_inh', '4': 'oligo', '5': 'neuron_exc'}, 'sizes': {'0': 457, '1': 545, '2': 545, '3': 542, '4': 203, '5': 403}}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islet_signature_matrix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[9, 231]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islet_signature_genes_per_celltype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{'acinar': 30, 'alpha': 30, 'beta': 30, 'delta': 30, 'ductal': 30, 'endothelial': 30, 'epsilon': 30, 'gamma': 30, 'stellate': 30}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M3 — deconvolution: dominant cell type per spot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cell_type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spots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oligo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1988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neuron_inh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428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neuron_exc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233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astro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44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microglia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M3 — deconvolution sample (first 10 spots)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neuron_exc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neuron_inh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oligo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astro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microglia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endothelial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ependymal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0.386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0.467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0.069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0.029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0.202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0.291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0.191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0.086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0.013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0.358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0.177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0.092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0.088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0.327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0.312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0.117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0.324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0.328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0.197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0.029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0.103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0.298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0.215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0.187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0.287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0.394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0.139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0.277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0.182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0.228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0.152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0.129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0.341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0.242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0.076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0.061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0.491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0.327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0.098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0.054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M4 — GNN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folds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mean_gnn_auc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mean_gnn_ap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mean_rf_auc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random_auc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bench_top1_pct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bench_top10_pct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{'fold': 0, 'auc': 0.9782608695652171, 'ap': 0.9891304347826081, 'rf_auc': 0.988421550094517}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0.9957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0.9978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0.9913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0.3395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0.7901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{'fold': 1, 'auc': 1.0, 'ap': 1.0, 'rf_auc': 0.9990548204158791}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0.9957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0.9978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0.9913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0.3395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0.7901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{'fold': 2, 'auc': 1.0, 'ap': 1.0, 'rf_auc': 0.9792060491493381}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0.9957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0.9978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0.9913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0.3395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0.7901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{'fold': 3, 'auc': 1.0, 'ap': 1.0, 'rf_auc': 0.9980246913580241}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0.9957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0.9978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0.9913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0.3395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0.7901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{'fold': 4, 'auc': 1.0, 'ap': 1.0, 'rf_auc': 0.9916049382716041}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0.9957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0.9978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0.9913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0.3395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0.7901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M5 — summary (key fields)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field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s_rev_convention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CMap-style: s_rev_inh credits +1 per disease-UP gene hit (target assumed suppressed) and -1 per disease-DOWN hit; s_rev_act is the activation-assumption negation. no_signal rows have zero signature-gene hits.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pairs_engaging_signature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113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pairs_total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27000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attribution_rows</w:t>
            </w:r>
          </w:p>
        </w:tc>
        <w:tc>
          <w:tcPr>
            <w:tcW w:type="dxa" w:w="468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1005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M5 — S_rev scores, pairs engaging the signature (113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compound_id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cell_type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s_rev_inh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s_rev_act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n_hits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n_up_hits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n_down_hits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coverage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purity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hit_genes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no_signal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NPC473417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ABCB1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NPC473417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ABCB1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NPC187145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NPC56271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RIPK2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NPC191310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NPC1;CYP1B1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NPC1;CYP1B1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NPC56271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0.0117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LYN;RIPK2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0.0278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-0.3333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STK38;MARK1;DYRK2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HSD11B1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SLC2A1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NPC225710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NPC225710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NPC239312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MMP2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NPC32441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NPC32441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AOX1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NPC225710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NPC225710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NPC166858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NPC166858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NPC166858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NPC321053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NPC482688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DYRK2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NPC482688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NPC482688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DYRK2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NPC347588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NPC347588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NPC347588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DYRK2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NPC480243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NPC225464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NPC59045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NPC59045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NPC59045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NPC187145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NPC187145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NPC479399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NPC479399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NPC479399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NPC331672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NPC250999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NPC56271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AXL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NPC56271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KDR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NPC56271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AXL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NPC264196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BCHE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NPC471603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NPC471603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NTRK2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NPC471603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NTRK2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NPC157522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NPC144682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0.0057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NPC75844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PMP22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NPC75844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PMP22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NPC470706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NPC470706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NPC470706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NPC479379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BCHE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NPC181464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NPC346034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NPC346034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NPC346034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NPC188010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0.0068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NPC481271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NPC481271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NPC481271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NPC470090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0.0105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NTRK2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NPC63545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NPC63545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0.0093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NPC63545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0.0341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-0.3333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RIPK2;MET;EPHA2;STK38;SGK1;NTRK2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0.0234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-0.5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RIPK2;MET;LYN;SGK1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0.0117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CA12;F3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beta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ALOX5;ESR1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MMP2;CYP1B1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0.0465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MAOB;TTR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alpha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0.0465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MAOB;TTR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0.0185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MAOB;TTR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MAOB;TTR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delta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0.0211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AXL;NTRK2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NPC331672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0.0117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CXCL8;AKR1C3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NPC331672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0.0114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CXCL8;AKR1C3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NPC470090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0.0114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NTRK2;MET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epsilon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0.0278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MAOB;TTR;SLC2A1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gamma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0.0375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MAOB;TTR;AOX1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0.0181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AXL;PDGFRB;DDR2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NPC470090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acinar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0.0175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CASP7;LYN;MET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NPC470090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0.0204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CASP1;FLT1;KDR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  <w:tr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NPC98371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0.0408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NUAK1;FLT1;KDR;ACVRL1;SGK1;TEK</w:t>
            </w:r>
          </w:p>
        </w:tc>
        <w:tc>
          <w:tcPr>
            <w:tcW w:type="dxa" w:w="851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M5 — GNN attribution (top 40 of 1,005)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compound_id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cell_type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target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base_logit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logit_wo_target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drop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NPC166788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PLK1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21.2249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-18.8832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40.1081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NPC166788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PLK1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21.263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-18.736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39.999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NPC166788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PLK1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21.2628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-18.644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39.9068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30.4739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23.432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7.0419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30.512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23.4701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7.0419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30.5118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23.4699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7.0419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28.838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23.5684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5.2696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28.8761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23.6065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5.2696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28.8759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23.6063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5.2696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22.8002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18.9419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3.8583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18.9417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3.8582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ALOX5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22.7621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18.9039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3.8582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29.1678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25.8996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3.2682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29.2059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25.9377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3.2682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29.2057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25.9375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3.2682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22.7621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19.8362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2.9259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22.8002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19.8762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2.924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F3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19.876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2.9239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22.2262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19.3667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2.8595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22.264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19.4045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2.8595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22.2642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19.4048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2.8594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POLB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14.9653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12.3777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2.5876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POLB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15.0181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12.4349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2.5832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POLB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15.0212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12.4398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2.5814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22.2262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19.855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2.3711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22.2642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19.8931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2.3711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22.264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19.8929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2.3711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22.2262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20.1612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2.065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22.264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20.199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2.065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22.2642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20.1993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2.0649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29.2059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27.1916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2.0142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29.2057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27.1914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2.0142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TTR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29.1678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27.1536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2.0142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PTGS2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24.973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23.1036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1.8695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PTGS2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24.9352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23.0658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1.8693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PTGS2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24.9732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23.1039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1.8693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16.0135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14.1727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1.8407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ductal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16.0596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14.2255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1.8342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stellate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ESR1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16.0611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14.2286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1.8326</w:t>
            </w:r>
          </w:p>
        </w:tc>
      </w:tr>
      <w:tr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NPC32441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endothelial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CA12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17.2197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15.5234</w:t>
            </w:r>
          </w:p>
        </w:tc>
        <w:tc>
          <w:tcPr>
            <w:tcW w:type="dxa" w:w="1560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1.6963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M6 — docking results (all docked complexes, 198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kind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compound_id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smiles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affinity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NPC264189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C[C@@H]1[C@H]2CC[C@H](C)[C@@H]3C=C[C@]4(O)C(=O)O[C@H]1[C@@H]4[C@@H]32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-8.3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NPC78617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O=C1OCCC2=C1CCc1cc3c(cc12)C(=O)OCC3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-8.1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NPC38069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[2H]c1c([2H])c(-c2coc3c([2H])c(O)c(OC)c([2H])c3c2=O)c([2H])c([2H])c1O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-8.1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NPC172095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Cc1c(O)c(C=O)c(O)c2c(=O)c(Cc3ccc4c(c3)OCO4)coc12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-8.1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O=c1cc(-c2ccc(O)c(O)c2)oc2cc(O)cc(O)c12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NPC126140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C/C=C/C(=O)N1CCc2cc3c(c4c2[C@@H]1[C@H](O)c1ccccc1-4)OCO3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O=c1c(-c2ccc(O)cc2)coc2cc(O)cc(O)c12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NPC195139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CC[C@H]1C(=O)C[C@@]2(C)[C@@H]3CC[C@@H]4[C@@H](O)[C@H](O)[C@H](O)C[C@]4(C)[C@H]3CC[C@]12C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NPC14327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O=C1C(O)=Cc2ccnc3c2c1nc1ccc(O)cc13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NPC239312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O=c1cc(-c2ccccc2)oc2cc(O)c(O)c(O)c12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NPC151788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CC1(C)[C@H](O)C(=O)C[C@]2(C)[C@@H]1CC[C@]13C[C@@H]4C[C@](O)(C1)[C@@H]4C[C@H]32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NPC88497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Cc1ccc2c3c(ccc2c1)C(=O)O[C@@]31C[C@@H](C)CO1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NPC179271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O=c1c(O)c(-c2ccc(O)c(O)c2)oc2cc(O)cc(O)c12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O=c1cc(-c2ccc(O)cc2)oc2cc(O)cc(O)c12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NPC171177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c1c2c(cc3c1C1O[C@@H]4[C@@H](CCC5=NCC[C@@]534)O1)OCO2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NPC108342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COc1ccc2c(c1)-c1c3c(cc4ccnc(c14)C2=O)OCO3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NPC472193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Cc1cc(O)c2c(-c3ccc(O)cc3)[n+]3n(c2c1)CCCC3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Oc1ccc(/C=C/c2cc(O)cc(O)c2)cc1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Cc1cc(O)c2c(c1)C(=O)c1cc(O)cc(O)c1C2=O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NPC32441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O=C1C[C@@H](c2ccc(O)cc2)Oc2cc(O)cc(O)c21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Oc1cc(O)c2c(c1)OC(c1ccc(O)c(O)c1)C(O)C2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NPC190454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Oc1ccc(-c2[o+]c3cc(O)cc(O)c3cc2O)cc1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NPC296482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COc1ccc2cc3[n+](cc2c1OC)CCc1cc2c(cc1-3)OCO2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NPC156865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C[C@H]1CC[C@@]23COC(=O)C2=CCC[C@@H]3[C@@]1(C)CC[C@@H]1COC(=O)C1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O=c1c(O)c(-c2ccc(O)cc2)oc2cc(O)cc(O)c12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NPC223954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COc1c2c(cc(O)c1CC=C(C)C)OCC(c1ccc(O)cc1O)=C2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NPC119158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COc1cc2ccnc3c2c(c1O)[C@]1(C=C[C@H](O)CC1)C3=O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NPC59056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Cc1nccc2c1C(O)OCC2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NPC226789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O=C1C(O)=C(c2ccc(O)cc2)C(=O)[C@@]1(O)c1ccc(O)cc1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COc1cc(/C=C/C(=O)/C=C(O)/C=C/c2ccc(O)c(OC)c2)ccc1O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NPC107484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OC1=NCN2CO[C@@H](C=Cc3ccccc3)C[C@H]2C1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NPC264726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N=C(O)NC1=NC(=O)N=C1O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NPC302612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COC(=O)c1c(O)ccc(O)c1C#Cc1ccccc1O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NPC225710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O=C(O)c1cc(O)c(O)c(O)c1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NPC159693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COc1c(OC)c2cc[nH]c3c4c(c(c1OC)c2=3)C=CC(=O)C=4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NPC141876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C=C1OC(=O)[C@]2([C@H](/C=C/C=C/CCC)C=C[C@@H](O)[C@@H]2O)[C@H]1O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NPC105477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COc1cc2oc(=O)ccc2cc1[C@@H]1OC(=O)C2(C)O[C@@H]12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NPC174672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COc1cccc2c1c1ccnc3ccc(=O)n2c31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NPC304183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COc1c(O)nc2c(c(C)cc3c(O)cccc32)c1OC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NPC179291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COc1cc2ccnc(CCCNC(=N)N)c2cc1OC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NPC174114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Cn1cnc2ncnc(N)c21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NPC146370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O=C1Cc2cc(O)ccc2N1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NPC325599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CN1C(=O)CN=C(c2ccccc2)c2cc(Cl)ccc21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NPC184302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COc1cc(CCc2ccccc2O)cc(O)c1C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NPC461221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OC1CCC2C(CCC3C4CCCC4CCC23)C1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NPC109306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CCC(=O)OCCCc1cc(OC)c2oc(-c3ccc4c(c3)OCO4)cc2c1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NPC230659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CC[C@@]12CCCN=C3c4ccccc4N(C(=O)CC1)[C@@]32O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NPC166788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CC1=CC(=O)C(C(C)C)=CC1=O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NPC174161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COc1ccc(C[C@H]2OC(=O)[C@@H](C(C)C)N(C)C2=O)cc1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NPC478366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CC1=CC(=O)O[C@@]2(CC(=O)C(C)C)[C@@H](C)CC[C@@H]12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NPC222868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C[C@@H]1C[C@@]23[C@@H]4CCCN2C[C@H]2O[C@H]2[C@@]13[C@@H]1C[C@H]4OC1=O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NPC11089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COc1cc2c(c3c1C=COC=C3)O[C@@H](C(C)(C)O)C2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NPC474429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COC1=CC(=O)C(O)=CC12CCCc1cc(O)ccc12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NPC485458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COc1ccc(C2CN=C(O)C2)cc1OC1CCCC1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NPC297322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Cc1cccc(O)c1C(=O)C1=CCCN2CCC[C@H]12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NPC479424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CO/N=C/C(=O)c1ccc(O/C=C/[C@H](C)C(=O)OC)cc1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NPC16288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CC(C)(C(=O)O)[C@H]1CC[C@]2(C)O[C@@](C)([C@@H]3CO3)CC[C@H]2[C@]1(C)CC(=O)O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NPC218796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COc1cc(CC(C)=O)c2c(=O)cc(C(=O)CCO)oc2c1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NPC264391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CC1=C2C(=CO[C@H](C)[C@H]2C)C(O)=C(C(=O)O)C1=O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NPC191693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Cc1ccnc2c1N=C(O)c1cccnc1N2C1CC1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NPC10283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CC(=O)CCCCC/C=C/C(=O)O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NPC276616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C=C1C[C@H](O)C[C@]2(C)CC[C@@](O)(C(=C)CO)C[C@@H]12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NPC53740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C=CC(C)(C)c1cc(O)c(/C=C\C(C)(C)O)cc1O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NPC283864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CC(C)[C@@H]1C=CC(CO)CC1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NPC288359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C/C=C\[C@H]1C[C@H]1C1=C(Br)[C@@H]2O[C@@H](C=C=CBr)C[C@@H]2O1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NPC247018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CC(C)NC[C@@H](O)COc1ccc(CC(=N)O)cc1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NPC318998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CC=C(C=O)C(CC=O)CC(=O)OCCc1ccc(O)cc1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NPC94448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C=C(C)C1CC=C(C)C(OC(=O)C(C)(C)C)C1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NPC477459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CC(=O)N1C=C([C@H]2CCCCN2C)CCC1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NPC219530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CC(C)(C)S/C=C/C(=N)O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NPC60949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CCCC[C@H](O)C#CCCC(=O)O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NPC231113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COc1ccc2c(c1)N=C(O)[C@@]21CN=C(SC)S1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NPC58435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Cc1coc2c1[C@@H](O)[C@]1(C)[C@@H](C)CCC[C@]1(O)C2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NPC323810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OC[C@H](Cc1cccc(O)c1)[C@H](CO)Cc1cccc(O)c1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NPC100742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O=C(O)[C@@H](O)[C@H](O)C(=O)O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NPC26932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CCCC/C=C/C=C/C=C/[C@@H]1CC[C@@H](O)[C@H](C)N1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NPC103123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CC(C)(O)CN=C(O)/C=C/CC/C=C/C=C/C=O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NPC71347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CC#CC#CC#C/C=C\[C@@H]1CC=CO1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NPC177303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C/C=C(/C)C(=O)Oc1cc(C)ccc1[C@](C)(CO)OC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NPC117381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C[C@@H]1CC[C@@H]([C@](C)(O)CO)C[C@@H]1O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NPC478457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CC(=O)C(C[C@@H]1[C@H](C(C)=O)CC[C@]1(C)O)=C(C)C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NPC245229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C/C=C(\C)CC/C=C(\C)CO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NPC164498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C=CCSS/C=C\C[S@@](=O)CC=C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NPC6289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CCOC1=C2CCCN2C(OCC)=C2CCCN21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NPC316589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Nc1nnnn1N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NPC50861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C1=CC=CC=CC=C1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NPC277288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CCC(C)SSC/C=C/OS(C)=O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NPC59948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O=C(CI)/C(Br)=C/Br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NPC285308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CN(C)C1CSSC1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NPC222078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CCCCC(CC)COCCCN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NPC168383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C1CSSCS1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NPC78825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BrC(Br)Br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NPC100128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C#N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NPC100002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BrCBr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NPC110511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[2H]C([2H])([2H])SC([2H])([2H])[2H]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NPC248955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[Cd]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NPC11609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[Cu]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NPC98121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NPC224259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Cl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NPC108342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COc1ccc2c(c1)-c1c3c(cc4ccnc(c14)C2=O)OCO3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-8.5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NPC88497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Cc1ccc2c3c(ccc2c1)C(=O)O[C@@]31C[C@@H](C)CO1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-8.4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NPC254847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Cc1cc(O)c2c(c1)C(=O)c1cc(O)cc(O)c1C2=O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NPC174672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COc1cccc2c1c1ccnc3ccc(=O)n2c31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NPC172095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Cc1c(O)c(C=O)c(O)c2c(=O)c(Cc3ccc4c(c3)OCO4)coc12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NPC239312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O=c1cc(-c2ccccc2)oc2cc(O)c(O)c(O)c12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NPC78617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O=C1OCCC2=C1CCc1cc3c(cc12)C(=O)OCC3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NPC14327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O=C1C(O)=Cc2ccnc3c2c1nc1ccc(O)cc13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NPC126140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C/C=C/C(=O)N1CCc2cc3c(c4c2[C@@H]1[C@H](O)c1ccccc1-4)OCO3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NPC109306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CCC(=O)OCCCc1cc(OC)c2oc(-c3ccc4c(c3)OCO4)cc2c1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NPC191693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Cc1ccnc2c1N=C(O)c1cccnc1N2C1CC1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NPC474429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COC1=CC(=O)C(O)=CC12CCCc1cc(O)ccc12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NPC171177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c1c2c(cc3c1C1O[C@@H]4[C@@H](CCC5=NCC[C@@]534)O1)OCO2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NPC230659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CC[C@@]12CCCN=C3c4ccccc4N(C(=O)CC1)[C@@]32O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NPC116775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O=c1c(O)c(-c2ccc(O)cc2)oc2cc(O)cc(O)c12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NPC105477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COc1cc2oc(=O)ccc2cc1[C@@H]1OC(=O)C2(C)O[C@@H]12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NPC179271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O=c1c(O)c(-c2ccc(O)c(O)c2)oc2cc(O)cc(O)c12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NPC50898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O=c1cc(-c2ccc(O)cc2)oc2cc(O)cc(O)c12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NPC223954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COc1c2c(cc(O)c1CC=C(C)C)OCC(c1ccc(O)cc1O)=C2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NPC159693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COc1c(OC)c2cc[nH]c3c4c(c(c1OC)c2=3)C=CC(=O)C=4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NPC38069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[2H]c1c([2H])c(-c2coc3c([2H])c(O)c(OC)c([2H])c3c2=O)c([2H])c([2H])c1O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NPC141876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C=C1OC(=O)[C@]2([C@H](/C=C/C=C/CCC)C=C[C@@H](O)[C@@H]2O)[C@H]1O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NPC279121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O=c1cc(-c2ccc(O)c(O)c2)oc2cc(O)cc(O)c12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NPC61477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Oc1cc(O)c2c(c1)OC(c1ccc(O)c(O)c1)C(O)C2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NPC32441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O=C1C[C@@H](c2ccc(O)cc2)Oc2cc(O)cc(O)c21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NPC39426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O=c1c(-c2ccc(O)cc2)coc2cc(O)cc(O)c12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NPC58435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Cc1coc2c1[C@@H](O)[C@]1(C)[C@@H](C)CCC[C@]1(O)C2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NPC264189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C[C@@H]1[C@H]2CC[C@H](C)[C@@H]3C=C[C@]4(O)C(=O)O[C@H]1[C@@H]4[C@@H]32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NPC11089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COc1cc2c(c3c1C=COC=C3)O[C@@H](C(C)(C)O)C2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NPC297322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Cc1cccc(O)c1C(=O)C1=CCCN2CCC[C@H]12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NPC190454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Oc1ccc(-c2[o+]c3cc(O)cc(O)c3cc2O)cc1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NPC109083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COc1cc(/C=C/C(=O)/C=C(O)/C=C/c2ccc(O)c(OC)c2)ccc1O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NPC296482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COc1ccc2cc3[n+](cc2c1OC)CCc1cc2c(cc1-3)OCO2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NPC276616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C=C1C[C@H](O)C[C@]2(C)CC[C@@](O)(C(=C)CO)C[C@@H]12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NPC323810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OC[C@H](Cc1cccc(O)c1)[C@H](CO)Cc1cccc(O)c1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NPC177303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C/C=C(/C)C(=O)Oc1cc(C)ccc1[C@](C)(CO)OC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NPC179291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COc1cc2ccnc(CCCNC(=N)N)c2cc1OC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NPC222868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C[C@@H]1C[C@@]23[C@@H]4CCCN2C[C@H]2O[C@H]2[C@@]13[C@@H]1C[C@H]4OC1=O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NPC304183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COc1c(O)nc2c(c(C)cc3c(O)cccc32)c1OC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NPC226789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O=C1C(O)=C(c2ccc(O)cc2)C(=O)[C@@]1(O)c1ccc(O)cc1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NPC195139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CC[C@H]1C(=O)C[C@@]2(C)[C@@H]3CC[C@@H]4[C@@H](O)[C@H](O)[C@H](O)C[C@]4(C)[C@H]3CC[C@]12C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NPC478366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CC1=CC(=O)O[C@@]2(CC(=O)C(C)C)[C@@H](C)CC[C@@H]12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NPC325599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CN1C(=O)CN=C(c2ccccc2)c2cc(Cl)ccc21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NPC302612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COC(=O)c1c(O)ccc(O)c1C#Cc1ccccc1O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NPC151788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CC1(C)[C@H](O)C(=O)C[C@]2(C)[C@@H]1CC[C@]13C[C@@H]4C[C@](O)(C1)[C@@H]4C[C@H]32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NPC461221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OC1CCC2C(CCC3C4CCCC4CCC23)C1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NPC107484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OC1=NCN2CO[C@@H](C=Cc3ccccc3)C[C@H]2C1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NPC472193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Cc1cc(O)c2c(-c3ccc(O)cc3)[n+]3n(c2c1)CCCC3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NPC184302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COc1cc(CCc2ccccc2O)cc(O)c1C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NPC174161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COc1ccc(C[C@H]2OC(=O)[C@@H](C(C)C)N(C)C2=O)cc1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NPC146370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O=C1Cc2cc(O)ccc2N1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NPC53740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C=CC(C)(C)c1cc(O)c(/C=C\C(C)(C)O)cc1O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NPC478457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CC(=O)C(C[C@@H]1[C@H](C(C)=O)CC[C@]1(C)O)=C(C)C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NPC156865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C[C@H]1CC[C@@]23COC(=O)C2=CCC[C@@H]3[C@@]1(C)CC[C@@H]1COC(=O)C1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NPC485458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COc1ccc(C2CN=C(O)C2)cc1OC1CCCC1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NPC479424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CO/N=C/C(=O)c1ccc(O/C=C/[C@H](C)C(=O)OC)cc1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NPC161571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Oc1ccc(/C=C/c2cc(O)cc(O)c2)cc1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NPC288359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C/C=C\[C@H]1C[C@H]1C1=C(Br)[C@@H]2O[C@@H](C=C=CBr)C[C@@H]2O1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NPC218796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COc1cc(CC(C)=O)c2c(=O)cc(C(=O)CCO)oc2c1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NPC264391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CC1=C2C(=CO[C@H](C)[C@H]2C)C(O)=C(C(=O)O)C1=O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NPC477459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CC(=O)N1C=C([C@H]2CCCCN2C)CCC1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NPC59056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Cc1nccc2c1C(O)OCC2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NPC264726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N=C(O)NC1=NC(=O)N=C1O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NPC247018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CC(C)NC[C@@H](O)COc1ccc(CC(=N)O)cc1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NPC6289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CCOC1=C2CCCN2C(OCC)=C2CCCN21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NPC225710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O=C(O)c1cc(O)c(O)c(O)c1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NPC94448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C=C(C)C1CC=C(C)C(OC(=O)C(C)(C)C)C1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NPC283864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CC(C)[C@@H]1C=CC(CO)CC1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active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NPC166788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CC1=CC(=O)C(C(C)C)=CC1=O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NPC103123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CC(C)(O)CN=C(O)/C=C/CC/C=C/C=C/C=O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NPC26932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CCCC/C=C/C=C/C=C/[C@@H]1CC[C@@H](O)[C@H](C)N1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NPC318998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CC=C(C=O)C(CC=O)CC(=O)OCCc1ccc(O)cc1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NPC119158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COc1cc2ccnc3c2c(c1O)[C@]1(C=C[C@H](O)CC1)C3=O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NPC16288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CC(C)(C(=O)O)[C@H]1CC[C@]2(C)O[C@@](C)([C@@H]3CO3)CC[C@H]2[C@]1(C)CC(=O)O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NPC117381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C[C@@H]1CC[C@@H]([C@](C)(O)CO)C[C@@H]1O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NPC71347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CC#CC#CC#C/C=C\[C@@H]1CC=CO1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NPC231113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COc1ccc2c(c1)N=C(O)[C@@]21CN=C(SC)S1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-5.4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NPC245229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C/C=C(\C)CC/C=C(\C)CO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NPC219530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CC(C)(C)S/C=C/C(=N)O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NPC60949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CCCC[C@H](O)C#CCCC(=O)O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NPC174114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Cn1cnc2ncnc(N)c21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NPC10283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CC(=O)CCCCC/C=C/C(=O)O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NPC50861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C1=CC=CC=CC=C1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-5.0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NPC100742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O=C(O)[C@@H](O)[C@H](O)C(=O)O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NPC316589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Nc1nnnn1N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NPC222078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CCCCC(CC)COCCCN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-4.5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NPC277288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CCC(C)SSC/C=C/OS(C)=O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NPC59948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O=C(CI)/C(Br)=C/Br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-4.0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NPC164498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C=CCSS/C=C\C[S@@](=O)CC=C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-3.9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NPC285308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CN(C)C1CSSC1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NPC168383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C1CSSCS1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-3.1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decoys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NPC78825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BrC(Br)Br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-2.7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NPC100002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BrCBr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-2.2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NPC100128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C#N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NPC110511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[2H]C([2H])([2H])SC([2H])([2H])[2H]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NPC248955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[Cd]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NPC11609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[Cu]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-1.3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NPC98121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candidate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NPC224259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Cl</w:t>
            </w:r>
          </w:p>
        </w:tc>
        <w:tc>
          <w:tcPr>
            <w:tcW w:type="dxa" w:w="1872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-1.0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rFonts w:ascii="Cambria" w:hAnsi="Cambria" w:cs="Cambria"/>
          <w:b/>
          <w:color w:val="000000"/>
          <w:sz w:val="28"/>
        </w:rPr>
        <w:t>M6 — docking summary (PPARG / GSK3B)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receptor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n_actives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n_decoys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median_active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median_decoy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EF5%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b/>
                <w:sz w:val="19"/>
              </w:rPr>
              <w:t>AUROC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PPARG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-6.85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0.25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0.6665</w:t>
            </w:r>
          </w:p>
        </w:tc>
      </w:tr>
      <w:tr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GSK3B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14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68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-7.3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-6.4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0.0</w:t>
            </w:r>
          </w:p>
        </w:tc>
        <w:tc>
          <w:tcPr>
            <w:tcW w:type="dxa" w:w="1337"/>
          </w:tcPr>
          <w:p>
            <w:pPr>
              <w:spacing w:after="20" w:before="20"/>
              <w:jc w:val="left"/>
            </w:pPr>
            <w:r>
              <w:rPr>
                <w:rFonts w:ascii="Cambria" w:hAnsi="Cambria" w:cs="Cambria"/>
                <w:sz w:val="19"/>
              </w:rPr>
              <w:t>0.8036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mbria" w:hAnsi="Cambria" w:cs="Cambr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mbria" w:hAnsi="Cambr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mbria" w:hAnsi="Cambr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