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219075</wp:posOffset>
            </wp:positionV>
            <wp:extent cx="410626" cy="410626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26" cy="410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ModeMax Employment Contract Amendment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Amendment (“Amendment”) is entered into between: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ModeMax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(“Employer”)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{{Employee Name}}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collectively referred to as the “Parties.”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Amendment modifies and supplements the original Employment Agreement dated {{Date}}, solely for the duration of the Employee’s temporary assignment abroad.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Assignment Details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Location: Paris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Start Date: {{Start Date}}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End Date: {{End Date}}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Employee will continue to perform their role as Store Manager, while temporarily based in Paris.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Compensation &amp; Benefits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will continue to receive their base salary in their home country payroll.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Temporary Relocation Allowance of {{Allowance}} will be provided to cover reasonable living expenses.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Employer will provide international health insurance coverage during the assignment.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additional tax obligations arising in France will be supported by the Employer’s HR/Payroll team.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Travel &amp; Accommodation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Employer will reimburse travel costs related to relocation and return.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Accommodation is the responsibility of the Employee; however, a housing stipend of €[Amount] per month will be provided.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Work Authorization &amp; Compliance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Employer will assist in obtaining the necessary work authorization, visas, or permits for the Employee.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agrees to comply with all applicable laws and company policies, including data protection, information security, and local labor regulations.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Equipment &amp; IT Security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will be provided with company-approved equipment (laptop, phone, peripherals).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devices must remain compliant with corporate IT security policies, including VPN use, MFA, and endpoint monitoring.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Equipment remains the property of the Employer and must be returned upon assignment completion.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Return &amp; Reintegration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Upon completion of the Paris assignment, Employee will return to their home country and resume normal duties.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relocation allowances and benefits will cease as of the assignment end date.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Entire Agreement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 as expressly modified herein, all terms of the original Employment Agreement remain in full force and effect.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Amendment shall automatically expire upon completion of the temporary assignment.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Signed: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19288" cy="5757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575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Henry Williams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