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Freight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D.C Qty (MT)</w:t>
            </w:r>
          </w:p>
        </w:tc>
        <w:tc>
          <w:tcPr>
            <w:tcW w:type="dxa" w:w="1080"/>
          </w:tcPr>
          <w:p>
            <w:r>
              <w:t>GR Qty (MT)</w:t>
            </w:r>
          </w:p>
        </w:tc>
        <w:tc>
          <w:tcPr>
            <w:tcW w:type="dxa" w:w="1080"/>
          </w:tcPr>
          <w:p>
            <w:r>
              <w:t>Rate/MT</w:t>
            </w:r>
          </w:p>
        </w:tc>
        <w:tc>
          <w:tcPr>
            <w:tcW w:type="dxa" w:w="1080"/>
          </w:tcPr>
          <w:p>
            <w:r>
              <w:t>Subtotal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6540.0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5886.0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6888.8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6387.400000000001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6627.2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6509.48</w:t>
            </w:r>
          </w:p>
        </w:tc>
      </w:tr>
    </w:tbl>
    <w:p/>
    <w:p>
      <w:pPr>
        <w:jc w:val="right"/>
      </w:pPr>
      <w:r>
        <w:t>Grand Total: 244251.56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