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86BC25"/>
          <w:sz w:val="19"/>
        </w:rPr>
        <w:t>INDIAN SCHOOL OF BUSINESS  |  AMPBA CAPSTONE PROJECT  |  SPONSORED BY DELOITTE</w:t>
      </w:r>
    </w:p>
    <w:p>
      <w:pPr>
        <w:spacing w:before="80" w:after="80"/>
      </w:pPr>
      <w:r>
        <w:rPr>
          <w:rFonts w:ascii="Calibri" w:hAnsi="Calibri"/>
          <w:b/>
          <w:color w:val="0E1622"/>
          <w:sz w:val="40"/>
        </w:rPr>
        <w:t>Demand Prediction by SKU: Sales Data Collection, EDA &amp; Enterprise Demand Intelligence Platform</w:t>
      </w:r>
    </w:p>
    <w:p>
      <w:pPr>
        <w:spacing w:before="0" w:after="240"/>
      </w:pPr>
      <w:r>
        <w:rPr>
          <w:rFonts w:ascii="Calibri" w:hAnsi="Calibri"/>
          <w:i/>
          <w:color w:val="0284C7"/>
          <w:sz w:val="22"/>
        </w:rPr>
        <w:t>Master Presentation Dossier, NotebookLM Source Brief, Slide-by-Slide Verbatim Scripts, Audio Overview Transcript, and Faculty Defense Q&amp;A</w:t>
      </w:r>
    </w:p>
    <w:tbl>
      <w:tblPr>
        <w:tblW w:type="auto" w:w="0"/>
        <w:jc w:val="center"/>
        <w:tblLayout w:type="fixed"/>
        <w:tblLook w:firstColumn="1" w:firstRow="1" w:lastColumn="0" w:lastRow="0" w:noHBand="0" w:noVBand="1" w:val="04A0"/>
      </w:tblPr>
      <w:tblGrid>
        <w:gridCol w:w="4968"/>
        <w:gridCol w:w="4968"/>
      </w:tblGrid>
      <w:tr>
        <w:tc>
          <w:tcPr>
            <w:tcW w:type="dxa" w:w="3168"/>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Project Dimension</w:t>
            </w:r>
          </w:p>
        </w:tc>
        <w:tc>
          <w:tcPr>
            <w:tcW w:type="dxa" w:w="6768"/>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Capstone Specification Details</w:t>
            </w:r>
          </w:p>
        </w:tc>
      </w:tr>
      <w:tr>
        <w:tc>
          <w:tcPr>
            <w:tcW w:type="dxa" w:w="31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Academic Institution</w:t>
            </w:r>
          </w:p>
        </w:tc>
        <w:tc>
          <w:tcPr>
            <w:tcW w:type="dxa" w:w="67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Indian School of Business (ISB) — Advanced Management Programme in Business Analytics (AMPBA)</w:t>
            </w:r>
          </w:p>
        </w:tc>
      </w:tr>
      <w:tr>
        <w:tc>
          <w:tcPr>
            <w:tcW w:type="dxa" w:w="31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Corporate Sponsor</w:t>
            </w:r>
          </w:p>
        </w:tc>
        <w:tc>
          <w:tcPr>
            <w:tcW w:type="dxa" w:w="67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Deloitte Touche Tohmatsu India LLP</w:t>
            </w:r>
          </w:p>
        </w:tc>
      </w:tr>
      <w:tr>
        <w:tc>
          <w:tcPr>
            <w:tcW w:type="dxa" w:w="31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Project Charter</w:t>
            </w:r>
          </w:p>
        </w:tc>
        <w:tc>
          <w:tcPr>
            <w:tcW w:type="dxa" w:w="67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AI-Powered SKU-Level Demand Intelligence &amp; Multi-Echelon Replenishment Platform</w:t>
            </w:r>
          </w:p>
        </w:tc>
      </w:tr>
      <w:tr>
        <w:tc>
          <w:tcPr>
            <w:tcW w:type="dxa" w:w="31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Capstone Authors</w:t>
            </w:r>
          </w:p>
        </w:tc>
        <w:tc>
          <w:tcPr>
            <w:tcW w:type="dxa" w:w="67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Sai Prashanth Sarathy (12510081), R Arvindshankar (12510053), Hariharan N (12510102), Vedika Sharma (12510071), Vani Som (12510023)</w:t>
            </w:r>
          </w:p>
        </w:tc>
      </w:tr>
      <w:tr>
        <w:tc>
          <w:tcPr>
            <w:tcW w:type="dxa" w:w="31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Dataset Scope</w:t>
            </w:r>
          </w:p>
        </w:tc>
        <w:tc>
          <w:tcPr>
            <w:tcW w:type="dxa" w:w="67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82,034 Transaction Lines | 154 Active SKUs | 5 Regional Depots (MAA, SBD, SBD1, COK, BLR) | 103 Weeks (Jul 2022 – Jun 2024)</w:t>
            </w:r>
          </w:p>
        </w:tc>
      </w:tr>
      <w:tr>
        <w:tc>
          <w:tcPr>
            <w:tcW w:type="dxa" w:w="31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Platform Status</w:t>
            </w:r>
          </w:p>
        </w:tc>
        <w:tc>
          <w:tcPr>
            <w:tcW w:type="dxa" w:w="676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75% Mid-Review Checkpoint | 100% Core Pipeline &amp; 7-Page Cockpit Live | 42 Series Generating 91,504 Units Forecast</w:t>
            </w:r>
          </w:p>
        </w:tc>
      </w:tr>
      <w:tr>
        <w:tc>
          <w:tcPr>
            <w:tcW w:type="dxa" w:w="31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Target NotebookLM Use</w:t>
            </w:r>
          </w:p>
        </w:tc>
        <w:tc>
          <w:tcPr>
            <w:tcW w:type="dxa" w:w="676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Comprehensive primary source document for generating presentations, study guides, executive briefs, audio podcasts, and slide notes</w:t>
            </w:r>
          </w:p>
        </w:tc>
      </w:tr>
    </w:tbl>
    <w:p>
      <w:pPr>
        <w:spacing w:before="0" w:after="80"/>
      </w:pPr>
    </w:p>
    <w:p>
      <w:pPr>
        <w:keepNext/>
        <w:spacing w:before="360" w:after="80"/>
      </w:pPr>
      <w:r>
        <w:rPr>
          <w:rFonts w:ascii="Calibri" w:hAnsi="Calibri"/>
          <w:b/>
          <w:color w:val="0E1622"/>
          <w:sz w:val="31"/>
        </w:rPr>
        <w:t>SECTION 1: NotebookLM Presentation Master Guide &amp; Workflow</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This document is specifically authored to serve as an authoritative, exhaustive primary source inside Google NotebookLM. NotebookLM utilizes Gemini 1.5 Pro's million-token context window to ground every insight, slide script, and summary directly in the source data without hallucinations. By uploading this `.docx` file into your NotebookLM notebook, you unlock immediate capabilities to auto-generate slide decks, speaker cues, audio podcasts, and viva defense notes.</w:t>
      </w:r>
    </w:p>
    <w:p>
      <w:pPr>
        <w:keepNext/>
        <w:spacing w:before="260" w:after="60"/>
      </w:pPr>
      <w:r>
        <w:rPr>
          <w:rFonts w:ascii="Calibri" w:hAnsi="Calibri"/>
          <w:b/>
          <w:color w:val="0284C7"/>
          <w:sz w:val="24"/>
        </w:rPr>
        <w:t>1.1 How to Ingest this Document into NotebookLM</w:t>
      </w:r>
    </w:p>
    <w:p>
      <w:pPr>
        <w:pStyle w:val="ListBullet"/>
        <w:spacing w:before="20" w:after="50" w:line="276" w:lineRule="auto"/>
      </w:pPr>
      <w:r>
        <w:rPr>
          <w:rFonts w:ascii="Calibri" w:hAnsi="Calibri"/>
          <w:b/>
          <w:color w:val="334155"/>
          <w:sz w:val="19"/>
        </w:rPr>
        <w:t xml:space="preserve">Step 1 (Create Notebook): </w:t>
      </w:r>
      <w:r>
        <w:rPr>
          <w:rFonts w:ascii="Calibri" w:hAnsi="Calibri"/>
          <w:color w:val="334155"/>
          <w:sz w:val="19"/>
        </w:rPr>
        <w:t>Navigate to https://notebooklm.google.com and click 'New Notebook'. Title your notebook: 'ISB Capstone - Demand Prediction Presentation'.</w:t>
      </w:r>
    </w:p>
    <w:p>
      <w:pPr>
        <w:pStyle w:val="ListBullet"/>
        <w:spacing w:before="20" w:after="50" w:line="276" w:lineRule="auto"/>
      </w:pPr>
      <w:r>
        <w:rPr>
          <w:rFonts w:ascii="Calibri" w:hAnsi="Calibri"/>
          <w:b/>
          <w:color w:val="334155"/>
          <w:sz w:val="19"/>
        </w:rPr>
        <w:t xml:space="preserve">Step 2 (Upload Source): </w:t>
      </w:r>
      <w:r>
        <w:rPr>
          <w:rFonts w:ascii="Calibri" w:hAnsi="Calibri"/>
          <w:color w:val="334155"/>
          <w:sz w:val="19"/>
        </w:rPr>
        <w:t>Under 'Add Sources', select 'Upload File' and choose this Word document (NotebookLM_PPT_Presentation_Script_and_Content.docx).</w:t>
      </w:r>
    </w:p>
    <w:p>
      <w:pPr>
        <w:pStyle w:val="ListBullet"/>
        <w:spacing w:before="20" w:after="50" w:line="276" w:lineRule="auto"/>
      </w:pPr>
      <w:r>
        <w:rPr>
          <w:rFonts w:ascii="Calibri" w:hAnsi="Calibri"/>
          <w:b/>
          <w:color w:val="334155"/>
          <w:sz w:val="19"/>
        </w:rPr>
        <w:t xml:space="preserve">Step 3 (Ingestion): </w:t>
      </w:r>
      <w:r>
        <w:rPr>
          <w:rFonts w:ascii="Calibri" w:hAnsi="Calibri"/>
          <w:color w:val="334155"/>
          <w:sz w:val="19"/>
        </w:rPr>
        <w:t>Allow 10-15 seconds for NotebookLM to ingest and index all 15 slide blueprints, mathematical formulations, and quantitative metrics.</w:t>
      </w:r>
    </w:p>
    <w:p>
      <w:pPr>
        <w:pStyle w:val="ListBullet"/>
        <w:spacing w:before="20" w:after="50" w:line="276" w:lineRule="auto"/>
      </w:pPr>
      <w:r>
        <w:rPr>
          <w:rFonts w:ascii="Calibri" w:hAnsi="Calibri"/>
          <w:b/>
          <w:color w:val="334155"/>
          <w:sz w:val="19"/>
        </w:rPr>
        <w:t xml:space="preserve">Step 4 (Audio Overview): </w:t>
      </w:r>
      <w:r>
        <w:rPr>
          <w:rFonts w:ascii="Calibri" w:hAnsi="Calibri"/>
          <w:color w:val="334155"/>
          <w:sz w:val="19"/>
        </w:rPr>
        <w:t>Click 'Audio Overview -&gt; Generate' to produce a studio-quality 10-minute conversational podcast between two AI hosts dissecting the capstone project.</w:t>
      </w:r>
    </w:p>
    <w:p>
      <w:pPr>
        <w:pStyle w:val="ListBullet"/>
        <w:spacing w:before="20" w:after="50" w:line="276" w:lineRule="auto"/>
      </w:pPr>
      <w:r>
        <w:rPr>
          <w:rFonts w:ascii="Calibri" w:hAnsi="Calibri"/>
          <w:b/>
          <w:color w:val="334155"/>
          <w:sz w:val="19"/>
        </w:rPr>
        <w:t xml:space="preserve">Step 5 (Prompting): </w:t>
      </w:r>
      <w:r>
        <w:rPr>
          <w:rFonts w:ascii="Calibri" w:hAnsi="Calibri"/>
          <w:color w:val="334155"/>
          <w:sz w:val="19"/>
        </w:rPr>
        <w:t>Use the prompt templates provided in Section 1.2 and Section 6 to instantly generate slide outlines, PowerPoint VBA code, speaker cards, or flashcards.</w:t>
      </w:r>
    </w:p>
    <w:p>
      <w:pPr>
        <w:keepNext/>
        <w:spacing w:before="260" w:after="60"/>
      </w:pPr>
      <w:r>
        <w:rPr>
          <w:rFonts w:ascii="Calibri" w:hAnsi="Calibri"/>
          <w:b/>
          <w:color w:val="0284C7"/>
          <w:sz w:val="24"/>
        </w:rPr>
        <w:t>1.2 Specialized System Prompts to Run in NotebookLM</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SYSTEM PROMPT 1: GENERATE FULL POWERPOINT SLIDE DECK OUTLINE</w:t>
            </w:r>
          </w:p>
          <w:p>
            <w:pPr>
              <w:spacing w:before="30" w:after="60" w:line="276" w:lineRule="auto"/>
            </w:pPr>
            <w:r>
              <w:rPr>
                <w:rFonts w:ascii="Calibri" w:hAnsi="Calibri"/>
                <w:color w:val="334155"/>
                <w:sz w:val="18"/>
              </w:rPr>
              <w:t>Prompt to paste into NotebookLM chat:</w:t>
            </w:r>
          </w:p>
          <w:p>
            <w:pPr>
              <w:spacing w:before="30" w:after="60" w:line="276" w:lineRule="auto"/>
            </w:pPr>
            <w:r>
              <w:rPr>
                <w:rFonts w:ascii="Calibri" w:hAnsi="Calibri"/>
                <w:color w:val="334155"/>
                <w:sz w:val="18"/>
              </w:rPr>
              <w:t>"Based on the uploaded capstone dossier, generate a 15-slide executive presentation script for our ISB Mid-Review presentation with Deloitte. For each slide, provide: (1) Exact Slide Title and Visual Layout, (2) 3-4 High-Impact Bullet Points with exact numbers and metrics, (3) Key Graphic or Chart to display, and (4) 60-second Verbatim Speaker Script that I can read aloud during the presentation. Format cleanly in Markdown with bold numbers."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SYSTEM PROMPT 2: GENERATE VBA CODE TO AUTO-BUILD PPT IN POWERPOINT</w:t>
            </w:r>
          </w:p>
          <w:p>
            <w:pPr>
              <w:spacing w:before="30" w:after="60" w:line="276" w:lineRule="auto"/>
            </w:pPr>
            <w:r>
              <w:rPr>
                <w:rFonts w:ascii="Calibri" w:hAnsi="Calibri"/>
                <w:color w:val="334155"/>
                <w:sz w:val="18"/>
              </w:rPr>
              <w:t>Prompt to paste into NotebookLM chat:</w:t>
            </w:r>
          </w:p>
          <w:p>
            <w:pPr>
              <w:spacing w:before="30" w:after="60" w:line="276" w:lineRule="auto"/>
            </w:pPr>
            <w:r>
              <w:rPr>
                <w:rFonts w:ascii="Calibri" w:hAnsi="Calibri"/>
                <w:color w:val="334155"/>
                <w:sz w:val="18"/>
              </w:rPr>
              <w:t>"Using the slide specifications and color palette from the document (Navy RGB(14,22,34), Cyan RGB(2,132,199), White RGB(255,255,255)), write a complete Microsoft PowerPoint VBA macro script. When executed in PowerPoint (Alt+F11 -&gt; Insert Module -&gt; Run), it should automatically generate all 15 slides with dark backgrounds, cyan headers, structured text boxes, stat cards, and speaker notes."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SYSTEM PROMPT 3: GENERATE FACULTY VIVA DEFENSE PREPARATION</w:t>
            </w:r>
          </w:p>
          <w:p>
            <w:pPr>
              <w:spacing w:before="30" w:after="60" w:line="276" w:lineRule="auto"/>
            </w:pPr>
            <w:r>
              <w:rPr>
                <w:rFonts w:ascii="Calibri" w:hAnsi="Calibri"/>
                <w:color w:val="334155"/>
                <w:sz w:val="18"/>
              </w:rPr>
              <w:t>Prompt to paste into NotebookLM chat:</w:t>
            </w:r>
          </w:p>
          <w:p>
            <w:pPr>
              <w:spacing w:before="30" w:after="60" w:line="276" w:lineRule="auto"/>
            </w:pPr>
            <w:r>
              <w:rPr>
                <w:rFonts w:ascii="Calibri" w:hAnsi="Calibri"/>
                <w:color w:val="334155"/>
                <w:sz w:val="18"/>
              </w:rPr>
              <w:t>"Act as a demanding ISB Capstone Evaluation Panel consisting of a Senior Supply Chain Professor and a Deloitte Data Science Partner. Review the uploaded source document and generate the 10 hardest technical questions regarding: our Syntetos-Boylan demand categorization, the MinT reconciliation proofs, zero temporal data leakage validation, and our handling of the 28.77% Q1 data gap. For each question, provide the bulletproof, quantitatively supported answer that our team should deliver."</w:t>
            </w:r>
          </w:p>
        </w:tc>
      </w:tr>
    </w:tbl>
    <w:p>
      <w:pPr>
        <w:spacing w:before="0" w:after="80"/>
      </w:pPr>
    </w:p>
    <w:p>
      <w:pPr>
        <w:keepNext/>
        <w:spacing w:before="360" w:after="80"/>
      </w:pPr>
      <w:r>
        <w:rPr>
          <w:rFonts w:ascii="Calibri" w:hAnsi="Calibri"/>
          <w:b/>
          <w:color w:val="0E1622"/>
          <w:sz w:val="31"/>
        </w:rPr>
        <w:t>SECTION 2: Executive Project Overview &amp; Quantitative Baseline</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The Demand Prediction by SKU capstone project bridges the gap between academic time-series modeling and commercial-grade supply chain intelligence. Sponsored by Deloitte Touche Tohmatsu India LLP and conducted by the Indian School of Business (ISB) AMPBA team, the platform resolves high inventory volatility, frequent stockouts, and inter-hub transfer costs for room air conditioner (RAC) distribution across South India.</w:t>
      </w:r>
    </w:p>
    <w:p>
      <w:pPr>
        <w:keepNext/>
        <w:spacing w:before="260" w:after="60"/>
      </w:pPr>
      <w:r>
        <w:rPr>
          <w:rFonts w:ascii="Calibri" w:hAnsi="Calibri"/>
          <w:b/>
          <w:color w:val="0284C7"/>
          <w:sz w:val="24"/>
        </w:rPr>
        <w:t>2.1 The Core Business Challenge</w:t>
      </w:r>
    </w:p>
    <w:p>
      <w:pPr>
        <w:spacing w:before="40" w:after="60" w:line="276" w:lineRule="auto"/>
      </w:pPr>
      <w:r>
        <w:rPr>
          <w:rFonts w:ascii="Calibri" w:hAnsi="Calibri"/>
          <w:b/>
          <w:color w:val="334155"/>
          <w:sz w:val="19"/>
        </w:rPr>
        <w:t xml:space="preserve">Commercial Context: </w:t>
      </w:r>
      <w:r>
        <w:rPr>
          <w:rFonts w:ascii="Calibri" w:hAnsi="Calibri"/>
          <w:i w:val="0"/>
          <w:color w:val="334155"/>
          <w:sz w:val="19"/>
        </w:rPr>
        <w:t>Room Air Conditioners (RACs) represent capital-intensive, highly seasonal durable goods characterized by severe demand lumpiness. The manufacturing sponsor distributes 154 distinct SKUs across 5 regional mother and satellite distribution hubs in South India (Madras/Chennai [MAA], Sriperumbudur [SBD, SBD1], Cochin [COK], and Bangalore [BLR]). Historical ERP sales data revealed three structural crises:</w:t>
      </w:r>
    </w:p>
    <w:p>
      <w:pPr>
        <w:pStyle w:val="ListBullet"/>
        <w:spacing w:before="20" w:after="50" w:line="276" w:lineRule="auto"/>
      </w:pPr>
      <w:r>
        <w:rPr>
          <w:rFonts w:ascii="Calibri" w:hAnsi="Calibri"/>
          <w:b/>
          <w:color w:val="334155"/>
          <w:sz w:val="19"/>
        </w:rPr>
        <w:t xml:space="preserve">1. Demand Lumpiness: </w:t>
      </w:r>
      <w:r>
        <w:rPr>
          <w:rFonts w:ascii="Calibri" w:hAnsi="Calibri"/>
          <w:color w:val="334155"/>
          <w:sz w:val="19"/>
        </w:rPr>
        <w:t>Commercial demand is severely non-smooth. 70.1% of all active SKUs exhibit lumpy demand patterns (high inter-arrival intervals and high order variance), rendering traditional moving averages and exponential smoothing models invalid.</w:t>
      </w:r>
    </w:p>
    <w:p>
      <w:pPr>
        <w:pStyle w:val="ListBullet"/>
        <w:spacing w:before="20" w:after="50" w:line="276" w:lineRule="auto"/>
      </w:pPr>
      <w:r>
        <w:rPr>
          <w:rFonts w:ascii="Calibri" w:hAnsi="Calibri"/>
          <w:b/>
          <w:color w:val="334155"/>
          <w:sz w:val="19"/>
        </w:rPr>
        <w:t xml:space="preserve">2. Network Misalignment: </w:t>
      </w:r>
      <w:r>
        <w:rPr>
          <w:rFonts w:ascii="Calibri" w:hAnsi="Calibri"/>
          <w:color w:val="334155"/>
          <w:sz w:val="19"/>
        </w:rPr>
        <w:t>Depot managers in Bangalore and Cochin frequently experienced peak-season stockouts while Sriperumbudur carried surplus inventory, necessitating emergency inter-depot transfers that eroded gross margins by 4.2%.</w:t>
      </w:r>
    </w:p>
    <w:p>
      <w:pPr>
        <w:pStyle w:val="ListBullet"/>
        <w:spacing w:before="20" w:after="50" w:line="276" w:lineRule="auto"/>
      </w:pPr>
      <w:r>
        <w:rPr>
          <w:rFonts w:ascii="Calibri" w:hAnsi="Calibri"/>
          <w:b/>
          <w:color w:val="334155"/>
          <w:sz w:val="19"/>
        </w:rPr>
        <w:t xml:space="preserve">3. Dirty Enterprise Data: </w:t>
      </w:r>
      <w:r>
        <w:rPr>
          <w:rFonts w:ascii="Calibri" w:hAnsi="Calibri"/>
          <w:color w:val="334155"/>
          <w:sz w:val="19"/>
        </w:rPr>
        <w:t>Legacy ERP sales data suffered from 5.44% duplicate entries, 94,435 null data cells across transactional attributes, and a catastrophic 28.77% structural data gap in Q1 FY24-25 that broke naive statistical training pipelines.</w:t>
      </w:r>
    </w:p>
    <w:p>
      <w:pPr>
        <w:keepNext/>
        <w:spacing w:before="260" w:after="60"/>
      </w:pPr>
      <w:r>
        <w:rPr>
          <w:rFonts w:ascii="Calibri" w:hAnsi="Calibri"/>
          <w:b/>
          <w:color w:val="0284C7"/>
          <w:sz w:val="24"/>
        </w:rPr>
        <w:t>2.2 Forensic Data Audit &amp; Canonical Grain</w:t>
      </w:r>
    </w:p>
    <w:p>
      <w:pPr>
        <w:spacing w:before="40" w:after="60" w:line="276" w:lineRule="auto"/>
      </w:pPr>
      <w:r>
        <w:rPr>
          <w:rFonts w:ascii="Calibri" w:hAnsi="Calibri"/>
          <w:i w:val="0"/>
          <w:color w:val="334155"/>
          <w:sz w:val="19"/>
        </w:rPr>
        <w:t>The project engineered a robust automated ingestion pipeline that transforms uncurated transactional ERP logs into an analytically sound, leak-free canonical forecasting data mart: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Metric / Attribute</w:t>
            </w:r>
          </w:p>
        </w:tc>
        <w:tc>
          <w:tcPr>
            <w:tcW w:type="dxa" w:w="2592"/>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Raw ERP Status</w:t>
            </w:r>
          </w:p>
        </w:tc>
        <w:tc>
          <w:tcPr>
            <w:tcW w:type="dxa" w:w="2592"/>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Engineered Data Mart</w:t>
            </w:r>
          </w:p>
        </w:tc>
        <w:tc>
          <w:tcPr>
            <w:tcW w:type="dxa" w:w="2448"/>
            <w:shd w:fill="0F172A"/>
            <w:tcMar>
              <w:top w:w="120" w:type="dxa"/>
              <w:bottom w:w="120" w:type="dxa"/>
              <w:left w:w="100" w:type="dxa"/>
              <w:right w:w="100" w:type="dxa"/>
            </w:tcMar>
            <w:tcBorders>
              <w:top w:val="single" w:sz="2" w:space="0" w:color="CBD5E1"/>
              <w:bottom w:val="single" w:sz="2" w:space="0" w:color="CBD5E1"/>
              <w:left w:val="none"/>
              <w:right w:val="none"/>
            </w:tcBorders>
          </w:tcPr>
          <w:p>
            <w:r>
              <w:rPr>
                <w:rFonts w:ascii="Calibri" w:hAnsi="Calibri"/>
                <w:b/>
                <w:color w:val="FFFFFF"/>
                <w:sz w:val="18"/>
              </w:rPr>
              <w:t>Business Impact</w:t>
            </w:r>
          </w:p>
        </w:tc>
      </w:tr>
      <w:tr>
        <w:tc>
          <w:tcPr>
            <w:tcW w:type="dxa" w:w="2304"/>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Total Records</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82,034 transactional rows</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8,951 canonical weekly rows</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Aggregated to SKU × BRANCH × WEEK canonical grain</w:t>
            </w:r>
          </w:p>
        </w:tc>
      </w:tr>
      <w:tr>
        <w:tc>
          <w:tcPr>
            <w:tcW w:type="dxa" w:w="2304"/>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Temporal Span</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July 2022 – June 2024 (24 Mo)</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103 Continuous Calendar Weeks</w:t>
            </w:r>
          </w:p>
        </w:tc>
        <w:tc>
          <w:tcPr>
            <w:tcW w:type="dxa" w:w="244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Aligned to ISO week calendar with zero chronological gaps</w:t>
            </w:r>
          </w:p>
        </w:tc>
      </w:tr>
      <w:tr>
        <w:tc>
          <w:tcPr>
            <w:tcW w:type="dxa" w:w="2304"/>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Data Completeness</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94.99% field completeness</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98.49% target completeness</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Imputed/isolated 94,435 null fields; eliminated null anomalies</w:t>
            </w:r>
          </w:p>
        </w:tc>
      </w:tr>
      <w:tr>
        <w:tc>
          <w:tcPr>
            <w:tcW w:type="dxa" w:w="2304"/>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Duplicate Records</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4,463 duplicate rows (5.44%)</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0 duplicates (100% clean)</w:t>
            </w:r>
          </w:p>
        </w:tc>
        <w:tc>
          <w:tcPr>
            <w:tcW w:type="dxa" w:w="244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Prevented double-counting of bulk dealer consignments</w:t>
            </w:r>
          </w:p>
        </w:tc>
      </w:tr>
      <w:tr>
        <w:tc>
          <w:tcPr>
            <w:tcW w:type="dxa" w:w="2304"/>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Gross vs Net Volume</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Gross: 909,451.5 units</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Net: 902,391.0 units</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Reconciled -7,060.5 returned units (0.78% return rate)</w:t>
            </w:r>
          </w:p>
        </w:tc>
      </w:tr>
      <w:tr>
        <w:tc>
          <w:tcPr>
            <w:tcW w:type="dxa" w:w="2304"/>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ODU vs IDU Split</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Outdoor: 80.8% (729,297 units)</w:t>
            </w:r>
          </w:p>
        </w:tc>
        <w:tc>
          <w:tcPr>
            <w:tcW w:type="dxa" w:w="2592"/>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Indoor: 19.2% (173,094 units)</w:t>
            </w:r>
          </w:p>
        </w:tc>
        <w:tc>
          <w:tcPr>
            <w:tcW w:type="dxa" w:w="2448"/>
            <w:shd w:fill="F1F5F9"/>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Identified independent ODU commercial replacement demand</w:t>
            </w:r>
          </w:p>
        </w:tc>
      </w:tr>
      <w:tr>
        <w:tc>
          <w:tcPr>
            <w:tcW w:type="dxa" w:w="2304"/>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Training Convergence</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Baseline runtime: 100%</w:t>
            </w:r>
          </w:p>
        </w:tc>
        <w:tc>
          <w:tcPr>
            <w:tcW w:type="dxa" w:w="2592"/>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Runtime improved ~18%</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r>
              <w:rPr>
                <w:rFonts w:ascii="Calibri" w:hAnsi="Calibri"/>
                <w:color w:val="334155"/>
                <w:sz w:val="17"/>
              </w:rPr>
              <w:t>Optimized vector operations reduce multi-model execution time</w:t>
            </w:r>
          </w:p>
        </w:tc>
      </w:tr>
    </w:tbl>
    <w:p>
      <w:pPr>
        <w:spacing w:before="0" w:after="80"/>
      </w:pPr>
    </w:p>
    <w:p>
      <w:pPr>
        <w:keepNext/>
        <w:spacing w:before="360" w:after="80"/>
      </w:pPr>
      <w:r>
        <w:rPr>
          <w:rFonts w:ascii="Calibri" w:hAnsi="Calibri"/>
          <w:b/>
          <w:color w:val="0E1622"/>
          <w:sz w:val="31"/>
        </w:rPr>
        <w:t>SECTION 3: Slide-by-Slide Master Blueprint &amp; Verbatim Scripts (Slides 1 to 15)</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This section contains the complete master blueprint for all 15 presentation slides. Each slide is structured with its Visual Wireframe &amp; Layout Specifications, On-Slide Visual Content, Verbatim Presenter Script (with delivery cues, pauses, and transition hooks), NotebookLM Directive, and Faculty Defense Q&amp;A.</w:t>
      </w:r>
    </w:p>
    <w:p>
      <w:pPr>
        <w:keepNext/>
        <w:spacing w:before="260" w:after="60"/>
      </w:pPr>
      <w:r>
        <w:rPr>
          <w:rFonts w:ascii="Calibri" w:hAnsi="Calibri"/>
          <w:b/>
          <w:color w:val="0284C7"/>
          <w:sz w:val="24"/>
        </w:rPr>
        <w:t>Slide 01: Title Slide: Supply Chain Intelligence</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Project Charter &amp; Introduction</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Minimalist Dark Slate Background (RGB 14, 22, 34). Cyan 48pt title with accent divider bar. Subtitle in 21pt muted light-gray. Bottom banner with student names, PGIDs, ISB emblem, and Deloitte sponsor badge.</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Project Title: Demand Prediction by SKU — Sales Data Collection, EDA &amp; Enterprise Demand Intelligence Platform</w:t>
      </w:r>
    </w:p>
    <w:p>
      <w:pPr>
        <w:pStyle w:val="ListBullet"/>
        <w:spacing w:before="20" w:after="50" w:line="276" w:lineRule="auto"/>
      </w:pPr>
      <w:r>
        <w:rPr>
          <w:rFonts w:ascii="Calibri" w:hAnsi="Calibri"/>
          <w:color w:val="334155"/>
          <w:sz w:val="19"/>
        </w:rPr>
        <w:t>Academic Institution: Indian School of Business (ISB) — AMPBA Class of 2026S</w:t>
      </w:r>
    </w:p>
    <w:p>
      <w:pPr>
        <w:pStyle w:val="ListBullet"/>
        <w:spacing w:before="20" w:after="50" w:line="276" w:lineRule="auto"/>
      </w:pPr>
      <w:r>
        <w:rPr>
          <w:rFonts w:ascii="Calibri" w:hAnsi="Calibri"/>
          <w:color w:val="334155"/>
          <w:sz w:val="19"/>
        </w:rPr>
        <w:t>Corporate Sponsor: Deloitte Touche Tohmatsu India LLP</w:t>
      </w:r>
    </w:p>
    <w:p>
      <w:pPr>
        <w:pStyle w:val="ListBullet"/>
        <w:spacing w:before="20" w:after="50" w:line="276" w:lineRule="auto"/>
      </w:pPr>
      <w:r>
        <w:rPr>
          <w:rFonts w:ascii="Calibri" w:hAnsi="Calibri"/>
          <w:color w:val="334155"/>
          <w:sz w:val="19"/>
        </w:rPr>
        <w:t>Project Authors: Sai Prashanth Sarathy, R Arvindshankar, Hariharan N, Vedika Sharma, Vani Som</w:t>
      </w:r>
    </w:p>
    <w:p>
      <w:pPr>
        <w:pStyle w:val="ListBullet"/>
        <w:spacing w:before="20" w:after="50" w:line="276" w:lineRule="auto"/>
      </w:pPr>
      <w:r>
        <w:rPr>
          <w:rFonts w:ascii="Calibri" w:hAnsi="Calibri"/>
          <w:color w:val="334155"/>
          <w:sz w:val="19"/>
        </w:rPr>
        <w:t>Core Objective: End-to-end transformation of 82K raw ERP records into an AI-powered demand forecasting and multi-echelon replenishment platform.</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01 - 60 TO 90 SECONDS)</w:t>
            </w:r>
          </w:p>
          <w:p>
            <w:pPr>
              <w:spacing w:before="30" w:after="60" w:line="276" w:lineRule="auto"/>
            </w:pPr>
            <w:r>
              <w:rPr>
                <w:rFonts w:ascii="Calibri" w:hAnsi="Calibri"/>
                <w:color w:val="334155"/>
                <w:sz w:val="18"/>
              </w:rPr>
              <w:t>Good morning, esteemed faculty members, advisors, and our project sponsor Deloitte. We are Group 4, and today we are thrilled to present our mid-review checkpoint on our capstone project: 'Demand Prediction by SKU — Sales Data Collection, Exploratory Data Analysis, and our Enterprise Demand Intelligence Platform'. Over the past 8 weeks, our team has tackled a complex real-world challenge: how a major air conditioning manufacturer can accurately forecast highly lumpy, intermittent demand across 154 SKUs and 5 regional distribution hubs in South India. Today, we are not presenting a theoretical blueprint or preliminary concept—we are demonstrating a fully functional, production-ready 7-page intelligence dashboard that is already scoring 42 branch-SKU series live. Let us walk you through our journey, our breakthroughs, and our quantitative impact.</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01)</w:t>
            </w:r>
          </w:p>
          <w:p>
            <w:pPr>
              <w:spacing w:before="30" w:after="60" w:line="276" w:lineRule="auto"/>
            </w:pPr>
            <w:r>
              <w:rPr>
                <w:rFonts w:ascii="Calibri" w:hAnsi="Calibri"/>
                <w:color w:val="334155"/>
                <w:sz w:val="18"/>
              </w:rPr>
              <w:t>Prompt to run in NotebookLM: "Generate an impactful title slide introducing the ISB-Deloitte Demand Prediction capstone, emphasizing that this is a 75% mid-review milestone with a live production platform already deployed."</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01)</w:t>
            </w:r>
          </w:p>
          <w:p>
            <w:pPr>
              <w:spacing w:before="30" w:after="60" w:line="276" w:lineRule="auto"/>
            </w:pPr>
            <w:r>
              <w:rPr>
                <w:rFonts w:ascii="Calibri" w:hAnsi="Calibri"/>
                <w:color w:val="334155"/>
                <w:sz w:val="18"/>
              </w:rPr>
              <w:t>Q: What is the single biggest commercial takeaway of this capstone?</w:t>
              <w:br/>
              <w:t>A: By transforming 82,034 fragmented ERP records into a reconciled, leak-free canonical data mart and deploying a dual-track forecasting engine, we enable depot planners to reduce stockout risks during the critical summer peak while unlocking substantial working capital savings across top-volume hubs like Sriperumbudur and Chennai.</w:t>
            </w:r>
          </w:p>
        </w:tc>
      </w:tr>
    </w:tbl>
    <w:p>
      <w:pPr>
        <w:spacing w:before="0" w:after="80"/>
      </w:pPr>
    </w:p>
    <w:p>
      <w:pPr>
        <w:keepNext/>
        <w:spacing w:before="260" w:after="60"/>
      </w:pPr>
      <w:r>
        <w:rPr>
          <w:rFonts w:ascii="Calibri" w:hAnsi="Calibri"/>
          <w:b/>
          <w:color w:val="0284C7"/>
          <w:sz w:val="24"/>
        </w:rPr>
        <w:t>Slide 02: Project Timeline &amp; Progress Checkpoint</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Governance &amp; Milestone Tracking</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Top row featuring 4 KPI progress cards: Data Collection &amp; Audit (100% - Green), Dashboard Architecture (100% - Green), Model Validation (75% - Amber), Integration &amp; Testing (40% - Cyan). Two-column lower section: Key Achievements to Date (Left) vs Current Sprint &amp; Handoff Focus (Right).</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Milestone Status: 75% Overall Capstone Completion across 5 defined phases.</w:t>
      </w:r>
    </w:p>
    <w:p>
      <w:pPr>
        <w:pStyle w:val="ListBullet"/>
        <w:spacing w:before="20" w:after="50" w:line="276" w:lineRule="auto"/>
      </w:pPr>
      <w:r>
        <w:rPr>
          <w:rFonts w:ascii="Calibri" w:hAnsi="Calibri"/>
          <w:color w:val="334155"/>
          <w:sz w:val="19"/>
        </w:rPr>
        <w:t>Key Achievement 1: Production 7-Page Streamlit/Plotly Intelligence Cockpit fully deployed and interactive.</w:t>
      </w:r>
    </w:p>
    <w:p>
      <w:pPr>
        <w:pStyle w:val="ListBullet"/>
        <w:spacing w:before="20" w:after="50" w:line="276" w:lineRule="auto"/>
      </w:pPr>
      <w:r>
        <w:rPr>
          <w:rFonts w:ascii="Calibri" w:hAnsi="Calibri"/>
          <w:color w:val="334155"/>
          <w:sz w:val="19"/>
        </w:rPr>
        <w:t>Key Achievement 2: Data quality improved from 94.99% to 98.49% with 4,463 duplicate records excised.</w:t>
      </w:r>
    </w:p>
    <w:p>
      <w:pPr>
        <w:pStyle w:val="ListBullet"/>
        <w:spacing w:before="20" w:after="50" w:line="276" w:lineRule="auto"/>
      </w:pPr>
      <w:r>
        <w:rPr>
          <w:rFonts w:ascii="Calibri" w:hAnsi="Calibri"/>
          <w:color w:val="334155"/>
          <w:sz w:val="19"/>
        </w:rPr>
        <w:t>Key Achievement 3: Automated ARIMA engine actively scoring 42 branch-SKU series with 91,504 forecast units.</w:t>
      </w:r>
    </w:p>
    <w:p>
      <w:pPr>
        <w:pStyle w:val="ListBullet"/>
        <w:spacing w:before="20" w:after="50" w:line="276" w:lineRule="auto"/>
      </w:pPr>
      <w:r>
        <w:rPr>
          <w:rFonts w:ascii="Calibri" w:hAnsi="Calibri"/>
          <w:color w:val="334155"/>
          <w:sz w:val="19"/>
        </w:rPr>
        <w:t>Current Sprint Focus: Benchmarking SARIMA and tree-based ML ensembles, scaling SKU coverage from 15 to 154, and embedding APICS inventory replenishment rules.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02 - 60 TO 90 SECONDS)</w:t>
            </w:r>
          </w:p>
          <w:p>
            <w:pPr>
              <w:spacing w:before="30" w:after="60" w:line="276" w:lineRule="auto"/>
            </w:pPr>
            <w:r>
              <w:rPr>
                <w:rFonts w:ascii="Calibri" w:hAnsi="Calibri"/>
                <w:color w:val="334155"/>
                <w:sz w:val="18"/>
              </w:rPr>
              <w:t>Turning to Slide 2, let us anchor where we stand against our project charter. We are at our 75% mid-review checkpoint, and as you can see from the top progress indicators, our foundational layers—data collection, auditing, pipeline engineering, and dashboard UI—are 100% complete and operational. Our forecasting engine and model validation framework stand at 75%, with classical ARIMA models fully scored and integrated into the live UI. [Pause for emphasis] Most student capstones leave implementation to the final week. We inverted that paradigm: we built and deployed the full end-to-end data pipeline and 7-page dashboard in Phase 1. This means every algorithmic iteration we conduct today immediately reflects in our live planning cockpit.</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02)</w:t>
            </w:r>
          </w:p>
          <w:p>
            <w:pPr>
              <w:spacing w:before="30" w:after="60" w:line="276" w:lineRule="auto"/>
            </w:pPr>
            <w:r>
              <w:rPr>
                <w:rFonts w:ascii="Calibri" w:hAnsi="Calibri"/>
                <w:color w:val="334155"/>
                <w:sz w:val="18"/>
              </w:rPr>
              <w:t>Prompt to run in NotebookLM: "Summarize the 5-phase project governance timeline, highlighting 100% completion in data/UI and 75% in model validation."</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02)</w:t>
            </w:r>
          </w:p>
          <w:p>
            <w:pPr>
              <w:spacing w:before="30" w:after="60" w:line="276" w:lineRule="auto"/>
            </w:pPr>
            <w:r>
              <w:rPr>
                <w:rFonts w:ascii="Calibri" w:hAnsi="Calibri"/>
                <w:color w:val="334155"/>
                <w:sz w:val="18"/>
              </w:rPr>
              <w:t>Q: Why is model validation at 75% rather than 100%?</w:t>
              <w:br/>
              <w:t>A: Because we enforce an enterprise-grade validation gate: every SKU must pass expanding-window rolling-origin backtesting across 4 chronological folds with zero temporal data leakage. We prioritized shipping ARIMA into production first, while our ML tournament models (Random Forest, XGBoost, LightGBM) undergo rigorous hyperparameter tuning and conformal interval calibration.</w:t>
            </w:r>
          </w:p>
        </w:tc>
      </w:tr>
    </w:tbl>
    <w:p>
      <w:pPr>
        <w:spacing w:before="0" w:after="80"/>
      </w:pPr>
    </w:p>
    <w:p>
      <w:pPr>
        <w:keepNext/>
        <w:spacing w:before="260" w:after="60"/>
      </w:pPr>
      <w:r>
        <w:rPr>
          <w:rFonts w:ascii="Calibri" w:hAnsi="Calibri"/>
          <w:b/>
          <w:color w:val="0284C7"/>
          <w:sz w:val="24"/>
        </w:rPr>
        <w:t>Slide 03: Context: Five Regional Hubs &amp; 154 SKUs</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Supply Chain Network Topography</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South India geographic schematic showing the 5 regional hubs. Left callout: Hub Roles and Capacities. Right callout: Multi-echelon business dynamics and product hierarchy (Central Factory -&gt; Mother Depots -&gt; Satellite Depots -&gt; 154 SKUs).</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Network Topography: 5 Regional Depots across South India — Chennai (MAA), Sriperumbudur Mother Hub (SBD), Sriperumbudur Ancillary (SBD1), Cochin (COK), and Bangalore (BLR).</w:t>
      </w:r>
    </w:p>
    <w:p>
      <w:pPr>
        <w:pStyle w:val="ListBullet"/>
        <w:spacing w:before="20" w:after="50" w:line="276" w:lineRule="auto"/>
      </w:pPr>
      <w:r>
        <w:rPr>
          <w:rFonts w:ascii="Calibri" w:hAnsi="Calibri"/>
          <w:color w:val="334155"/>
          <w:sz w:val="19"/>
        </w:rPr>
        <w:t>Catalog Breadth: 154 active SKUs spanning Split ACs, Window ACs, Inverter models, and commercial tonnages (0.8T to 2.5T).</w:t>
      </w:r>
    </w:p>
    <w:p>
      <w:pPr>
        <w:pStyle w:val="ListBullet"/>
        <w:spacing w:before="20" w:after="50" w:line="276" w:lineRule="auto"/>
      </w:pPr>
      <w:r>
        <w:rPr>
          <w:rFonts w:ascii="Calibri" w:hAnsi="Calibri"/>
          <w:color w:val="334155"/>
          <w:sz w:val="19"/>
        </w:rPr>
        <w:t>Temporal Horizon: 3 continuous fiscal years (July 2022 to June 2024 / FY22-23 to FY24-25).</w:t>
      </w:r>
    </w:p>
    <w:p>
      <w:pPr>
        <w:pStyle w:val="ListBullet"/>
        <w:spacing w:before="20" w:after="50" w:line="276" w:lineRule="auto"/>
      </w:pPr>
      <w:r>
        <w:rPr>
          <w:rFonts w:ascii="Calibri" w:hAnsi="Calibri"/>
          <w:color w:val="334155"/>
          <w:sz w:val="19"/>
        </w:rPr>
        <w:t>Operational Pain Points: Inter-depot stock transfers, lead-time discrepancies (1W local vs 4W central factory), and severe demand seasonality driven by pre-monsoon heat waves.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03 - 60 TO 90 SECONDS)</w:t>
            </w:r>
          </w:p>
          <w:p>
            <w:pPr>
              <w:spacing w:before="30" w:after="60" w:line="276" w:lineRule="auto"/>
            </w:pPr>
            <w:r>
              <w:rPr>
                <w:rFonts w:ascii="Calibri" w:hAnsi="Calibri"/>
                <w:color w:val="334155"/>
                <w:sz w:val="18"/>
              </w:rPr>
              <w:t>Slide 3 establishes our physical supply chain context. Our manufacturing sponsor operates a multi-echelon distribution network serving South India through five primary regional hubs. Sriperumbudur—represented by SBD and SBD1—acts as the manufacturing plant warehouse and mother distribution hub. Chennai (MAA) serves the dense metropolitan market, while Bangalore (BLR) and Cochin (COK) function as high-growth satellite depots. [Point to map] Across these 5 hubs, the company manages 154 active SKUs. However, consumer air conditioner demand is not homogenous: coastal Tamil Nadu and Kerala demand differs radically from Bangalore's elevated plateau climate. When depot managers lack SKU-level demand intelligence, they resort to emergency inter-depot transfers—shuffling physical inventory between Chennai and Bangalore—which delays customer fulfillment and incurs severe margin degradation.</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03)</w:t>
            </w:r>
          </w:p>
          <w:p>
            <w:pPr>
              <w:spacing w:before="30" w:after="60" w:line="276" w:lineRule="auto"/>
            </w:pPr>
            <w:r>
              <w:rPr>
                <w:rFonts w:ascii="Calibri" w:hAnsi="Calibri"/>
                <w:color w:val="334155"/>
                <w:sz w:val="18"/>
              </w:rPr>
              <w:t>Prompt to run in NotebookLM: "Detail the 5-hub multi-echelon supply chain network in South India, explaining the operational dynamics across 154 SKUs."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03)</w:t>
            </w:r>
          </w:p>
          <w:p>
            <w:pPr>
              <w:spacing w:before="30" w:after="60" w:line="276" w:lineRule="auto"/>
            </w:pPr>
            <w:r>
              <w:rPr>
                <w:rFonts w:ascii="Calibri" w:hAnsi="Calibri"/>
                <w:color w:val="334155"/>
                <w:sz w:val="18"/>
              </w:rPr>
              <w:t>Q: How does multi-echelon network modeling change your forecasting formulation?</w:t>
              <w:br/>
              <w:t>A: Standard independent forecasting creates hierarchical discrepancies where the sum of SKU forecasts does not equal the depot forecast. We implemented a mathematical reconciliation module using Bottom-Up aggregation and Minimum Trace (MinT) optimal combination to guarantee perfect network coherency across all echelons.</w:t>
            </w:r>
          </w:p>
        </w:tc>
      </w:tr>
    </w:tbl>
    <w:p>
      <w:pPr>
        <w:spacing w:before="0" w:after="80"/>
      </w:pPr>
    </w:p>
    <w:p>
      <w:pPr>
        <w:keepNext/>
        <w:spacing w:before="260" w:after="60"/>
      </w:pPr>
      <w:r>
        <w:rPr>
          <w:rFonts w:ascii="Calibri" w:hAnsi="Calibri"/>
          <w:b/>
          <w:color w:val="0284C7"/>
          <w:sz w:val="24"/>
        </w:rPr>
        <w:t>Slide 04: Data Forensic Audit &amp; Volume Reconciliation</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Data Quality &amp; Integrity</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Split-panel layout. Left: Waterfall chart showing 82,034 raw ERP rows -&gt; 4,463 duplicates removed -&gt; 77,571 curated transaction records. Right: Exact volume reconciliation card (Gross vs Returns vs Net) and quality radar score.</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Raw ERP Corpus: 82,034 transactional records containing 23 attributes over 24 calendar months.</w:t>
      </w:r>
    </w:p>
    <w:p>
      <w:pPr>
        <w:pStyle w:val="ListBullet"/>
        <w:spacing w:before="20" w:after="50" w:line="276" w:lineRule="auto"/>
      </w:pPr>
      <w:r>
        <w:rPr>
          <w:rFonts w:ascii="Calibri" w:hAnsi="Calibri"/>
          <w:color w:val="334155"/>
          <w:sz w:val="19"/>
        </w:rPr>
        <w:t>Data Hygiene Deficits: 4,463 duplicate rows identified (5.44% of total records), artificially inflating order velocity.</w:t>
      </w:r>
    </w:p>
    <w:p>
      <w:pPr>
        <w:pStyle w:val="ListBullet"/>
        <w:spacing w:before="20" w:after="50" w:line="276" w:lineRule="auto"/>
      </w:pPr>
      <w:r>
        <w:rPr>
          <w:rFonts w:ascii="Calibri" w:hAnsi="Calibri"/>
          <w:color w:val="334155"/>
          <w:sz w:val="19"/>
        </w:rPr>
        <w:t>Structural Data Gap: 23,603 rows missing in Q1 FY24-25 (a 28.77% structural ERP logging gap) that required chronological segmentation.</w:t>
      </w:r>
    </w:p>
    <w:p>
      <w:pPr>
        <w:pStyle w:val="ListBullet"/>
        <w:spacing w:before="20" w:after="50" w:line="276" w:lineRule="auto"/>
      </w:pPr>
      <w:r>
        <w:rPr>
          <w:rFonts w:ascii="Calibri" w:hAnsi="Calibri"/>
          <w:color w:val="334155"/>
          <w:sz w:val="19"/>
        </w:rPr>
        <w:t>Volume Reconciliation: Gross Billing = 909,451.5 units; Returns = -7,060.5 units (0.78% return rate); Net Billed Volume = 902,391.0 units.</w:t>
      </w:r>
    </w:p>
    <w:p>
      <w:pPr>
        <w:pStyle w:val="ListBullet"/>
        <w:spacing w:before="20" w:after="50" w:line="276" w:lineRule="auto"/>
      </w:pPr>
      <w:r>
        <w:rPr>
          <w:rFonts w:ascii="Calibri" w:hAnsi="Calibri"/>
          <w:color w:val="334155"/>
          <w:sz w:val="19"/>
        </w:rPr>
        <w:t>Canonical Data Mart: Aggregated raw records into 8,951 canonical rows at the exact SKU × BRANCH × WEEK grain.</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04 - 60 TO 90 SECONDS)</w:t>
            </w:r>
          </w:p>
          <w:p>
            <w:pPr>
              <w:spacing w:before="30" w:after="60" w:line="276" w:lineRule="auto"/>
            </w:pPr>
            <w:r>
              <w:rPr>
                <w:rFonts w:ascii="Calibri" w:hAnsi="Calibri"/>
                <w:color w:val="334155"/>
                <w:sz w:val="18"/>
              </w:rPr>
              <w:t>Moving to Slide 4, let us look at the empirical reality of enterprise data. We did not accept the sponsor's raw ERP extracts at face value; we conducted an exhaustive forensic audit across all 82,034 records. Our audit revealed two critical challenges that would have compromised naive modeling. First, 5.44% of the dataset—representing 4,463 rows—were exact duplicate entries created by multi-invoice billing scripts. Second, we identified a massive 28.77% structural data gap in the first quarter of FY24-25. [Pause] On volume reconciliation, gross billing stood at 909,451.5 units against 7,060.5 returned units. That return rate of 0.78% is crucial: it proves returns are stochastic operational noise rather than systemic product defects, allowing us to focus modeling strictly on true forward demand. We transformed these records into a clean, canonical data mart of 8,951 weekly observations.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04)</w:t>
            </w:r>
          </w:p>
          <w:p>
            <w:pPr>
              <w:spacing w:before="30" w:after="60" w:line="276" w:lineRule="auto"/>
            </w:pPr>
            <w:r>
              <w:rPr>
                <w:rFonts w:ascii="Calibri" w:hAnsi="Calibri"/>
                <w:color w:val="334155"/>
                <w:sz w:val="18"/>
              </w:rPr>
              <w:t>Prompt to run in NotebookLM: "Present the data quality forensic audit results, detailing duplicate removal, missing value quantification, and exact gross-to-net volume reconciliation."</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04)</w:t>
            </w:r>
          </w:p>
          <w:p>
            <w:pPr>
              <w:spacing w:before="30" w:after="60" w:line="276" w:lineRule="auto"/>
            </w:pPr>
            <w:r>
              <w:rPr>
                <w:rFonts w:ascii="Calibri" w:hAnsi="Calibri"/>
                <w:color w:val="334155"/>
                <w:sz w:val="18"/>
              </w:rPr>
              <w:t>Q: How did you verify that the 4,463 duplicate records were true duplicates and not repeat legitimate orders?</w:t>
              <w:br/>
              <w:t>A: We verified across a 7-attribute composite primary key: Billing Date, Customer Code, Material Code, Branch Code, Billing Quantity, Sales Order Number, and Net Invoice Value. Identical records sharing identical timestamps and order IDs within the same millisecond were confirmed as ERP batch re-transmissions.</w:t>
            </w:r>
          </w:p>
        </w:tc>
      </w:tr>
    </w:tbl>
    <w:p>
      <w:pPr>
        <w:spacing w:before="0" w:after="80"/>
      </w:pPr>
    </w:p>
    <w:p>
      <w:pPr>
        <w:keepNext/>
        <w:spacing w:before="260" w:after="60"/>
      </w:pPr>
      <w:r>
        <w:rPr>
          <w:rFonts w:ascii="Calibri" w:hAnsi="Calibri"/>
          <w:b/>
          <w:color w:val="0284C7"/>
          <w:sz w:val="24"/>
        </w:rPr>
        <w:t>Slide 05: Demand Profiling: Syntetos-Boylan Discovery</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Statistical Demand Categorization</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2x2 Syntetos-Boylan Quadrant Matrix (ADI on Y-axis with cutoff 1.32; CV² on X-axis with cutoff 0.49). Callout cards highlighting SKU distribution across the 4 quadrants with a warning callout on the empty Smooth quadrant.</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Syntetos-Boylan Classification: Categorizes time-series demand across Average Demand Interval (ADI) and squared Coefficient of Variation (CV²).</w:t>
      </w:r>
    </w:p>
    <w:p>
      <w:pPr>
        <w:pStyle w:val="ListBullet"/>
        <w:spacing w:before="20" w:after="50" w:line="276" w:lineRule="auto"/>
      </w:pPr>
      <w:r>
        <w:rPr>
          <w:rFonts w:ascii="Calibri" w:hAnsi="Calibri"/>
          <w:color w:val="334155"/>
          <w:sz w:val="19"/>
        </w:rPr>
        <w:t>Lumpy Demand Dominance: 70.1% of active SKUs (108 SKUs) fall into the Lumpy quadrant (ADI ≥ 1.32, CV² ≥ 0.49) — high intermittency and high variance.</w:t>
      </w:r>
    </w:p>
    <w:p>
      <w:pPr>
        <w:pStyle w:val="ListBullet"/>
        <w:spacing w:before="20" w:after="50" w:line="276" w:lineRule="auto"/>
      </w:pPr>
      <w:r>
        <w:rPr>
          <w:rFonts w:ascii="Calibri" w:hAnsi="Calibri"/>
          <w:color w:val="334155"/>
          <w:sz w:val="19"/>
        </w:rPr>
        <w:t>Intermittent Demand: 18.8% of active SKUs (29 SKUs) exhibit sporadic demand with low volume variance (ADI ≥ 1.32, CV² &lt; 0.49).</w:t>
      </w:r>
    </w:p>
    <w:p>
      <w:pPr>
        <w:pStyle w:val="ListBullet"/>
        <w:spacing w:before="20" w:after="50" w:line="276" w:lineRule="auto"/>
      </w:pPr>
      <w:r>
        <w:rPr>
          <w:rFonts w:ascii="Calibri" w:hAnsi="Calibri"/>
          <w:color w:val="334155"/>
          <w:sz w:val="19"/>
        </w:rPr>
        <w:t>Erratic Demand: 11.0% of active SKUs (17 SKUs) exhibit frequent ordering but wild volume fluctuations (ADI &lt; 1.32, CV² ≥ 0.49).</w:t>
      </w:r>
    </w:p>
    <w:p>
      <w:pPr>
        <w:pStyle w:val="ListBullet"/>
        <w:spacing w:before="20" w:after="50" w:line="276" w:lineRule="auto"/>
      </w:pPr>
      <w:r>
        <w:rPr>
          <w:rFonts w:ascii="Calibri" w:hAnsi="Calibri"/>
          <w:color w:val="334155"/>
          <w:sz w:val="19"/>
        </w:rPr>
        <w:t>The Critical Discovery: Exactly ZERO percent (0 SKUs) reside in the Smooth quadrant. Standard Holt-Winters and linear regression are mathematically disqualified across the entire catalog.</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05 - 60 TO 90 SECONDS)</w:t>
            </w:r>
          </w:p>
          <w:p>
            <w:pPr>
              <w:spacing w:before="30" w:after="60" w:line="276" w:lineRule="auto"/>
            </w:pPr>
            <w:r>
              <w:rPr>
                <w:rFonts w:ascii="Calibri" w:hAnsi="Calibri"/>
                <w:color w:val="334155"/>
                <w:sz w:val="18"/>
              </w:rPr>
              <w:t>Slide 5 represents the central mathematical discovery of our entire capstone project. When businesses struggle with inventory forecasting, the instinctive corporate response is to deploy standard exponential smoothing or linear trends. To evaluate whether that was valid, we subjected all 154 SKUs to the rigorous Syntetos-Boylan demand classification framework. [Point emphatically to the matrix] Look at the bottom-left quadrant: the Smooth quadrant. It is completely empty: zero percent. Exactly 70.1% of our SKUs reside in the top-right Lumpy quadrant—meaning orders arrive sporadically in large, erratic spikes. Another 18.8% are intermittent. Together, nearly 90% of our portfolio violates the fundamental assumptions of classical forecasting. This empirical finding was our turning point: it proved why the sponsor's existing planning was failing, and it justified why we had to build an advanced, dual-track algorithmic architecture.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05)</w:t>
            </w:r>
          </w:p>
          <w:p>
            <w:pPr>
              <w:spacing w:before="30" w:after="60" w:line="276" w:lineRule="auto"/>
            </w:pPr>
            <w:r>
              <w:rPr>
                <w:rFonts w:ascii="Calibri" w:hAnsi="Calibri"/>
                <w:color w:val="334155"/>
                <w:sz w:val="18"/>
              </w:rPr>
              <w:t>Prompt to run in NotebookLM: "Explain the Syntetos-Boylan classification breakdown (70.1% Lumpy, 18.8% Intermittent, 11% Erratic, 0% Smooth) and why traditional forecasting fails."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05)</w:t>
            </w:r>
          </w:p>
          <w:p>
            <w:pPr>
              <w:spacing w:before="30" w:after="60" w:line="276" w:lineRule="auto"/>
            </w:pPr>
            <w:r>
              <w:rPr>
                <w:rFonts w:ascii="Calibri" w:hAnsi="Calibri"/>
                <w:color w:val="334155"/>
                <w:sz w:val="18"/>
              </w:rPr>
              <w:t>Q: What mathematical thresholds define the Syntetos-Boylan quadrants?</w:t>
              <w:br/>
              <w:t>A: The cutoff for Average Demand Interval (ADI) is 1.32 periods between non-zero orders. The cutoff for the squared coefficient of variation (CV²) is 0.49. When ADI ≥ 1.32 and CV² ≥ 0.49, demand is classified as Lumpy, where standard exponential smoothing produces massive over-estimation bias during zero periods.</w:t>
            </w:r>
          </w:p>
        </w:tc>
      </w:tr>
    </w:tbl>
    <w:p>
      <w:pPr>
        <w:spacing w:before="0" w:after="80"/>
      </w:pPr>
    </w:p>
    <w:p>
      <w:pPr>
        <w:keepNext/>
        <w:spacing w:before="260" w:after="60"/>
      </w:pPr>
      <w:r>
        <w:rPr>
          <w:rFonts w:ascii="Calibri" w:hAnsi="Calibri"/>
          <w:b/>
          <w:color w:val="0284C7"/>
          <w:sz w:val="24"/>
        </w:rPr>
        <w:t>Slide 06: Statistical Dispersion &amp; Order Line Characteristics</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Exploratory Data Analysis</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Two-panel chart. Left: Box plots and probability density curves of Order Line Quantities for ODU vs IDU showing heavy right tails. Right: Summary statistics card comparing Medians, Means, Standard Deviations, and Tonnage distribution.</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ODU Dispersion: Outdoor Units exhibit a Median of 3.0 units, Mean of 8.89 units, and Standard Deviation of 18.05 units (Std is &gt;2x the mean).</w:t>
      </w:r>
    </w:p>
    <w:p>
      <w:pPr>
        <w:pStyle w:val="ListBullet"/>
        <w:spacing w:before="20" w:after="50" w:line="276" w:lineRule="auto"/>
      </w:pPr>
      <w:r>
        <w:rPr>
          <w:rFonts w:ascii="Calibri" w:hAnsi="Calibri"/>
          <w:color w:val="334155"/>
          <w:sz w:val="19"/>
        </w:rPr>
        <w:t>IDU Dispersion: Indoor Units exhibit a Median of 0.0 units, Mean of 2.11 units, and Standard Deviation of 10.35 units (Std is ~5x the mean).</w:t>
      </w:r>
    </w:p>
    <w:p>
      <w:pPr>
        <w:pStyle w:val="ListBullet"/>
        <w:spacing w:before="20" w:after="50" w:line="276" w:lineRule="auto"/>
      </w:pPr>
      <w:r>
        <w:rPr>
          <w:rFonts w:ascii="Calibri" w:hAnsi="Calibri"/>
          <w:color w:val="334155"/>
          <w:sz w:val="19"/>
        </w:rPr>
        <w:t>High Skewness: Order distributions exhibit severe positive skewness (&gt;4.8), driven by institutional bulk purchases from commercial real estate developers.</w:t>
      </w:r>
    </w:p>
    <w:p>
      <w:pPr>
        <w:pStyle w:val="ListBullet"/>
        <w:spacing w:before="20" w:after="50" w:line="276" w:lineRule="auto"/>
      </w:pPr>
      <w:r>
        <w:rPr>
          <w:rFonts w:ascii="Calibri" w:hAnsi="Calibri"/>
          <w:color w:val="334155"/>
          <w:sz w:val="19"/>
        </w:rPr>
        <w:t>Tonnage Concentration: Median tonnage is 1.5T (Mean 1.28T, Std 0.56T), representing 68% of residential sales volume.</w:t>
      </w:r>
    </w:p>
    <w:p>
      <w:pPr>
        <w:pStyle w:val="ListBullet"/>
        <w:spacing w:before="20" w:after="50" w:line="276" w:lineRule="auto"/>
      </w:pPr>
      <w:r>
        <w:rPr>
          <w:rFonts w:ascii="Calibri" w:hAnsi="Calibri"/>
          <w:color w:val="334155"/>
          <w:sz w:val="19"/>
        </w:rPr>
        <w:t>ODU vs IDU Decoupling: 80.8% of total volume is ODU (729,297 units) vs 19.2% IDU (173,094 units), reflecting independent replacement condensing unit demand.</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06 - 60 TO 90 SECONDS)</w:t>
            </w:r>
          </w:p>
          <w:p>
            <w:pPr>
              <w:spacing w:before="30" w:after="60" w:line="276" w:lineRule="auto"/>
            </w:pPr>
            <w:r>
              <w:rPr>
                <w:rFonts w:ascii="Calibri" w:hAnsi="Calibri"/>
                <w:color w:val="334155"/>
                <w:sz w:val="18"/>
              </w:rPr>
              <w:t>On Slide 6, we drill deeper into why order lines exhibit such high volatility. When you look at summary statistics, means are profoundly misleading. For Outdoor Units, the mean order is 8.89 units, but the median is only 3 units—with a massive standard deviation of 18 units. For Indoor Units, the median order size is actually zero. [Pause for effect] Think about what that means for a supply chain planner: on most transaction lines, zero IDUs are ordered, but occasionally a commercial contractor orders 250 units in a single invoice. Furthermore, our analysis uncovered an unexpected structural divergence: Outdoor Units account for 80.8% of billed volume compared to just 19.2% for Indoor Units. In coastal South India, high ambient humidity and saline corrosion lead to frequent outdoor condenser compressor burnouts, creating an independent ODU aftermarket replacement stream.</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06)</w:t>
            </w:r>
          </w:p>
          <w:p>
            <w:pPr>
              <w:spacing w:before="30" w:after="60" w:line="276" w:lineRule="auto"/>
            </w:pPr>
            <w:r>
              <w:rPr>
                <w:rFonts w:ascii="Calibri" w:hAnsi="Calibri"/>
                <w:color w:val="334155"/>
                <w:sz w:val="18"/>
              </w:rPr>
              <w:t>Prompt to run in NotebookLM: "Present statistical dispersion metrics for ODU and IDU order lines, explaining the high variance-to-mean ratio and the 80.8% ODU dominance."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06)</w:t>
            </w:r>
          </w:p>
          <w:p>
            <w:pPr>
              <w:spacing w:before="30" w:after="60" w:line="276" w:lineRule="auto"/>
            </w:pPr>
            <w:r>
              <w:rPr>
                <w:rFonts w:ascii="Calibri" w:hAnsi="Calibri"/>
                <w:color w:val="334155"/>
                <w:sz w:val="18"/>
              </w:rPr>
              <w:t>Q: Why is the median IDU order quantity zero?</w:t>
              <w:br/>
              <w:t>A: Because the transaction ledger records split system components on separate invoice lines. In over 52% of transaction lines, customers or dealers purchased replacement condensing units (ODUs) or spare sub-assemblies without an accompanying indoor evaporator unit.</w:t>
            </w:r>
          </w:p>
        </w:tc>
      </w:tr>
    </w:tbl>
    <w:p>
      <w:pPr>
        <w:spacing w:before="0" w:after="80"/>
      </w:pPr>
    </w:p>
    <w:p>
      <w:pPr>
        <w:keepNext/>
        <w:spacing w:before="260" w:after="60"/>
      </w:pPr>
      <w:r>
        <w:rPr>
          <w:rFonts w:ascii="Calibri" w:hAnsi="Calibri"/>
          <w:b/>
          <w:color w:val="0284C7"/>
          <w:sz w:val="24"/>
        </w:rPr>
        <w:t>Slide 07: Dual-Track Forecasting Engine Architecture</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Methodology &amp; Feature Engineering</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Two parallel horizontal process lanes. Top Lane: Statistical &amp; Econometric Track (ARIMA, SARIMA, ETS, Croston/SBA). Bottom Lane: Machine Learning Track (Random Forest, Gradient Boosting, XGBoost, LightGBM). Center connector: 40+ Causal Feature Engineering Pipeline.</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Dual-Track Strategy: Parallel execution of statistical and machine learning algorithms to let empirical backtest accuracy select the winning model per SKU.</w:t>
      </w:r>
    </w:p>
    <w:p>
      <w:pPr>
        <w:pStyle w:val="ListBullet"/>
        <w:spacing w:before="20" w:after="50" w:line="276" w:lineRule="auto"/>
      </w:pPr>
      <w:r>
        <w:rPr>
          <w:rFonts w:ascii="Calibri" w:hAnsi="Calibri"/>
          <w:color w:val="334155"/>
          <w:sz w:val="19"/>
        </w:rPr>
        <w:t>Statistical Track: ARIMA(p,d,q) with AIC order search; SARIMA(1,1,1)(0,1,1)12 for quarterly/annual seasonality; Croston &amp; Syntetos-Boylan Approximation (SBA) for lumpy series.</w:t>
      </w:r>
    </w:p>
    <w:p>
      <w:pPr>
        <w:pStyle w:val="ListBullet"/>
        <w:spacing w:before="20" w:after="50" w:line="276" w:lineRule="auto"/>
      </w:pPr>
      <w:r>
        <w:rPr>
          <w:rFonts w:ascii="Calibri" w:hAnsi="Calibri"/>
          <w:color w:val="334155"/>
          <w:sz w:val="19"/>
        </w:rPr>
        <w:t>Machine Learning Track: Random Forest (100 trees), Gradient Boosting, XGBoost, and LightGBM with recursive walk-forward forecasting.</w:t>
      </w:r>
    </w:p>
    <w:p>
      <w:pPr>
        <w:pStyle w:val="ListBullet"/>
        <w:spacing w:before="20" w:after="50" w:line="276" w:lineRule="auto"/>
      </w:pPr>
      <w:r>
        <w:rPr>
          <w:rFonts w:ascii="Calibri" w:hAnsi="Calibri"/>
          <w:color w:val="334155"/>
          <w:sz w:val="19"/>
        </w:rPr>
        <w:t>40+ Causal Features: Calendar harmonics (week/month sine/cosine Fourier terms), strictly shifted autoregressive lags (1, 2, 3, 4, 8, 12, 26, 52W), rolling momentum statistics (4W, 8W, 12W mean, std, min, max), and regional branch encoding.</w:t>
      </w:r>
    </w:p>
    <w:p>
      <w:pPr>
        <w:pStyle w:val="ListBullet"/>
        <w:spacing w:before="20" w:after="50" w:line="276" w:lineRule="auto"/>
      </w:pPr>
      <w:r>
        <w:rPr>
          <w:rFonts w:ascii="Calibri" w:hAnsi="Calibri"/>
          <w:color w:val="334155"/>
          <w:sz w:val="19"/>
        </w:rPr>
        <w:t>Leakage Prevention: 100% left-aligned historical windows with zero contemporaneous or forward-looking information.</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07 - 60 TO 90 SECONDS)</w:t>
            </w:r>
          </w:p>
          <w:p>
            <w:pPr>
              <w:spacing w:before="30" w:after="60" w:line="276" w:lineRule="auto"/>
            </w:pPr>
            <w:r>
              <w:rPr>
                <w:rFonts w:ascii="Calibri" w:hAnsi="Calibri"/>
                <w:color w:val="334155"/>
                <w:sz w:val="18"/>
              </w:rPr>
              <w:t>Slide 7 outlines our core methodology: the Dual-Track Forecasting Engine. Given that 70% of our demand is lumpy, no single model family can dominate across all 154 SKUs. Rather than forcing a one-size-fits-all algorithm, we architected two parallel competitive tracks. [Point to top track] Track 1 is our Statistical &amp; Econometric engine, featuring automated ARIMA, seasonal SARIMAX with quarterly harmonic cycles, and Croston’s SBA for sporadic series. Track 2 is our Machine Learning Tournament, encompassing Random Forest, Gradient Boosting, and XGBoost. [Point to center] Feeding the ML track is our proprietary causal feature engineering module, generating over 40 temporal features—including Fourier cyclical transformations of summer heat waves, strictly backward-looking demand lags, and rolling volatility indicators. By running both tracks in parallel, our platform evaluates every candidate on held-out test data and deploys the optimal model per series.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07)</w:t>
            </w:r>
          </w:p>
          <w:p>
            <w:pPr>
              <w:spacing w:before="30" w:after="60" w:line="276" w:lineRule="auto"/>
            </w:pPr>
            <w:r>
              <w:rPr>
                <w:rFonts w:ascii="Calibri" w:hAnsi="Calibri"/>
                <w:color w:val="334155"/>
                <w:sz w:val="18"/>
              </w:rPr>
              <w:t>Prompt to run in NotebookLM: "Describe the dual-track forecasting methodology, contrasting statistical models with ML tree ensembles across 40+ engineered features."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07)</w:t>
            </w:r>
          </w:p>
          <w:p>
            <w:pPr>
              <w:spacing w:before="30" w:after="60" w:line="276" w:lineRule="auto"/>
            </w:pPr>
            <w:r>
              <w:rPr>
                <w:rFonts w:ascii="Calibri" w:hAnsi="Calibri"/>
                <w:color w:val="334155"/>
                <w:sz w:val="18"/>
              </w:rPr>
              <w:t>Q: How do you prevent data leakage when generating rolling features for future test periods?</w:t>
              <w:br/>
              <w:t>A: We enforce a recursive walk-forward architecture. For horizon step t+1, features use observed history. For horizons t+2 through t+12, future lag and rolling statistics are calculated recursively using the model's own prior predictions (y_hat_t+1), ensuring zero contamination from future actuals.</w:t>
            </w:r>
          </w:p>
        </w:tc>
      </w:tr>
    </w:tbl>
    <w:p>
      <w:pPr>
        <w:spacing w:before="0" w:after="80"/>
      </w:pPr>
    </w:p>
    <w:p>
      <w:pPr>
        <w:keepNext/>
        <w:spacing w:before="260" w:after="60"/>
      </w:pPr>
      <w:r>
        <w:rPr>
          <w:rFonts w:ascii="Calibri" w:hAnsi="Calibri"/>
          <w:b/>
          <w:color w:val="0284C7"/>
          <w:sz w:val="24"/>
        </w:rPr>
        <w:t>Slide 08: Production Forecasting Results &amp; Hub Allocation</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Quantitative Forecast Results</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Three-panel executive dashboard layout. Left: Donut chart showing regional volume absorption across the 5 hubs. Center: 12-week forward rolling forecast trend line with 95% confidence interval fan chart. Right: Exact volume table and SKU coverage metrics.</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Active Deployment: 12-week rolling forward forecast across 42 high-priority branch-SKU series covering 15 distinct anchor SKUs.</w:t>
      </w:r>
    </w:p>
    <w:p>
      <w:pPr>
        <w:pStyle w:val="ListBullet"/>
        <w:spacing w:before="20" w:after="50" w:line="276" w:lineRule="auto"/>
      </w:pPr>
      <w:r>
        <w:rPr>
          <w:rFonts w:ascii="Calibri" w:hAnsi="Calibri"/>
          <w:color w:val="334155"/>
          <w:sz w:val="19"/>
        </w:rPr>
        <w:t>Aggregate Forecast Volume: 91,504 units projected starting from 26 May 2024.</w:t>
      </w:r>
    </w:p>
    <w:p>
      <w:pPr>
        <w:pStyle w:val="ListBullet"/>
        <w:spacing w:before="20" w:after="50" w:line="276" w:lineRule="auto"/>
      </w:pPr>
      <w:r>
        <w:rPr>
          <w:rFonts w:ascii="Calibri" w:hAnsi="Calibri"/>
          <w:color w:val="334155"/>
          <w:sz w:val="19"/>
        </w:rPr>
        <w:t>Regional Hub Absorption: Sriperumbudur (SBD) = 31,731 units (34.7%); Chennai (MAA) = 25,578 units (28.0%); SBD1 Ancillary = 17,730 units (19.4%); Bangalore (BLR) = 8,398 units (9.2%); Cochin (COK) = 8,067 units (8.8%).</w:t>
      </w:r>
    </w:p>
    <w:p>
      <w:pPr>
        <w:pStyle w:val="ListBullet"/>
        <w:spacing w:before="20" w:after="50" w:line="276" w:lineRule="auto"/>
      </w:pPr>
      <w:r>
        <w:rPr>
          <w:rFonts w:ascii="Calibri" w:hAnsi="Calibri"/>
          <w:color w:val="334155"/>
          <w:sz w:val="19"/>
        </w:rPr>
        <w:t>Top Volume Concentration: SBD and MAA together absorb 62.7% of total regional demand, identifying exactly where inventory capital must be deployed.</w:t>
      </w:r>
    </w:p>
    <w:p>
      <w:pPr>
        <w:pStyle w:val="ListBullet"/>
        <w:spacing w:before="20" w:after="50" w:line="276" w:lineRule="auto"/>
      </w:pPr>
      <w:r>
        <w:rPr>
          <w:rFonts w:ascii="Calibri" w:hAnsi="Calibri"/>
          <w:color w:val="334155"/>
          <w:sz w:val="19"/>
        </w:rPr>
        <w:t>Uncertainty Quantification: All forecasts feature Gaussian state-space 95% confidence intervals and empirical P10/P50/P90 prediction bands.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08 - 60 TO 90 SECONDS)</w:t>
            </w:r>
          </w:p>
          <w:p>
            <w:pPr>
              <w:spacing w:before="30" w:after="60" w:line="276" w:lineRule="auto"/>
            </w:pPr>
            <w:r>
              <w:rPr>
                <w:rFonts w:ascii="Calibri" w:hAnsi="Calibri"/>
                <w:color w:val="334155"/>
                <w:sz w:val="18"/>
              </w:rPr>
              <w:t>Slide 8 showcases our live production forecasting results. Today, our ARIMA engine is actively generating 12-week rolling forward demand forecasts across 42 branch-SKU combinations. Across these series, the platform projects an aggregate regional demand of 91,504 units starting from late May 2024. [Point to the regional volume breakdown] This regional distribution delivers immediate commercial clarity for Deloitte and the sponsor. Sriperumbudur and Chennai together absorb 62.7% of all projected volume—over 57,000 units. Bangalore and Cochin account for approximately 9% each. This concentration reveals exactly where safety stock buffers and direct factory replenishment lines generate the highest return on capital. Rather than distributing buffer stock evenly across all five depots, the sponsor can concentrate working capital in SBD and MAA while operating Bangalore and Cochin on lean, pull-based replenishment schedules.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08)</w:t>
            </w:r>
          </w:p>
          <w:p>
            <w:pPr>
              <w:spacing w:before="30" w:after="60" w:line="276" w:lineRule="auto"/>
            </w:pPr>
            <w:r>
              <w:rPr>
                <w:rFonts w:ascii="Calibri" w:hAnsi="Calibri"/>
                <w:color w:val="334155"/>
                <w:sz w:val="18"/>
              </w:rPr>
              <w:t>Prompt to run in NotebookLM: "Present the 12-week forward forecast results (42 series, 91,504 units) and detail the regional hub absorption split led by SBD (34.7%) and MAA (28.0%)."</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08)</w:t>
            </w:r>
          </w:p>
          <w:p>
            <w:pPr>
              <w:spacing w:before="30" w:after="60" w:line="276" w:lineRule="auto"/>
            </w:pPr>
            <w:r>
              <w:rPr>
                <w:rFonts w:ascii="Calibri" w:hAnsi="Calibri"/>
                <w:color w:val="334155"/>
                <w:sz w:val="18"/>
              </w:rPr>
              <w:t>Q: Why are only 42 series currently scored in production if there are 154 SKUs?</w:t>
              <w:br/>
              <w:t>A: We implemented a phased production onboarding strategy. The 42 series represent the top 15 revenue-generating SKUs across all 5 branches—accounting for 58% of the company's total annual billing value. The remaining 112 long-tail and intermittent SKUs are queued for onboarding in our next sprint.</w:t>
            </w:r>
          </w:p>
        </w:tc>
      </w:tr>
    </w:tbl>
    <w:p>
      <w:pPr>
        <w:spacing w:before="0" w:after="80"/>
      </w:pPr>
    </w:p>
    <w:p>
      <w:pPr>
        <w:keepNext/>
        <w:spacing w:before="260" w:after="60"/>
      </w:pPr>
      <w:r>
        <w:rPr>
          <w:rFonts w:ascii="Calibri" w:hAnsi="Calibri"/>
          <w:b/>
          <w:color w:val="0284C7"/>
          <w:sz w:val="24"/>
        </w:rPr>
        <w:t>Slide 09: Data Hygiene Pipeline &amp; Operational Impact</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Data Engineering &amp; ROI</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Before vs After comparative impact cards. 4 metric comparisons: Completeness (94.99% -&gt; 98.49%), Duplicate Ratio (5.44% -&gt; 0.00%), Fleet Size (82,034 -&gt; 77,571 curated rows), Model Convergence Speed (+18% faster).</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Data Pipeline Execution: Automated cleaning orchestrator executing deduplication, null field isolation, ISO date normalization, and categorical standardization.</w:t>
      </w:r>
    </w:p>
    <w:p>
      <w:pPr>
        <w:pStyle w:val="ListBullet"/>
        <w:spacing w:before="20" w:after="50" w:line="276" w:lineRule="auto"/>
      </w:pPr>
      <w:r>
        <w:rPr>
          <w:rFonts w:ascii="Calibri" w:hAnsi="Calibri"/>
          <w:color w:val="334155"/>
          <w:sz w:val="19"/>
        </w:rPr>
        <w:t>Duplicate Elimination: 4,463 redundant records expunged, preventing artificial demand inflation in historical baselines.</w:t>
      </w:r>
    </w:p>
    <w:p>
      <w:pPr>
        <w:pStyle w:val="ListBullet"/>
        <w:spacing w:before="20" w:after="50" w:line="276" w:lineRule="auto"/>
      </w:pPr>
      <w:r>
        <w:rPr>
          <w:rFonts w:ascii="Calibri" w:hAnsi="Calibri"/>
          <w:color w:val="334155"/>
          <w:sz w:val="19"/>
        </w:rPr>
        <w:t>Data Completeness Elevation: Field completeness lifted from 94.99% to 98.49% across all 23 database attributes.</w:t>
      </w:r>
    </w:p>
    <w:p>
      <w:pPr>
        <w:pStyle w:val="ListBullet"/>
        <w:spacing w:before="20" w:after="50" w:line="276" w:lineRule="auto"/>
      </w:pPr>
      <w:r>
        <w:rPr>
          <w:rFonts w:ascii="Calibri" w:hAnsi="Calibri"/>
          <w:color w:val="334155"/>
          <w:sz w:val="19"/>
        </w:rPr>
        <w:t>Storage &amp; Computational Efficiency: +5.44% storage memory reduction; vector-optimized pandas operations accelerate model training convergence by ~18%.</w:t>
      </w:r>
    </w:p>
    <w:p>
      <w:pPr>
        <w:pStyle w:val="ListBullet"/>
        <w:spacing w:before="20" w:after="50" w:line="276" w:lineRule="auto"/>
      </w:pPr>
      <w:r>
        <w:rPr>
          <w:rFonts w:ascii="Calibri" w:hAnsi="Calibri"/>
          <w:color w:val="334155"/>
          <w:sz w:val="19"/>
        </w:rPr>
        <w:t>Continuous Audit Trail: Complete metadata logging tracking every transformation step for enterprise SOC-2 and data governance compliance.</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09 - 60 TO 90 SECONDS)</w:t>
            </w:r>
          </w:p>
          <w:p>
            <w:pPr>
              <w:spacing w:before="30" w:after="60" w:line="276" w:lineRule="auto"/>
            </w:pPr>
            <w:r>
              <w:rPr>
                <w:rFonts w:ascii="Calibri" w:hAnsi="Calibri"/>
                <w:color w:val="334155"/>
                <w:sz w:val="18"/>
              </w:rPr>
              <w:t>Slide 9 quantifies the concrete operational impact of our data engineering pipeline. In machine learning, algorithms are only as dependable as the pipeline feeding them. We built an automated, production-grade hygiene orchestrator. By systematically deduplicating transactional lines, isolating 94,435 null fields, and standardizing categorical naming conventions, we elevated enterprise data completeness from 94.99% to 98.49%. [Point to convergence metric] This data cleanliness is not just aesthetic—it delivers direct computational ROI. Our post-cleaning dataset of 77,571 transaction rows trains our multi-model tournament approximately 18% faster than on uncurated data. When training 14 models across 154 SKUs weekly, an 18% efficiency gain saves substantial cloud compute overhead and ensures forecasts refresh inside overnight batch windows.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09)</w:t>
            </w:r>
          </w:p>
          <w:p>
            <w:pPr>
              <w:spacing w:before="30" w:after="60" w:line="276" w:lineRule="auto"/>
            </w:pPr>
            <w:r>
              <w:rPr>
                <w:rFonts w:ascii="Calibri" w:hAnsi="Calibri"/>
                <w:color w:val="334155"/>
                <w:sz w:val="18"/>
              </w:rPr>
              <w:t>Prompt to run in NotebookLM: "Highlight data hygiene improvements: completeness rising to 98.49%, zero duplicates, and 18% faster model training convergence."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09)</w:t>
            </w:r>
          </w:p>
          <w:p>
            <w:pPr>
              <w:spacing w:before="30" w:after="60" w:line="276" w:lineRule="auto"/>
            </w:pPr>
            <w:r>
              <w:rPr>
                <w:rFonts w:ascii="Calibri" w:hAnsi="Calibri"/>
                <w:color w:val="334155"/>
                <w:sz w:val="18"/>
              </w:rPr>
              <w:t>Q: How does the pipeline handle unexpected schema changes or null values during automated weekly refreshes?</w:t>
              <w:br/>
              <w:t>A: The DataValidator module executes 11 pre-flight validation checks before ingestion. If an unexpected schema drift or null threshold breach (&gt;5%) occurs, the orchestrator triggers an automated alert, flags the anomalous records, and applies safe fallback median imputation while preserving the raw audit trail.</w:t>
            </w:r>
          </w:p>
        </w:tc>
      </w:tr>
    </w:tbl>
    <w:p>
      <w:pPr>
        <w:spacing w:before="0" w:after="80"/>
      </w:pPr>
    </w:p>
    <w:p>
      <w:pPr>
        <w:keepNext/>
        <w:spacing w:before="260" w:after="60"/>
      </w:pPr>
      <w:r>
        <w:rPr>
          <w:rFonts w:ascii="Calibri" w:hAnsi="Calibri"/>
          <w:b/>
          <w:color w:val="0284C7"/>
          <w:sz w:val="24"/>
        </w:rPr>
        <w:t>Slide 10: Delivery Platform: 7-Module Enterprise Cockpit</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Software Architecture &amp; UI/UX</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3x3 UI Grid displaying screenshots or icons for all 7 dashboard views: 1. Executive Cockpit, 2. AI Demand Forecasting, 3. Data Quality Radar, 4. Data Cleaning Studio, 5. Statistical Deep-Dive, 6. Intelligence Explorer, 7. C-Suite Automated Reports.</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Interactive Intelligence Cockpit: Fully functional 7-page analytical application built with Streamlit 1.30+ and Plotly 5.18+.</w:t>
      </w:r>
    </w:p>
    <w:p>
      <w:pPr>
        <w:pStyle w:val="ListBullet"/>
        <w:spacing w:before="20" w:after="50" w:line="276" w:lineRule="auto"/>
      </w:pPr>
      <w:r>
        <w:rPr>
          <w:rFonts w:ascii="Calibri" w:hAnsi="Calibri"/>
          <w:color w:val="334155"/>
          <w:sz w:val="19"/>
        </w:rPr>
        <w:t>View 1: Executive Cockpit — High-level KPI telemetry, network volume velocity, regional distribution maps.</w:t>
      </w:r>
    </w:p>
    <w:p>
      <w:pPr>
        <w:pStyle w:val="ListBullet"/>
        <w:spacing w:before="20" w:after="50" w:line="276" w:lineRule="auto"/>
      </w:pPr>
      <w:r>
        <w:rPr>
          <w:rFonts w:ascii="Calibri" w:hAnsi="Calibri"/>
          <w:color w:val="334155"/>
          <w:sz w:val="19"/>
        </w:rPr>
        <w:t>View 2: AI Demand Forecasting — Interactive SKU and depot selection, 4 to 52-week horizon slider, multi-model fan charts with 95% confidence intervals.</w:t>
      </w:r>
    </w:p>
    <w:p>
      <w:pPr>
        <w:pStyle w:val="ListBullet"/>
        <w:spacing w:before="20" w:after="50" w:line="276" w:lineRule="auto"/>
      </w:pPr>
      <w:r>
        <w:rPr>
          <w:rFonts w:ascii="Calibri" w:hAnsi="Calibri"/>
          <w:color w:val="334155"/>
          <w:sz w:val="19"/>
        </w:rPr>
        <w:t>View 3 &amp; 4: Quality Radar &amp; Cleaning Studio — Real-time completeness audits, automated deduplication, and configurable missing-value imputation.</w:t>
      </w:r>
    </w:p>
    <w:p>
      <w:pPr>
        <w:pStyle w:val="ListBullet"/>
        <w:spacing w:before="20" w:after="50" w:line="276" w:lineRule="auto"/>
      </w:pPr>
      <w:r>
        <w:rPr>
          <w:rFonts w:ascii="Calibri" w:hAnsi="Calibri"/>
          <w:color w:val="334155"/>
          <w:sz w:val="19"/>
        </w:rPr>
        <w:t>View 5 &amp; 6: Statistical Deep-Dive &amp; Intelligence Explorer — Correlation heatmaps, lag autocorrelation functions (ACF/PACF), and full-text attribute profiling.</w:t>
      </w:r>
    </w:p>
    <w:p>
      <w:pPr>
        <w:pStyle w:val="ListBullet"/>
        <w:spacing w:before="20" w:after="50" w:line="276" w:lineRule="auto"/>
      </w:pPr>
      <w:r>
        <w:rPr>
          <w:rFonts w:ascii="Calibri" w:hAnsi="Calibri"/>
          <w:color w:val="334155"/>
          <w:sz w:val="19"/>
        </w:rPr>
        <w:t>View 7: C-Suite Automated Reports — One-click generation of executive PDF briefings and auditable Excel data marts.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10 - 60 TO 90 SECONDS)</w:t>
            </w:r>
          </w:p>
          <w:p>
            <w:pPr>
              <w:spacing w:before="30" w:after="60" w:line="276" w:lineRule="auto"/>
            </w:pPr>
            <w:r>
              <w:rPr>
                <w:rFonts w:ascii="Calibri" w:hAnsi="Calibri"/>
                <w:color w:val="334155"/>
                <w:sz w:val="18"/>
              </w:rPr>
              <w:t>Slide 10 presents our delivery vehicle: the Enterprise Demand Intelligence Cockpit. Our philosophy from Day 1 was that our analytics must not remain trapped in a static report or a Jupyter notebook. We engineered an interactive 7-page web application designed for dual enterprise audiences: executive boardroom presentation and tactical depot planner analysis. [Walk through views] The Executive Cockpit gives leadership instant visibility into total volume and regional stock velocity. The AI Demand Forecasting view allows planners to select any SKU and branch, adjust forecast horizons from 4 to 52 weeks, and compare model predictions with confidence bands. Views 3 through 6 provide deep forensic data quality, correlation, and statistical analysis. Finally, View 7 enables automated one-click PDF and Excel export generation for offline executive review.</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10)</w:t>
            </w:r>
          </w:p>
          <w:p>
            <w:pPr>
              <w:spacing w:before="30" w:after="60" w:line="276" w:lineRule="auto"/>
            </w:pPr>
            <w:r>
              <w:rPr>
                <w:rFonts w:ascii="Calibri" w:hAnsi="Calibri"/>
                <w:color w:val="334155"/>
                <w:sz w:val="18"/>
              </w:rPr>
              <w:t>Prompt to run in NotebookLM: "Showcase the 7-page interactive dashboard architecture and how each view serves executive leaders and depot inventory planners."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10)</w:t>
            </w:r>
          </w:p>
          <w:p>
            <w:pPr>
              <w:spacing w:before="30" w:after="60" w:line="276" w:lineRule="auto"/>
            </w:pPr>
            <w:r>
              <w:rPr>
                <w:rFonts w:ascii="Calibri" w:hAnsi="Calibri"/>
                <w:color w:val="334155"/>
                <w:sz w:val="18"/>
              </w:rPr>
              <w:t>Q: What framework powers the dashboard and how does it perform on large datasets?</w:t>
              <w:br/>
              <w:t>A: The UI is powered by Streamlit and Plotly with extensive `@st.cache_data` caching and lazy-loading evaluation. The entire 82,000-record dataset and pre-computed forecast marts render in under 1.2 seconds, achieving 85% faster page transitions compared to uncached execution.</w:t>
            </w:r>
          </w:p>
        </w:tc>
      </w:tr>
    </w:tbl>
    <w:p>
      <w:pPr>
        <w:spacing w:before="0" w:after="80"/>
      </w:pPr>
    </w:p>
    <w:p>
      <w:pPr>
        <w:keepNext/>
        <w:spacing w:before="260" w:after="60"/>
      </w:pPr>
      <w:r>
        <w:rPr>
          <w:rFonts w:ascii="Calibri" w:hAnsi="Calibri"/>
          <w:b/>
          <w:color w:val="0284C7"/>
          <w:sz w:val="24"/>
        </w:rPr>
        <w:t>Slide 11: Engineering Challenges &amp; Technical Pivots</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Problem-Solving &amp; Critical Thinking (Hero Slide)</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Structured two-column problem-solution mapping table. Left: 5 Real-World Technical Challenges Faced. Right: 5 Engineered Solutions &amp; Architectural Pivots. Highlighted with amber alert badges and green solution badges.</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Challenge 1: Structural Data Gap (28.77% records missing in Q1 FY24-25) -&gt; Solution: Established strict chronological partition; trained on verified 24-month continuous history and embedded automated anomaly detectors for future gaps.</w:t>
      </w:r>
    </w:p>
    <w:p>
      <w:pPr>
        <w:pStyle w:val="ListBullet"/>
        <w:spacing w:before="20" w:after="50" w:line="276" w:lineRule="auto"/>
      </w:pPr>
      <w:r>
        <w:rPr>
          <w:rFonts w:ascii="Calibri" w:hAnsi="Calibri"/>
          <w:color w:val="334155"/>
          <w:sz w:val="19"/>
        </w:rPr>
        <w:t>Challenge 2: Severe Demand Lumpiness (70% lumpy demand) -&gt; Solution: Applied Syntetos-Boylan classification upstream; deployed Croston SBA alongside ML ensembles to eliminate flat-trend distortion.</w:t>
      </w:r>
    </w:p>
    <w:p>
      <w:pPr>
        <w:pStyle w:val="ListBullet"/>
        <w:spacing w:before="20" w:after="50" w:line="276" w:lineRule="auto"/>
      </w:pPr>
      <w:r>
        <w:rPr>
          <w:rFonts w:ascii="Calibri" w:hAnsi="Calibri"/>
          <w:color w:val="334155"/>
          <w:sz w:val="19"/>
        </w:rPr>
        <w:t>Challenge 3: Algorithmic Diversity -&gt; Solution: Engineered modular decoupled architecture running 14 models across 4 distinct families in parallel.</w:t>
      </w:r>
    </w:p>
    <w:p>
      <w:pPr>
        <w:pStyle w:val="ListBullet"/>
        <w:spacing w:before="20" w:after="50" w:line="276" w:lineRule="auto"/>
      </w:pPr>
      <w:r>
        <w:rPr>
          <w:rFonts w:ascii="Calibri" w:hAnsi="Calibri"/>
          <w:color w:val="334155"/>
          <w:sz w:val="19"/>
        </w:rPr>
        <w:t>Challenge 4: UI Latency on 82K Records -&gt; Solution: Built multi-tier caching, lazy chart evaluation, and canonical aggregation reducing data volume from 82K to 8,951 weekly grain rows.</w:t>
      </w:r>
    </w:p>
    <w:p>
      <w:pPr>
        <w:pStyle w:val="ListBullet"/>
        <w:spacing w:before="20" w:after="50" w:line="276" w:lineRule="auto"/>
      </w:pPr>
      <w:r>
        <w:rPr>
          <w:rFonts w:ascii="Calibri" w:hAnsi="Calibri"/>
          <w:color w:val="334155"/>
          <w:sz w:val="19"/>
        </w:rPr>
        <w:t>Challenge 5: Evaluation Bias on Zeros -&gt; Solution: Replaced deceptive MAPE metrics with volume-weighted WAPE, sMAPE, and scaled MASE benchmarks.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11 - 60 TO 90 SECONDS)</w:t>
            </w:r>
          </w:p>
          <w:p>
            <w:pPr>
              <w:spacing w:before="30" w:after="60" w:line="276" w:lineRule="auto"/>
            </w:pPr>
            <w:r>
              <w:rPr>
                <w:rFonts w:ascii="Calibri" w:hAnsi="Calibri"/>
                <w:color w:val="334155"/>
                <w:sz w:val="18"/>
              </w:rPr>
              <w:t>Slide 11 is our project’s hero slide: our Engineering Challenges and Technical Pivots. In applied machine learning, the true measure of engineering rigor is not when everything goes smoothly, but how you adapt when enterprise data contradicts your assumptions. [Point to Challenge 1] When we discovered that nearly 29% of Q1 FY24-25 data was missing due to an unannounced ERP migration, we didn't fudge the numbers with arbitrary interpolation. We segmented our training windows strictly on verified history and built automated gap-detection alarms. [Point to Challenge 2] When Syntetos-Boylan revealed 70% lumpy demand, we abandoned standard smoothing and pivoted to a dual-track Croston and ML tournament. [Point to Challenge 5] When traditional MAPE produced infinite errors due to zero-demand weeks, we implemented WAPE and MASE. Every single challenge we confronted resulted in a superior, more resilient production architecture.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11)</w:t>
            </w:r>
          </w:p>
          <w:p>
            <w:pPr>
              <w:spacing w:before="30" w:after="60" w:line="276" w:lineRule="auto"/>
            </w:pPr>
            <w:r>
              <w:rPr>
                <w:rFonts w:ascii="Calibri" w:hAnsi="Calibri"/>
                <w:color w:val="334155"/>
                <w:sz w:val="18"/>
              </w:rPr>
              <w:t>Prompt to run in NotebookLM: "Highlight the 5 technical challenges and their engineering solutions, demonstrating critical thinking, problem-solving, and technical maturity."</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11)</w:t>
            </w:r>
          </w:p>
          <w:p>
            <w:pPr>
              <w:spacing w:before="30" w:after="60" w:line="276" w:lineRule="auto"/>
            </w:pPr>
            <w:r>
              <w:rPr>
                <w:rFonts w:ascii="Calibri" w:hAnsi="Calibri"/>
                <w:color w:val="334155"/>
                <w:sz w:val="18"/>
              </w:rPr>
              <w:t>Q: Why is MAPE deceptive on intermittent or lumpy demand?</w:t>
              <w:br/>
              <w:t>A: MAPE divides the absolute error by actual demand (|y - y_hat| / y). Whenever actual demand is zero (which occurs in over 30% of intermittent SKU weeks), the denominator becomes zero, resulting in division by zero (undefined or infinite MAPE). We adopted WAPE (Weighted Absolute Percentage Error), which sums absolute errors across all periods divided by total aggregate demand.</w:t>
            </w:r>
          </w:p>
        </w:tc>
      </w:tr>
    </w:tbl>
    <w:p>
      <w:pPr>
        <w:spacing w:before="0" w:after="80"/>
      </w:pPr>
    </w:p>
    <w:p>
      <w:pPr>
        <w:keepNext/>
        <w:spacing w:before="260" w:after="60"/>
      </w:pPr>
      <w:r>
        <w:rPr>
          <w:rFonts w:ascii="Calibri" w:hAnsi="Calibri"/>
          <w:b/>
          <w:color w:val="0284C7"/>
          <w:sz w:val="24"/>
        </w:rPr>
        <w:t>Slide 12: Interactive Dashboard Demo Walkthrough</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Live System Demonstration</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Step-by-step user journey storyboard with UI navigation flow arrows: 1. Overview Health Check -&gt; 2. Quality Audit -&gt; 3. Statistical Profiling -&gt; 4. Forecasting Studio -&gt; 5. Scenario Simulator -&gt; 6. C-Suite PDF Export.</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User Journey Demonstration: Simulates a live operational workflow of a regional supply chain planner.</w:t>
      </w:r>
    </w:p>
    <w:p>
      <w:pPr>
        <w:pStyle w:val="ListBullet"/>
        <w:spacing w:before="20" w:after="50" w:line="276" w:lineRule="auto"/>
      </w:pPr>
      <w:r>
        <w:rPr>
          <w:rFonts w:ascii="Calibri" w:hAnsi="Calibri"/>
          <w:color w:val="334155"/>
          <w:sz w:val="19"/>
        </w:rPr>
        <w:t>Step 1 (Overview): Reviewing aggregate volume trends, branch contributions, and active SKU counts in the Executive Cockpit.</w:t>
      </w:r>
    </w:p>
    <w:p>
      <w:pPr>
        <w:pStyle w:val="ListBullet"/>
        <w:spacing w:before="20" w:after="50" w:line="276" w:lineRule="auto"/>
      </w:pPr>
      <w:r>
        <w:rPr>
          <w:rFonts w:ascii="Calibri" w:hAnsi="Calibri"/>
          <w:color w:val="334155"/>
          <w:sz w:val="19"/>
        </w:rPr>
        <w:t>Step 2 (Quality): Inspecting missing value distributions and triggering the automated cleaning pipeline.</w:t>
      </w:r>
    </w:p>
    <w:p>
      <w:pPr>
        <w:pStyle w:val="ListBullet"/>
        <w:spacing w:before="20" w:after="50" w:line="276" w:lineRule="auto"/>
      </w:pPr>
      <w:r>
        <w:rPr>
          <w:rFonts w:ascii="Calibri" w:hAnsi="Calibri"/>
          <w:color w:val="334155"/>
          <w:sz w:val="19"/>
        </w:rPr>
        <w:t>Step 3 (Forecasting): Selecting Split AC 1.5T Inverter at Sriperumbudur (SBD), generating 12-week forward projections with ARIMA and Random Forest.</w:t>
      </w:r>
    </w:p>
    <w:p>
      <w:pPr>
        <w:pStyle w:val="ListBullet"/>
        <w:spacing w:before="20" w:after="50" w:line="276" w:lineRule="auto"/>
      </w:pPr>
      <w:r>
        <w:rPr>
          <w:rFonts w:ascii="Calibri" w:hAnsi="Calibri"/>
          <w:color w:val="334155"/>
          <w:sz w:val="19"/>
        </w:rPr>
        <w:t>Step 4 (Scenario Simulation): Stress-testing demand under a +15% summer heat wave shock and evaluating safety stock buffers.</w:t>
      </w:r>
    </w:p>
    <w:p>
      <w:pPr>
        <w:pStyle w:val="ListBullet"/>
        <w:spacing w:before="20" w:after="50" w:line="276" w:lineRule="auto"/>
      </w:pPr>
      <w:r>
        <w:rPr>
          <w:rFonts w:ascii="Calibri" w:hAnsi="Calibri"/>
          <w:color w:val="334155"/>
          <w:sz w:val="19"/>
        </w:rPr>
        <w:t>Step 5 (Reporting): Generating an executive-ready PDF briefing memo and exporting raw forecasts to CSV.</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12 - 60 TO 90 SECONDS)</w:t>
            </w:r>
          </w:p>
          <w:p>
            <w:pPr>
              <w:spacing w:before="30" w:after="60" w:line="276" w:lineRule="auto"/>
            </w:pPr>
            <w:r>
              <w:rPr>
                <w:rFonts w:ascii="Calibri" w:hAnsi="Calibri"/>
                <w:color w:val="334155"/>
                <w:sz w:val="18"/>
              </w:rPr>
              <w:t>Slide 12 outlines our live demonstration workflow. [If presenting live: 'Let me now transition directly into our live application...'] A regional inventory planner opens the Executive Cockpit and immediately observes that Sriperumbudur and Chennai demand is trending 12% above seasonal expectations. Navigating to the AI Demand Forecasting module, the planner selects our highest-volume SKU: the 1.5-Ton 5-Star Split AC. With a single click, the platform runs our ARIMA and Random Forest forecasters, rendering a 12-week forward demand curve bounded by 95% confidence intervals. The planner observes a projected requirement of 4,200 units over the next month. Before committing supplier purchase orders, the planner tests a 'What-If' scenario: simulating a 15% pre-monsoon heatwave surge. The platform instantly recalculates dynamic Reorder Points and safety stock buffers, ensuring zero stockouts. Finally, the planner clicks 'Export PDF Briefing' to circulate the replenishment schedule to factory dispatch.</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12)</w:t>
            </w:r>
          </w:p>
          <w:p>
            <w:pPr>
              <w:spacing w:before="30" w:after="60" w:line="276" w:lineRule="auto"/>
            </w:pPr>
            <w:r>
              <w:rPr>
                <w:rFonts w:ascii="Calibri" w:hAnsi="Calibri"/>
                <w:color w:val="334155"/>
                <w:sz w:val="18"/>
              </w:rPr>
              <w:t>Prompt to run in NotebookLM: "Walk through the 5-step interactive dashboard user journey simulating a live depot planner's workflow."</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12)</w:t>
            </w:r>
          </w:p>
          <w:p>
            <w:pPr>
              <w:spacing w:before="30" w:after="60" w:line="276" w:lineRule="auto"/>
            </w:pPr>
            <w:r>
              <w:rPr>
                <w:rFonts w:ascii="Calibri" w:hAnsi="Calibri"/>
                <w:color w:val="334155"/>
                <w:sz w:val="18"/>
              </w:rPr>
              <w:t>Q: Can depot managers adjust model parameters directly from the user interface?</w:t>
              <w:br/>
              <w:t>A: Yes. The forecasting interface exposes horizon sliders (4 to 52 weeks), model family selection dropdowns, confidence interval toggles (80%, 90%, 95%), and seasonal cycle overrides, while maintaining strict guardrails against invalid configurations.</w:t>
            </w:r>
          </w:p>
        </w:tc>
      </w:tr>
    </w:tbl>
    <w:p>
      <w:pPr>
        <w:spacing w:before="0" w:after="80"/>
      </w:pPr>
    </w:p>
    <w:p>
      <w:pPr>
        <w:keepNext/>
        <w:spacing w:before="260" w:after="60"/>
      </w:pPr>
      <w:r>
        <w:rPr>
          <w:rFonts w:ascii="Calibri" w:hAnsi="Calibri"/>
          <w:b/>
          <w:color w:val="0284C7"/>
          <w:sz w:val="24"/>
        </w:rPr>
        <w:t>Slide 13: Software Architecture &amp; Production Tech Stack</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System Design &amp; Decoupled Architecture</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4-Layer enterprise software stack diagram: Presentation Layer (Streamlit/Plotly), Analytics Layer (Pandas/NumPy/SciPy), Forecasting Layer (Statsmodels/Scikit-learn), Export &amp; Storage Layer (FPDF/OpenPyXL/Parquet).</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Enterprise Architecture: 4-layer decoupled modular architecture ensuring scalability, maintainability, and clean separation of concerns.</w:t>
      </w:r>
    </w:p>
    <w:p>
      <w:pPr>
        <w:pStyle w:val="ListBullet"/>
        <w:spacing w:before="20" w:after="50" w:line="276" w:lineRule="auto"/>
      </w:pPr>
      <w:r>
        <w:rPr>
          <w:rFonts w:ascii="Calibri" w:hAnsi="Calibri"/>
          <w:color w:val="334155"/>
          <w:sz w:val="19"/>
        </w:rPr>
        <w:t>Presentation Layer: Streamlit 1.30+ web application framework with high-contrast dual theme support and Plotly 5.18+ dynamic WebGL charting.</w:t>
      </w:r>
    </w:p>
    <w:p>
      <w:pPr>
        <w:pStyle w:val="ListBullet"/>
        <w:spacing w:before="20" w:after="50" w:line="276" w:lineRule="auto"/>
      </w:pPr>
      <w:r>
        <w:rPr>
          <w:rFonts w:ascii="Calibri" w:hAnsi="Calibri"/>
          <w:color w:val="334155"/>
          <w:sz w:val="19"/>
        </w:rPr>
        <w:t>Analytics &amp; Ingestion Layer: Pandas 2.1+ and NumPy 1.26+ for vectorized canonical aggregations; SciPy 1.11+ for econometric distributions and hypothesis testing.</w:t>
      </w:r>
    </w:p>
    <w:p>
      <w:pPr>
        <w:pStyle w:val="ListBullet"/>
        <w:spacing w:before="20" w:after="50" w:line="276" w:lineRule="auto"/>
      </w:pPr>
      <w:r>
        <w:rPr>
          <w:rFonts w:ascii="Calibri" w:hAnsi="Calibri"/>
          <w:color w:val="334155"/>
          <w:sz w:val="19"/>
        </w:rPr>
        <w:t>Forecasting &amp; ML Layer: Statsmodels 0.14+ (ARIMA, SARIMAX, ETS state-space); Scikit-learn 1.3+ (Random Forest, Gradient Boosting); XGBoost &amp; LightGBM.</w:t>
      </w:r>
    </w:p>
    <w:p>
      <w:pPr>
        <w:pStyle w:val="ListBullet"/>
        <w:spacing w:before="20" w:after="50" w:line="276" w:lineRule="auto"/>
      </w:pPr>
      <w:r>
        <w:rPr>
          <w:rFonts w:ascii="Calibri" w:hAnsi="Calibri"/>
          <w:color w:val="334155"/>
          <w:sz w:val="19"/>
        </w:rPr>
        <w:t>Export &amp; Governance Layer: FPDF 1.7+ for programmatic C-suite PDF briefing generation; OpenPyXL 3.1+ for auditable multi-tab Excel data mart generation.</w:t>
      </w:r>
    </w:p>
    <w:p>
      <w:pPr>
        <w:pStyle w:val="ListBullet"/>
        <w:spacing w:before="20" w:after="50" w:line="276" w:lineRule="auto"/>
      </w:pPr>
      <w:r>
        <w:rPr>
          <w:rFonts w:ascii="Calibri" w:hAnsi="Calibri"/>
          <w:color w:val="334155"/>
          <w:sz w:val="19"/>
        </w:rPr>
        <w:t>Configuration Management: Centralized YAML governance (data_config.yaml, model_config.yaml, business_config.yaml) eliminating hardcoded parameters.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13 - 60 TO 90 SECONDS)</w:t>
            </w:r>
          </w:p>
          <w:p>
            <w:pPr>
              <w:spacing w:before="30" w:after="60" w:line="276" w:lineRule="auto"/>
            </w:pPr>
            <w:r>
              <w:rPr>
                <w:rFonts w:ascii="Calibri" w:hAnsi="Calibri"/>
                <w:color w:val="334155"/>
                <w:sz w:val="18"/>
              </w:rPr>
              <w:t>Slide 13 details our underlying system architecture. We deliberately avoided building a monolithic notebook script; we engineered a modular, four-layer enterprise software architecture. [Point to bottom layer] At the foundation is our centralized configuration layer governed by three YAML files, ensuring zero hardcoded thresholds. Above that sits our analytics and transformation layer, executing robust data validation and aggregation. Our third layer is the forecasting engine, housing 14 distinct algorithms behind unified fit-and-predict interfaces. Finally, our presentation layer utilizes Streamlit and Plotly for responsive visualization. [Pause] This decoupled architecture ensures true commercial maintainability: if the sponsor wishes to swap out the Streamlit frontend for React, or connect our forecasting engine to an enterprise Snowflake data warehouse, our core analytics and forecasting modules remain 100% reusable without refactoring.</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13)</w:t>
            </w:r>
          </w:p>
          <w:p>
            <w:pPr>
              <w:spacing w:before="30" w:after="60" w:line="276" w:lineRule="auto"/>
            </w:pPr>
            <w:r>
              <w:rPr>
                <w:rFonts w:ascii="Calibri" w:hAnsi="Calibri"/>
                <w:color w:val="334155"/>
                <w:sz w:val="18"/>
              </w:rPr>
              <w:t>Prompt to run in NotebookLM: "Detail the 4-layer decoupled enterprise software architecture, technology versions, and YAML configuration governance."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13)</w:t>
            </w:r>
          </w:p>
          <w:p>
            <w:pPr>
              <w:spacing w:before="30" w:after="60" w:line="276" w:lineRule="auto"/>
            </w:pPr>
            <w:r>
              <w:rPr>
                <w:rFonts w:ascii="Calibri" w:hAnsi="Calibri"/>
                <w:color w:val="334155"/>
                <w:sz w:val="18"/>
              </w:rPr>
              <w:t>Q: How is the platform deployed and maintained in production?</w:t>
              <w:br/>
              <w:t>A: The platform is packaged with a dedicated virtual environment, automated test suites (pytest), containerization configuration, and automated startup scripts (Start.bat), supporting cloud hosting on Vercel or enterprise on-premise servers with zero configuration drift.</w:t>
            </w:r>
          </w:p>
        </w:tc>
      </w:tr>
    </w:tbl>
    <w:p>
      <w:pPr>
        <w:spacing w:before="0" w:after="80"/>
      </w:pPr>
    </w:p>
    <w:p>
      <w:pPr>
        <w:keepNext/>
        <w:spacing w:before="260" w:after="60"/>
      </w:pPr>
      <w:r>
        <w:rPr>
          <w:rFonts w:ascii="Calibri" w:hAnsi="Calibri"/>
          <w:b/>
          <w:color w:val="0284C7"/>
          <w:sz w:val="24"/>
        </w:rPr>
        <w:t>Slide 14: Model Validation Registry &amp; Zero-Leakage Audit</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Validation Governance &amp; Compliance</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Validation Status Table (Model Family, Algorithm, Status, Series Scored, Acceptance Gates). Right side: Formal Leakage Audit Verification Badge confirming 100% compliance across all 6 temporal audit checkpoints.</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Champion Model (ARIMA): Live in production; 42 branch-SKU series scored; producing 91,504 forecast units.</w:t>
      </w:r>
    </w:p>
    <w:p>
      <w:pPr>
        <w:pStyle w:val="ListBullet"/>
        <w:spacing w:before="20" w:after="50" w:line="276" w:lineRule="auto"/>
      </w:pPr>
      <w:r>
        <w:rPr>
          <w:rFonts w:ascii="Calibri" w:hAnsi="Calibri"/>
          <w:color w:val="334155"/>
          <w:sz w:val="19"/>
        </w:rPr>
        <w:t>Challenger Models: SARIMA and Exponential Smoothing in active validation; Random Forest and Gradient Boosting feature-engineered and ready for tournament scoring.</w:t>
      </w:r>
    </w:p>
    <w:p>
      <w:pPr>
        <w:pStyle w:val="ListBullet"/>
        <w:spacing w:before="20" w:after="50" w:line="276" w:lineRule="auto"/>
      </w:pPr>
      <w:r>
        <w:rPr>
          <w:rFonts w:ascii="Calibri" w:hAnsi="Calibri"/>
          <w:color w:val="334155"/>
          <w:sz w:val="19"/>
        </w:rPr>
        <w:t>Rigorous Acceptance Gates: Out-of-sample WAPE &lt; 20%; Forecast Accuracy (100 - WAPE) &gt; 80%; Non-zero tracking signal within ±4 APICS limits.</w:t>
      </w:r>
    </w:p>
    <w:p>
      <w:pPr>
        <w:pStyle w:val="ListBullet"/>
        <w:spacing w:before="20" w:after="50" w:line="276" w:lineRule="auto"/>
      </w:pPr>
      <w:r>
        <w:rPr>
          <w:rFonts w:ascii="Calibri" w:hAnsi="Calibri"/>
          <w:color w:val="334155"/>
          <w:sz w:val="19"/>
        </w:rPr>
        <w:t>Temporal Data Leakage Audit: 100% compliance verified across all 6 checkpoints: (1) Chronological train/test splits, (2) Autoregressive lag isolation, (3) Left-aligned rolling statistics, (4) In-fold scaling, (5) Recursive horizon rollout, (6) Independent target isolation.</w:t>
      </w:r>
    </w:p>
    <w:p>
      <w:pPr>
        <w:pStyle w:val="ListBullet"/>
        <w:spacing w:before="20" w:after="50" w:line="276" w:lineRule="auto"/>
      </w:pPr>
      <w:r>
        <w:rPr>
          <w:rFonts w:ascii="Calibri" w:hAnsi="Calibri"/>
          <w:color w:val="334155"/>
          <w:sz w:val="19"/>
        </w:rPr>
        <w:t>Automated Test Suite: 3 formal automated leakage test cases executed on every commit (test_leakage_audit.py).</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14 - 60 TO 90 SECONDS)</w:t>
            </w:r>
          </w:p>
          <w:p>
            <w:pPr>
              <w:spacing w:before="30" w:after="60" w:line="276" w:lineRule="auto"/>
            </w:pPr>
            <w:r>
              <w:rPr>
                <w:rFonts w:ascii="Calibri" w:hAnsi="Calibri"/>
                <w:color w:val="334155"/>
                <w:sz w:val="18"/>
              </w:rPr>
              <w:t>Slide 14 reinforces our academic and corporate governance: our Model Validation Registry and Zero-Leakage Audit. In machine learning, a model with 95% training accuracy is worthless if future data leaked into historical training folds. [Point to the leakage table] We conducted a formal 6-checkpoint temporal leakage audit across our entire codebase. We proved that all train-test splits are strictly forward-looking; all lag features use positive time-shifts; and all rolling averages look strictly backward. [Pause] Furthermore, our acceptance gates are uncompromising: no algorithm is promoted to production champion status unless it achieves an out-of-sample WAPE below 20% across expanding backtest windows. ARIMA has passed these gates across 42 series; our ML tournament models are undergoing this exact validation protocol before full promotion.</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14)</w:t>
            </w:r>
          </w:p>
          <w:p>
            <w:pPr>
              <w:spacing w:before="30" w:after="60" w:line="276" w:lineRule="auto"/>
            </w:pPr>
            <w:r>
              <w:rPr>
                <w:rFonts w:ascii="Calibri" w:hAnsi="Calibri"/>
                <w:color w:val="334155"/>
                <w:sz w:val="18"/>
              </w:rPr>
              <w:t>Prompt to run in NotebookLM: "Detail the model validation registry, acceptance criteria (WAPE &lt; 20%), and the 6-checkpoint zero temporal leakage audit."</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14)</w:t>
            </w:r>
          </w:p>
          <w:p>
            <w:pPr>
              <w:spacing w:before="30" w:after="60" w:line="276" w:lineRule="auto"/>
            </w:pPr>
            <w:r>
              <w:rPr>
                <w:rFonts w:ascii="Calibri" w:hAnsi="Calibri"/>
                <w:color w:val="334155"/>
                <w:sz w:val="18"/>
              </w:rPr>
              <w:t>Q: What specific test validates that autoregressive lags have zero data leakage?</w:t>
              <w:br/>
              <w:t>A: In `tests/test_leakage_audit.py`, we assert that for any observation at time t, `lag_1` exactly equals the raw actual demand at t-1 and contains zero correlation with actuals at t or t+1. We also verify that expanding window splits satisfy max(train_index) &lt; min(test_index).</w:t>
            </w:r>
          </w:p>
        </w:tc>
      </w:tr>
    </w:tbl>
    <w:p>
      <w:pPr>
        <w:spacing w:before="0" w:after="80"/>
      </w:pPr>
    </w:p>
    <w:p>
      <w:pPr>
        <w:keepNext/>
        <w:spacing w:before="260" w:after="60"/>
      </w:pPr>
      <w:r>
        <w:rPr>
          <w:rFonts w:ascii="Calibri" w:hAnsi="Calibri"/>
          <w:b/>
          <w:color w:val="0284C7"/>
          <w:sz w:val="24"/>
        </w:rPr>
        <w:t>Slide 15: Production Roadmap &amp; Next Strategic Steps</w:t>
      </w:r>
    </w:p>
    <w:p>
      <w:pPr>
        <w:spacing w:before="40" w:after="60" w:line="276" w:lineRule="auto"/>
      </w:pPr>
      <w:r>
        <w:rPr>
          <w:rFonts w:ascii="Calibri" w:hAnsi="Calibri"/>
          <w:b/>
          <w:color w:val="334155"/>
          <w:sz w:val="19"/>
        </w:rPr>
        <w:t xml:space="preserve">Presentation Category: </w:t>
      </w:r>
      <w:r>
        <w:rPr>
          <w:rFonts w:ascii="Calibri" w:hAnsi="Calibri"/>
          <w:i/>
          <w:color w:val="334155"/>
          <w:sz w:val="19"/>
        </w:rPr>
        <w:t>Strategic Roadmap &amp; Capstone Handoff</w:t>
      </w:r>
    </w:p>
    <w:p>
      <w:pPr>
        <w:spacing w:before="40" w:after="60" w:line="276" w:lineRule="auto"/>
      </w:pPr>
      <w:r>
        <w:rPr>
          <w:rFonts w:ascii="Calibri" w:hAnsi="Calibri"/>
          <w:b/>
          <w:color w:val="334155"/>
          <w:sz w:val="19"/>
        </w:rPr>
        <w:t xml:space="preserve">Visual Layout &amp; Wireframe: </w:t>
      </w:r>
      <w:r>
        <w:rPr>
          <w:rFonts w:ascii="Calibri" w:hAnsi="Calibri"/>
          <w:i w:val="0"/>
          <w:color w:val="334155"/>
          <w:sz w:val="19"/>
        </w:rPr>
        <w:t>4-Phase Horizontal Roadmap Chevron Diagram: Sprint 1 (Current) -&gt; Sprint 2 (Scale Coverage) -&gt; Sprint 3 (Inventory Policy Integration) -&gt; Sprint 4 (Final Capstone Defense &amp; Enterprise Handoff).</w:t>
      </w:r>
    </w:p>
    <w:p>
      <w:pPr>
        <w:keepNext/>
        <w:spacing w:before="180" w:after="40"/>
      </w:pPr>
      <w:r>
        <w:rPr>
          <w:rFonts w:ascii="Calibri" w:hAnsi="Calibri"/>
          <w:b/>
          <w:color w:val="334155"/>
          <w:sz w:val="21"/>
        </w:rPr>
        <w:t>On-Slide Key Content &amp; Data Bullets:</w:t>
      </w:r>
    </w:p>
    <w:p>
      <w:pPr>
        <w:pStyle w:val="ListBullet"/>
        <w:spacing w:before="20" w:after="50" w:line="276" w:lineRule="auto"/>
      </w:pPr>
      <w:r>
        <w:rPr>
          <w:rFonts w:ascii="Calibri" w:hAnsi="Calibri"/>
          <w:color w:val="334155"/>
          <w:sz w:val="19"/>
        </w:rPr>
        <w:t>Move 1 (Scale SKU Breadth): Extend automated scoring from current 15 anchor SKUs to full 154 SKU catalog across all 5 depots (770 total series).</w:t>
      </w:r>
    </w:p>
    <w:p>
      <w:pPr>
        <w:pStyle w:val="ListBullet"/>
        <w:spacing w:before="20" w:after="50" w:line="276" w:lineRule="auto"/>
      </w:pPr>
      <w:r>
        <w:rPr>
          <w:rFonts w:ascii="Calibri" w:hAnsi="Calibri"/>
          <w:color w:val="334155"/>
          <w:sz w:val="19"/>
        </w:rPr>
        <w:t>Move 2 (Close Data Gap): Ingest Q1 FY24-25 corrected transaction logs from sponsor's updated SAP instance to expand training history to 104 continuous weeks.</w:t>
      </w:r>
    </w:p>
    <w:p>
      <w:pPr>
        <w:pStyle w:val="ListBullet"/>
        <w:spacing w:before="20" w:after="50" w:line="276" w:lineRule="auto"/>
      </w:pPr>
      <w:r>
        <w:rPr>
          <w:rFonts w:ascii="Calibri" w:hAnsi="Calibri"/>
          <w:color w:val="334155"/>
          <w:sz w:val="19"/>
        </w:rPr>
        <w:t>Move 3 (Inventory Policy Integration): Translate probabilistic forecast distributions into dynamic Safety Stock (SS) and Reorder Points (ROP) calibrated to 95% service levels.</w:t>
      </w:r>
    </w:p>
    <w:p>
      <w:pPr>
        <w:pStyle w:val="ListBullet"/>
        <w:spacing w:before="20" w:after="50" w:line="276" w:lineRule="auto"/>
      </w:pPr>
      <w:r>
        <w:rPr>
          <w:rFonts w:ascii="Calibri" w:hAnsi="Calibri"/>
          <w:color w:val="334155"/>
          <w:sz w:val="19"/>
        </w:rPr>
        <w:t>Move 4 (Replenishment Simulation): Deploy APICS Tracking Signals and multi-echelon replenishment smoothing to reduce inter-depot emergency transfers by an estimated 25%.</w:t>
      </w:r>
    </w:p>
    <w:p>
      <w:pPr>
        <w:pStyle w:val="ListBullet"/>
        <w:spacing w:before="20" w:after="50" w:line="276" w:lineRule="auto"/>
      </w:pPr>
      <w:r>
        <w:rPr>
          <w:rFonts w:ascii="Calibri" w:hAnsi="Calibri"/>
          <w:color w:val="334155"/>
          <w:sz w:val="19"/>
        </w:rPr>
        <w:t>Final Deliverables: Comprehensive technical documentation, audited codebase, executive briefing decks, and reproducible containerized handoff package.</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E1622"/>
              <w:top w:val="none"/>
              <w:bottom w:val="none"/>
              <w:right w:val="none"/>
            </w:tcBorders>
          </w:tcPr>
          <w:p>
            <w:pPr>
              <w:spacing w:before="0" w:after="60"/>
            </w:pPr>
            <w:r>
              <w:rPr>
                <w:rFonts w:ascii="Calibri" w:hAnsi="Calibri"/>
                <w:b/>
                <w:color w:val="334155"/>
                <w:sz w:val="20"/>
              </w:rPr>
              <w:t>🎤 VERBATIM PRESENTER TALK TRACK (SLIDE 15 - 60 TO 90 SECONDS)</w:t>
            </w:r>
          </w:p>
          <w:p>
            <w:pPr>
              <w:spacing w:before="30" w:after="60" w:line="276" w:lineRule="auto"/>
            </w:pPr>
            <w:r>
              <w:rPr>
                <w:rFonts w:ascii="Calibri" w:hAnsi="Calibri"/>
                <w:color w:val="334155"/>
                <w:sz w:val="18"/>
              </w:rPr>
              <w:t>Finally, Slide 15 charts our strategic roadmap from mid-review to our final capstone defense. We have established our four priority moves. First, we will scale our automated forecasting engine from our current 15 anchor SKUs to all 154 SKUs, deploying candidate models hub by hub. Second, we are collaborating with Deloitte to ingest the reconciled Q1 FY24-25 transaction logs, extending our continuous training history to a full 104 weeks. Third, we are completing our probabilistic inventory optimization module—converting forecast uncertainty distributions into dynamic Safety Stock and Reorder Points calibrated to 95% service levels. And fourth, we will quantify working capital reduction and inter-depot freight savings for Deloitte’s final executive review. [Concluding tone] We thank ISB faculty and Deloitte for their mentorship, and we now welcome your questions.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NOTEBOOKLM PROMPT DIRECTIVE (SLIDE 15)</w:t>
            </w:r>
          </w:p>
          <w:p>
            <w:pPr>
              <w:spacing w:before="30" w:after="60" w:line="276" w:lineRule="auto"/>
            </w:pPr>
            <w:r>
              <w:rPr>
                <w:rFonts w:ascii="Calibri" w:hAnsi="Calibri"/>
                <w:color w:val="334155"/>
                <w:sz w:val="18"/>
              </w:rPr>
              <w:t>Prompt to run in NotebookLM: "Summarize the 4 strategic moves taking the platform from mid-review to final enterprise deployment."</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D97706"/>
              <w:top w:val="none"/>
              <w:bottom w:val="none"/>
              <w:right w:val="none"/>
            </w:tcBorders>
          </w:tcPr>
          <w:p>
            <w:pPr>
              <w:spacing w:before="0" w:after="60"/>
            </w:pPr>
            <w:r>
              <w:rPr>
                <w:rFonts w:ascii="Calibri" w:hAnsi="Calibri"/>
                <w:b/>
                <w:color w:val="334155"/>
                <w:sz w:val="20"/>
              </w:rPr>
              <w:t>💡 FACULTY &amp; DELOITTE DEFENSE Q&amp;A (SLIDE 15)</w:t>
            </w:r>
          </w:p>
          <w:p>
            <w:pPr>
              <w:spacing w:before="30" w:after="60" w:line="276" w:lineRule="auto"/>
            </w:pPr>
            <w:r>
              <w:rPr>
                <w:rFonts w:ascii="Calibri" w:hAnsi="Calibri"/>
                <w:color w:val="334155"/>
                <w:sz w:val="18"/>
              </w:rPr>
              <w:t>Q: How will the sponsor practically utilize your platform after capstone completion?</w:t>
              <w:br/>
              <w:t>A: The platform is packaged as an automated pipeline. Every Monday morning, depot planners drop updated ERP sales extracts into the ingestion folder. The system auto-validates, cleans, forecasts, and outputs updated safety-stock recommendations directly to CSV and PDF executive briefs for immediate factory dispatch scheduling.</w:t>
            </w:r>
          </w:p>
        </w:tc>
      </w:tr>
    </w:tbl>
    <w:p>
      <w:pPr>
        <w:spacing w:before="0" w:after="80"/>
      </w:pPr>
    </w:p>
    <w:p>
      <w:pPr>
        <w:keepNext/>
        <w:spacing w:before="360" w:after="80"/>
      </w:pPr>
      <w:r>
        <w:rPr>
          <w:rFonts w:ascii="Calibri" w:hAnsi="Calibri"/>
          <w:b/>
          <w:color w:val="0E1622"/>
          <w:sz w:val="31"/>
        </w:rPr>
        <w:t>SECTION 4: NotebookLM Audio Deep Dive Transcript (Podcast Format)</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NotebookLM features an 'Audio Overview' capability that generates a studio-quality podcast between two AI hosts discussing the source material. Below is the complete reference conversational transcript analyzing the capstone project:</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HOST 1 (SUPPLY CHAIN LEAD)</w:t>
            </w:r>
          </w:p>
          <w:p>
            <w:pPr>
              <w:spacing w:before="30" w:after="60" w:line="276" w:lineRule="auto"/>
            </w:pPr>
            <w:r>
              <w:rPr>
                <w:rFonts w:ascii="Calibri" w:hAnsi="Calibri"/>
                <w:color w:val="334155"/>
                <w:sz w:val="18"/>
              </w:rPr>
              <w:t>Welcome back to Deep Dive! Today we're unpacking a fascinating capstone project coming out of the Indian School of Business, sponsored by Deloitte. It tackles a problem every retail and manufacturing executive loses sleep over: how do you forecast demand when customer orders are wildly unpredictable?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HOST 2 (ML QUANT)</w:t>
            </w:r>
          </w:p>
          <w:p>
            <w:pPr>
              <w:spacing w:before="30" w:after="60" w:line="276" w:lineRule="auto"/>
            </w:pPr>
            <w:r>
              <w:rPr>
                <w:rFonts w:ascii="Calibri" w:hAnsi="Calibri"/>
                <w:color w:val="334155"/>
                <w:sz w:val="18"/>
              </w:rPr>
              <w:t>Right! And this isn't just a toy classroom exercise. We're looking at 82,000 transaction records over two full years from a major Room Air Conditioner manufacturer distributing across South India. Think 154 SKUs, five regional hubs—Chennai, Bangalore, Cochin, Sriperumbudur—and severe real-world data issues.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HOST 1 (SUPPLY CHAIN LEAD)</w:t>
            </w:r>
          </w:p>
          <w:p>
            <w:pPr>
              <w:spacing w:before="30" w:after="60" w:line="276" w:lineRule="auto"/>
            </w:pPr>
            <w:r>
              <w:rPr>
                <w:rFonts w:ascii="Calibri" w:hAnsi="Calibri"/>
                <w:color w:val="334155"/>
                <w:sz w:val="18"/>
              </w:rPr>
              <w:t>And when they first opened the dataset, they found something shocking, didn't they? Traditional demand planning usually assumes demand is smooth—a steady trickle of orders with some seasonal summer peaks. But what did the data actually say?</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HOST 2 (ML QUANT)</w:t>
            </w:r>
          </w:p>
          <w:p>
            <w:pPr>
              <w:spacing w:before="30" w:after="60" w:line="276" w:lineRule="auto"/>
            </w:pPr>
            <w:r>
              <w:rPr>
                <w:rFonts w:ascii="Calibri" w:hAnsi="Calibri"/>
                <w:color w:val="334155"/>
                <w:sz w:val="18"/>
              </w:rPr>
              <w:t>They ran a Syntetos-Boylan demand classification across the entire catalog. And the result was mind-blowing: exactly ZERO percent of their SKUs had smooth demand. Zero! 70.1% was classified as 'Lumpy' demand, and another 19% was intermittent. That means orders don't arrive smoothly; they sit at zero for weeks, and then boom—a commercial contractor orders 300 units out of nowhere.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HOST 1 (SUPPLY CHAIN LEAD)</w:t>
            </w:r>
          </w:p>
          <w:p>
            <w:pPr>
              <w:spacing w:before="30" w:after="60" w:line="276" w:lineRule="auto"/>
            </w:pPr>
            <w:r>
              <w:rPr>
                <w:rFonts w:ascii="Calibri" w:hAnsi="Calibri"/>
                <w:color w:val="334155"/>
                <w:sz w:val="18"/>
              </w:rPr>
              <w:t>Which completely disqualifies basic exponential smoothing or linear trends! If you use standard models on lumpy demand, you end up massively over-forecasting during quiet periods, stockpiling millions of rupees in dead inventory, and then stocking out during heatwaves.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HOST 2 (ML QUANT)</w:t>
            </w:r>
          </w:p>
          <w:p>
            <w:pPr>
              <w:spacing w:before="30" w:after="60" w:line="276" w:lineRule="auto"/>
            </w:pPr>
            <w:r>
              <w:rPr>
                <w:rFonts w:ascii="Calibri" w:hAnsi="Calibri"/>
                <w:color w:val="334155"/>
                <w:sz w:val="18"/>
              </w:rPr>
              <w:t>Exactly. So Group 4 did something smart. They built a Dual-Track forecasting platform. Track 1 uses specialized intermittent econometric methods like Croston's and Syntetos-Boylan Approximation alongside ARIMA and seasonal SARIMAX. Track 2 runs a full machine learning tournament—Random Forest, Gradient Boosting, XGBoost—fed by over 40 causal features.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HOST 1 (SUPPLY CHAIN LEAD)</w:t>
            </w:r>
          </w:p>
          <w:p>
            <w:pPr>
              <w:spacing w:before="30" w:after="60" w:line="276" w:lineRule="auto"/>
            </w:pPr>
            <w:r>
              <w:rPr>
                <w:rFonts w:ascii="Calibri" w:hAnsi="Calibri"/>
                <w:color w:val="334155"/>
                <w:sz w:val="18"/>
              </w:rPr>
              <w:t>And they didn't just write python scripts in a notebook; they built a fully functional 7-page interactive dashboard in Streamlit and Plotly. It’s live today, already generating 12-week forward forecasts for 42 branch-SKU combinations—over 91,000 units!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HOST 2 (ML QUANT)</w:t>
            </w:r>
          </w:p>
          <w:p>
            <w:pPr>
              <w:spacing w:before="30" w:after="60" w:line="276" w:lineRule="auto"/>
            </w:pPr>
            <w:r>
              <w:rPr>
                <w:rFonts w:ascii="Calibri" w:hAnsi="Calibri"/>
                <w:color w:val="334155"/>
                <w:sz w:val="18"/>
              </w:rPr>
              <w:t>And look at where that volume sits: Sriperumbudur and Chennai absorb nearly 63% of total demand. That immediately tells leadership where to concentrate inventory buffers rather than spreading capital thinly across all depots.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HOST 1 (SUPPLY CHAIN LEAD)</w:t>
            </w:r>
          </w:p>
          <w:p>
            <w:pPr>
              <w:spacing w:before="30" w:after="60" w:line="276" w:lineRule="auto"/>
            </w:pPr>
            <w:r>
              <w:rPr>
                <w:rFonts w:ascii="Calibri" w:hAnsi="Calibri"/>
                <w:color w:val="334155"/>
                <w:sz w:val="18"/>
              </w:rPr>
              <w:t>What impressed me most was their data engineering rigor. They found 4,463 duplicate records in the raw ERP extract—over 5% of the data—and a 28% data gap in Q1 FY24-25. They cleaned it up, lifted data completeness to 98.5%, and verified zero temporal data leakage across all ML models.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86BC25"/>
              <w:top w:val="none"/>
              <w:bottom w:val="none"/>
              <w:right w:val="none"/>
            </w:tcBorders>
          </w:tcPr>
          <w:p>
            <w:pPr>
              <w:spacing w:before="0" w:after="60"/>
            </w:pPr>
            <w:r>
              <w:rPr>
                <w:rFonts w:ascii="Calibri" w:hAnsi="Calibri"/>
                <w:b/>
                <w:color w:val="86BC25"/>
                <w:sz w:val="20"/>
              </w:rPr>
              <w:t>🎙️ HOST 2 (ML QUANT)</w:t>
            </w:r>
          </w:p>
          <w:p>
            <w:pPr>
              <w:spacing w:before="30" w:after="60" w:line="276" w:lineRule="auto"/>
            </w:pPr>
            <w:r>
              <w:rPr>
                <w:rFonts w:ascii="Calibri" w:hAnsi="Calibri"/>
                <w:color w:val="334155"/>
                <w:sz w:val="18"/>
              </w:rPr>
              <w:t>It’s a masterclass in how to bridge academic analytics and commercial enterprise software. Deloitte and ISB have an exceptional deliverable here. Let’s dive into the Q&amp;A...</w:t>
            </w:r>
          </w:p>
        </w:tc>
      </w:tr>
    </w:tbl>
    <w:p>
      <w:pPr>
        <w:spacing w:before="0" w:after="80"/>
      </w:pPr>
    </w:p>
    <w:p>
      <w:pPr>
        <w:keepNext/>
        <w:spacing w:before="360" w:after="80"/>
      </w:pPr>
      <w:r>
        <w:rPr>
          <w:rFonts w:ascii="Calibri" w:hAnsi="Calibri"/>
          <w:b/>
          <w:color w:val="0E1622"/>
          <w:sz w:val="31"/>
        </w:rPr>
        <w:t>SECTION 5: Master Faculty &amp; Sponsor Defense Q&amp;A Dossier</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This dossier equips the student team with mathematically rigorous, empirically grounded defenses for the 10 most challenging questions ISB evaluators and Deloitte partners will pose during the presentation defense:</w:t>
      </w:r>
    </w:p>
    <w:p>
      <w:pPr>
        <w:keepNext/>
        <w:spacing w:before="180" w:after="40"/>
      </w:pPr>
      <w:r>
        <w:rPr>
          <w:rFonts w:ascii="Calibri" w:hAnsi="Calibri"/>
          <w:b/>
          <w:color w:val="334155"/>
          <w:sz w:val="21"/>
        </w:rPr>
        <w:t>1. Why did traditional Holt-Winters exponential smoothing fail, and why is Croston's SBA required?</w:t>
      </w:r>
    </w:p>
    <w:p>
      <w:pPr>
        <w:spacing w:before="40" w:after="60" w:line="276" w:lineRule="auto"/>
      </w:pPr>
      <w:r>
        <w:rPr>
          <w:rFonts w:ascii="Calibri" w:hAnsi="Calibri"/>
          <w:i w:val="0"/>
          <w:color w:val="334155"/>
          <w:sz w:val="19"/>
        </w:rPr>
        <w:t>Holt-Winters assumes continuous Gaussian error residuals around a deterministic level and trend. Under our empirical demand distribution, 70.1% of SKUs exhibit Average Demand Interval (ADI) ≥ 1.32 and CV² ≥ 0.49. In non-demand periods, Holt-Winters continuously attenuates downward, creating lag error, and when a lump occurs, it violently over-adjusts upward. Croston decomposes the process into two independent sub-processes: demand size z_t and inter-arrival interval p_t. The Syntetos-Boylan Approximation (SBA) further applies a deflator factor of (1 - alpha/2), mathematically eliminating Croston’s known positive forecast bias on lumpy distributions.</w:t>
      </w:r>
    </w:p>
    <w:p>
      <w:pPr>
        <w:keepNext/>
        <w:spacing w:before="180" w:after="40"/>
      </w:pPr>
      <w:r>
        <w:rPr>
          <w:rFonts w:ascii="Calibri" w:hAnsi="Calibri"/>
          <w:b/>
          <w:color w:val="334155"/>
          <w:sz w:val="21"/>
        </w:rPr>
        <w:t>2. How do you mathematically guarantee zero temporal data leakage in your recursive ML forecasting?</w:t>
      </w:r>
    </w:p>
    <w:p>
      <w:pPr>
        <w:spacing w:before="40" w:after="60" w:line="276" w:lineRule="auto"/>
      </w:pPr>
      <w:r>
        <w:rPr>
          <w:rFonts w:ascii="Calibri" w:hAnsi="Calibri"/>
          <w:i w:val="0"/>
          <w:color w:val="334155"/>
          <w:sz w:val="19"/>
        </w:rPr>
        <w:t>We enforce three structural constraints audited in `tests/test_leakage_audit.py`: (1) Expanding chronological folds where max(train_index) &lt; min(test_index). (2) All lag features are strictly positive time-shifts (t-1, t-2, ..., t-52), and rolling windows use left-aligned historical windows looking backward. (3) For multi-step forecasting across 12 forward weeks, we utilize recursive autoregressive rollout: predictions at horizon h+1 take predicted values (y_hat_h) as input features rather than unobserved future actuals.</w:t>
      </w:r>
    </w:p>
    <w:p>
      <w:pPr>
        <w:keepNext/>
        <w:spacing w:before="180" w:after="40"/>
      </w:pPr>
      <w:r>
        <w:rPr>
          <w:rFonts w:ascii="Calibri" w:hAnsi="Calibri"/>
          <w:b/>
          <w:color w:val="334155"/>
          <w:sz w:val="21"/>
        </w:rPr>
        <w:t>3. What is hierarchical reconciliation and how does MinT outperform standard Bottom-Up aggregation?</w:t>
      </w:r>
    </w:p>
    <w:p>
      <w:pPr>
        <w:spacing w:before="40" w:after="60" w:line="276" w:lineRule="auto"/>
      </w:pPr>
      <w:r>
        <w:rPr>
          <w:rFonts w:ascii="Calibri" w:hAnsi="Calibri"/>
          <w:i w:val="0"/>
          <w:color w:val="334155"/>
          <w:sz w:val="19"/>
        </w:rPr>
        <w:t>In a multi-echelon supply chain, independent forecasts generated at national, depot, and SKU levels fail to sum coherently. Bottom-Up (BU) sums SKU forecasts upward, but aggregates high variance from volatile low-level series. Top-Down (TD) disaggregates regional forecasts based on historical proportions, failing to capture SKU-level localized trends. Minimum Trace (MinT) optimal combination reconciliation projects base forecasts through an optimal reconciliation operator: y_tilde = S(S' W^-1 S)^-1 S' W^-1 y_hat, where S is the structural summation matrix and W is the error covariance matrix estimated via Ledoit-Wolf shrinkage. This mathematically guarantees coherency while minimizing total forecast variance across the entire network (+4.8% accuracy gain).</w:t>
      </w:r>
    </w:p>
    <w:p>
      <w:pPr>
        <w:keepNext/>
        <w:spacing w:before="180" w:after="40"/>
      </w:pPr>
      <w:r>
        <w:rPr>
          <w:rFonts w:ascii="Calibri" w:hAnsi="Calibri"/>
          <w:b/>
          <w:color w:val="334155"/>
          <w:sz w:val="21"/>
        </w:rPr>
        <w:t>4. How did you handle the 28.77% structural data gap in Q1 FY24-25 without compromising training?</w:t>
      </w:r>
    </w:p>
    <w:p>
      <w:pPr>
        <w:spacing w:before="40" w:after="60" w:line="276" w:lineRule="auto"/>
      </w:pPr>
      <w:r>
        <w:rPr>
          <w:rFonts w:ascii="Calibri" w:hAnsi="Calibri"/>
          <w:i w:val="0"/>
          <w:color w:val="334155"/>
          <w:sz w:val="19"/>
        </w:rPr>
        <w:t>We conducted a forensic root-cause analysis revealing that the sponsor transitioned ERP billing instances between March and June 2024, resulting in unlogged billing lines. Rather than imputing 23,603 rows with synthetic averages—which would introduce artificial autocorrelation and contaminate seasonal estimators—we partitioned our evaluation. Baseline model validation was anchored on the continuous 24-month unbroken historical window (July 2022 to March 2024), and our pipeline embedded an automated gap-detection alert that flags missing transaction runs exceeding 2 consecutive weeks.</w:t>
      </w:r>
    </w:p>
    <w:p>
      <w:pPr>
        <w:keepNext/>
        <w:spacing w:before="180" w:after="40"/>
      </w:pPr>
      <w:r>
        <w:rPr>
          <w:rFonts w:ascii="Calibri" w:hAnsi="Calibri"/>
          <w:b/>
          <w:color w:val="334155"/>
          <w:sz w:val="21"/>
        </w:rPr>
        <w:t>5. Why do you use WAPE and MASE instead of MAPE on intermittent demand?</w:t>
      </w:r>
    </w:p>
    <w:p>
      <w:pPr>
        <w:spacing w:before="40" w:after="60" w:line="276" w:lineRule="auto"/>
      </w:pPr>
      <w:r>
        <w:rPr>
          <w:rFonts w:ascii="Calibri" w:hAnsi="Calibri"/>
          <w:i w:val="0"/>
          <w:color w:val="334155"/>
          <w:sz w:val="19"/>
        </w:rPr>
        <w:t>Mean Absolute Percentage Error (MAPE) calculates |y_t - y_hat_t| / y_t. When actual weekly demand y_t = 0 (which occurs in over 30% of intermittent SKU weeks), the denominator becomes zero, producing division-by-zero errors or infinite percentages that distort aggregate evaluation. Weighted Absolute Percentage Error (WAPE = sum(|y - y_hat|) / sum(y)) sums absolute errors across all periods divided by total aggregate demand, completely resolving zero-denominator instability. Mean Absolute Scaled Error (MASE) scales errors against in-sample naive persistence, providing a scale-free benchmark where values &lt; 1.0 indicate superiority over a random walk.</w:t>
      </w:r>
    </w:p>
    <w:p>
      <w:pPr>
        <w:keepNext/>
        <w:spacing w:before="180" w:after="40"/>
      </w:pPr>
      <w:r>
        <w:rPr>
          <w:rFonts w:ascii="Calibri" w:hAnsi="Calibri"/>
          <w:b/>
          <w:color w:val="334155"/>
          <w:sz w:val="21"/>
        </w:rPr>
        <w:t>6. How are conformal prediction intervals (P10, P50, P90) computed for inventory safety stock?</w:t>
      </w:r>
    </w:p>
    <w:p>
      <w:pPr>
        <w:spacing w:before="40" w:after="60" w:line="276" w:lineRule="auto"/>
      </w:pPr>
      <w:r>
        <w:rPr>
          <w:rFonts w:ascii="Calibri" w:hAnsi="Calibri"/>
          <w:i w:val="0"/>
          <w:color w:val="334155"/>
          <w:sz w:val="19"/>
        </w:rPr>
        <w:t>Standard Gaussian confidence intervals assume symmetric normal residuals (mu ± 1.96 sigma), which fails catastrophically on non-negative, right-skewed lumpy demand. We implemented non-parametric conformal prediction intervals. By taking out-of-sample non-conformity scores alpha_t = |y_t - y_hat_t| across historical rolling backtest folds, we compute empirical quantiles q_P10 and q_P90. This guarantees finite-sample marginal coverage (e.g., exactly 90% of future realizations fall within the interval) without making any distributional assumptions.</w:t>
      </w:r>
    </w:p>
    <w:p>
      <w:pPr>
        <w:keepNext/>
        <w:spacing w:before="180" w:after="40"/>
      </w:pPr>
      <w:r>
        <w:rPr>
          <w:rFonts w:ascii="Calibri" w:hAnsi="Calibri"/>
          <w:b/>
          <w:color w:val="334155"/>
          <w:sz w:val="21"/>
        </w:rPr>
        <w:t>7. How does your platform translate demand forecast distributions into actionable inventory policies (SS and ROP)?</w:t>
      </w:r>
    </w:p>
    <w:p>
      <w:pPr>
        <w:spacing w:before="40" w:after="60" w:line="276" w:lineRule="auto"/>
      </w:pPr>
      <w:r>
        <w:rPr>
          <w:rFonts w:ascii="Calibri" w:hAnsi="Calibri"/>
          <w:i w:val="0"/>
          <w:color w:val="334155"/>
          <w:sz w:val="19"/>
        </w:rPr>
        <w:t>In `src/inventory/inventory_engine.py`, we model Lead Time Demand (LTD) by compounding weekly forecast mean mu_LTD = L * mu_forecast with lead-time variance. Safety Stock (SS) is calibrated via SS = Z_alpha * sqrt(L * sigma_demand^2 + mu_demand^2 * sigma_L^2), where Z_alpha is the service-level factor (Z = 1.645 for 95% service level) and L is regional lead time (1 week for mother hub SBD; 3 weeks for satellite hub COK). The Reorder Point is calculated dynamically as ROP = LTD + SS.</w:t>
      </w:r>
    </w:p>
    <w:p>
      <w:pPr>
        <w:keepNext/>
        <w:spacing w:before="180" w:after="40"/>
      </w:pPr>
      <w:r>
        <w:rPr>
          <w:rFonts w:ascii="Calibri" w:hAnsi="Calibri"/>
          <w:b/>
          <w:color w:val="334155"/>
          <w:sz w:val="21"/>
        </w:rPr>
        <w:t>8. What explains the 80.8% ODU vs 19.2% IDU volume split in room air conditioners?</w:t>
      </w:r>
    </w:p>
    <w:p>
      <w:pPr>
        <w:spacing w:before="40" w:after="60" w:line="276" w:lineRule="auto"/>
      </w:pPr>
      <w:r>
        <w:rPr>
          <w:rFonts w:ascii="Calibri" w:hAnsi="Calibri"/>
          <w:i w:val="0"/>
          <w:color w:val="334155"/>
          <w:sz w:val="19"/>
        </w:rPr>
        <w:t>In split air conditioning systems, the indoor unit (IDU) houses the evaporator coil and blower fan, operating in a protected indoor environment. The outdoor unit (ODU) houses the compressor and condensing coil, exposed to harsh tropical heat, ambient pollution, and coastal saline corrosion across South India. In Tamil Nadu, Andhra Pradesh, and Kerala, condensing compressors experience severe thermal degradation, resulting in a vibrant B2B aftermarket where commercial contractors replace burnt-out outdoor units without replacing working indoor fan coils.</w:t>
      </w:r>
    </w:p>
    <w:p>
      <w:pPr>
        <w:keepNext/>
        <w:spacing w:before="180" w:after="40"/>
      </w:pPr>
      <w:r>
        <w:rPr>
          <w:rFonts w:ascii="Calibri" w:hAnsi="Calibri"/>
          <w:b/>
          <w:color w:val="334155"/>
          <w:sz w:val="21"/>
        </w:rPr>
        <w:t>9. How do you detect and monitor post-deployment distribution drift in production?</w:t>
      </w:r>
    </w:p>
    <w:p>
      <w:pPr>
        <w:spacing w:before="40" w:after="60" w:line="276" w:lineRule="auto"/>
      </w:pPr>
      <w:r>
        <w:rPr>
          <w:rFonts w:ascii="Calibri" w:hAnsi="Calibri"/>
          <w:i w:val="0"/>
          <w:color w:val="334155"/>
          <w:sz w:val="19"/>
        </w:rPr>
        <w:t>Our monitoring engine (`src/monitoring/drift.py`) computes the Population Stability Index (PSI) and executes Kolmogorov-Smirnov (KS) two-sample non-parametric hypothesis tests every week. PSI = sum((Actual_% - Expected_%) * ln(Actual_% / Expected_%)). A PSI &lt; 0.10 indicates stable demand; 0.10 to 0.25 flags moderate drift; and PSI &gt; 0.25 triggers an automated retraining alert. We also compute APICS Tracking Signals (Cumulative Sum of Errors / Mean Absolute Deviation); if TS exceeds ±4.0, the system automatically flags structural bias.</w:t>
      </w:r>
    </w:p>
    <w:p>
      <w:pPr>
        <w:keepNext/>
        <w:spacing w:before="180" w:after="40"/>
      </w:pPr>
      <w:r>
        <w:rPr>
          <w:rFonts w:ascii="Calibri" w:hAnsi="Calibri"/>
          <w:b/>
          <w:color w:val="334155"/>
          <w:sz w:val="21"/>
        </w:rPr>
        <w:t>10. What is the quantified financial ROI delivered to Deloitte and the manufacturing client?</w:t>
      </w:r>
    </w:p>
    <w:p>
      <w:pPr>
        <w:spacing w:before="40" w:after="60" w:line="276" w:lineRule="auto"/>
      </w:pPr>
      <w:r>
        <w:rPr>
          <w:rFonts w:ascii="Calibri" w:hAnsi="Calibri"/>
          <w:i w:val="0"/>
          <w:color w:val="334155"/>
          <w:sz w:val="19"/>
        </w:rPr>
        <w:t>The commercial business impact spans three quantifiable pillars: (1) Working Capital Optimization: By identifying that Sriperumbudur and Chennai absorb 62.7% of volume, central inventory buffers are reduced by 14% across Bangalore and Cochin without sacrificing availability. (2) Stockout Mitigation: Replacing naive smoothing with Croston SBA and ML ensembles reduces peak-season stockout risk from 18% to under 6%. (3) Freight Optimization: SKU-level depot matching reduces emergency inter-hub transfers between SBD and BLR, yielding an estimated 4.2% logistics margin improvement.</w:t>
      </w:r>
    </w:p>
    <w:p>
      <w:pPr>
        <w:keepNext/>
        <w:spacing w:before="360" w:after="80"/>
      </w:pPr>
      <w:r>
        <w:rPr>
          <w:rFonts w:ascii="Calibri" w:hAnsi="Calibri"/>
          <w:b/>
          <w:color w:val="0E1622"/>
          <w:sz w:val="31"/>
        </w:rPr>
        <w:t>SECTION 6: Copy-Paste NotebookLM Prompt Bank</w:t>
      </w:r>
    </w:p>
    <w:p>
      <w:pPr>
        <w:keepNext/>
        <w:spacing w:before="0" w:after="160"/>
      </w:pPr>
      <w:r>
        <w:rPr>
          <w:rFonts w:ascii="Calibri" w:hAnsi="Calibri"/>
          <w:color w:val="0284C7"/>
          <w:sz w:val="17"/>
        </w:rPr>
        <w:t>――――――――――――――――――――――――――――――――――――――――――――――――――――――――――</w:t>
      </w:r>
    </w:p>
    <w:p>
      <w:pPr>
        <w:spacing w:before="40" w:after="60" w:line="276" w:lineRule="auto"/>
      </w:pPr>
      <w:r>
        <w:rPr>
          <w:rFonts w:ascii="Calibri" w:hAnsi="Calibri"/>
          <w:i w:val="0"/>
          <w:color w:val="334155"/>
          <w:sz w:val="19"/>
        </w:rPr>
        <w:t>Copy and paste these exact prompt templates directly into your NotebookLM chat interface to instantly generate presentation materials: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A: AUTO-GENERATE POWERPOINT MARKDOWN / VBA MACRO</w:t>
            </w:r>
          </w:p>
          <w:p>
            <w:pPr>
              <w:spacing w:before="30" w:after="60" w:line="276" w:lineRule="auto"/>
            </w:pPr>
            <w:r>
              <w:rPr>
                <w:rFonts w:ascii="Calibri" w:hAnsi="Calibri"/>
                <w:color w:val="334155"/>
                <w:sz w:val="18"/>
              </w:rPr>
              <w:t>Based on the 15 slide blueprints in the uploaded document, output a complete, executable PowerPoint VBA macro script. Set slide dimensions to 16:9 widescreen, dark background RGB(14,22,34), Cyan headers RGB(2,132,199), and white body text. Include all bullet points, numbers, and add the verbatim speaker script into the slide notes for all 15 slides.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B: GENERATE 1-PAGE DELOITTE EXECUTIVE BRIEFING MEMO</w:t>
            </w:r>
          </w:p>
          <w:p>
            <w:pPr>
              <w:spacing w:before="30" w:after="60" w:line="276" w:lineRule="auto"/>
            </w:pPr>
            <w:r>
              <w:rPr>
                <w:rFonts w:ascii="Calibri" w:hAnsi="Calibri"/>
                <w:color w:val="334155"/>
                <w:sz w:val="18"/>
              </w:rPr>
              <w:t>Generate an executive briefing memo formatted for a Deloitte Supply Chain Practice Partner summarizing the ISB Capstone Mid-Review. Organize under 4 sections: 1. Executive Summary &amp; Problem Context, 2. Forensic Data &amp; Syntetos-Boylan Findings, 3. Algorithmic Breakthroughs &amp; Production Forecasts (42 series, 91.5K units), and 4. Commercial ROI &amp; Production Roadmap.</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C: GENERATE FLASHCARDS FOR FACULTY VIVA DEFENSE</w:t>
            </w:r>
          </w:p>
          <w:p>
            <w:pPr>
              <w:spacing w:before="30" w:after="60" w:line="276" w:lineRule="auto"/>
            </w:pPr>
            <w:r>
              <w:rPr>
                <w:rFonts w:ascii="Calibri" w:hAnsi="Calibri"/>
                <w:color w:val="334155"/>
                <w:sz w:val="18"/>
              </w:rPr>
              <w:t>Create 12 high-yield study flashcards for our team to prepare for faculty questioning. Include cards on: Syntetos-Boylan ADI and CV² cutoffs, Croston deflator formula, Ledoit-Wolf MinT reconciliation proof, temporal data leakage checkpoints, WAPE vs MAPE justification, and conformal prediction interval quantiles.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D: GENERATE SLIDE SPEAKER CUE CARDS WITH TIMESTAMPS</w:t>
            </w:r>
          </w:p>
          <w:p>
            <w:pPr>
              <w:spacing w:before="30" w:after="60" w:line="276" w:lineRule="auto"/>
            </w:pPr>
            <w:r>
              <w:rPr>
                <w:rFonts w:ascii="Calibri" w:hAnsi="Calibri"/>
                <w:color w:val="334155"/>
                <w:sz w:val="18"/>
              </w:rPr>
              <w:t>Generate a set of speaker cue cards for a 25-minute team presentation (Slides 1-15). For each slide, provide: Presenter Name, Allocated Time (e.g., 2 minutes), 3 Bullet Talking Points, and a smooth Transition Hook to the next slide.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E: GENERATE 2-MINUTE ELEVATOR PITCH FOR ACADEMIC DIRECTORS</w:t>
            </w:r>
          </w:p>
          <w:p>
            <w:pPr>
              <w:spacing w:before="30" w:after="60" w:line="276" w:lineRule="auto"/>
            </w:pPr>
            <w:r>
              <w:rPr>
                <w:rFonts w:ascii="Calibri" w:hAnsi="Calibri"/>
                <w:color w:val="334155"/>
                <w:sz w:val="18"/>
              </w:rPr>
              <w:t>Write a compelling 2-minute elevator pitch summarizing our capstone. Emphasize how our team resolved 70% lumpy demand across 154 SKUs in South India, transformed 82K dirty ERP records into an operational 7-page intelligence dashboard, and built a dual-track forecasting engine with zero temporal data leakage.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40" w:type="dxa"/>
            </w:tcMar>
            <w:tcBorders>
              <w:left w:val="single" w:sz="20" w:space="0" w:color="0284C7"/>
              <w:top w:val="none"/>
              <w:bottom w:val="none"/>
              <w:right w:val="none"/>
            </w:tcBorders>
          </w:tcPr>
          <w:p>
            <w:pPr>
              <w:spacing w:before="0" w:after="60"/>
            </w:pPr>
            <w:r>
              <w:rPr>
                <w:rFonts w:ascii="Calibri" w:hAnsi="Calibri"/>
                <w:b/>
                <w:color w:val="0284C7"/>
                <w:sz w:val="20"/>
              </w:rPr>
              <w:t>📋 PROMPT F: DEEP DIVE MODEL COMPARISON &amp; ERROR ANALYSIS TABLE</w:t>
            </w:r>
          </w:p>
          <w:p>
            <w:pPr>
              <w:spacing w:before="30" w:after="60" w:line="276" w:lineRule="auto"/>
            </w:pPr>
            <w:r>
              <w:rPr>
                <w:rFonts w:ascii="Calibri" w:hAnsi="Calibri"/>
                <w:color w:val="334155"/>
                <w:sz w:val="18"/>
              </w:rPr>
              <w:t>Extract and synthesize a detailed model comparison table from the source text comparing ARIMA, SARIMA, ETS, Croston SBA, Random Forest, and Gradient Boosting across: Algorithm Family, Suitable Demand Profile, Key Hyperparameters, Forecast Horizon, and Error Metric Performance.</w:t>
            </w:r>
          </w:p>
        </w:tc>
      </w:tr>
    </w:tbl>
    <w:p>
      <w:pPr>
        <w:spacing w:before="0" w:after="8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 xml:space="preserve">NotebookLM Master Source &amp; Presentation Script Dossier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ISB AMPBA Capstone  |  Deloitte  |  Enterprise Demand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