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9A73F1">
      <w:pPr>
        <w:spacing w:before="240" w:after="480"/>
        <w:jc w:val="center"/>
      </w:pPr>
      <w:bookmarkStart w:id="110" w:name="_GoBack"/>
      <w:bookmarkEnd w:id="110"/>
      <w:r>
        <w:drawing>
          <wp:inline distT="0" distB="0" distL="0" distR="0">
            <wp:extent cx="1619250" cy="904875"/>
            <wp:effectExtent l="0" t="0" r="0" b="0"/>
            <wp:docPr id="1" name="ISB logo" descr="Indian School of Business logo" title="IS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B logo" descr="Indian School of Business logo" title="ISB logo"/>
                    <pic:cNvPicPr>
                      <a:picLocks noChangeAspect="1" noChangeArrowheads="1"/>
                    </pic:cNvPicPr>
                  </pic:nvPicPr>
                  <pic:blipFill>
                    <a:blip r:embed="rId12"/>
                    <a:srcRect/>
                    <a:stretch>
                      <a:fillRect/>
                    </a:stretch>
                  </pic:blipFill>
                  <pic:spPr>
                    <a:xfrm>
                      <a:off x="0" y="0"/>
                      <a:ext cx="1619250" cy="904875"/>
                    </a:xfrm>
                    <a:prstGeom prst="rect">
                      <a:avLst/>
                    </a:prstGeom>
                  </pic:spPr>
                </pic:pic>
              </a:graphicData>
            </a:graphic>
          </wp:inline>
        </w:drawing>
      </w:r>
    </w:p>
    <w:p w14:paraId="095EDD44">
      <w:pPr>
        <w:spacing w:after="60" w:line="276" w:lineRule="auto"/>
        <w:jc w:val="center"/>
      </w:pPr>
      <w:r>
        <w:rPr>
          <w:color w:val="595959"/>
          <w:spacing w:val="30"/>
          <w:sz w:val="18"/>
          <w:szCs w:val="18"/>
        </w:rPr>
        <w:t>CAPSTONE PROJECT REPORT SUBMITTED TO THE</w:t>
      </w:r>
    </w:p>
    <w:p w14:paraId="175B1EB8">
      <w:pPr>
        <w:spacing w:after="60" w:line="276" w:lineRule="auto"/>
        <w:jc w:val="center"/>
      </w:pPr>
      <w:r>
        <w:rPr>
          <w:rFonts w:ascii="Cambria" w:hAnsi="Cambria" w:eastAsia="Cambria" w:cs="Cambria"/>
          <w:b/>
          <w:bCs/>
          <w:color w:val="1F3864"/>
          <w:sz w:val="30"/>
          <w:szCs w:val="30"/>
        </w:rPr>
        <w:t>INDIAN SCHOOL OF BUSINESS</w:t>
      </w:r>
    </w:p>
    <w:p w14:paraId="1DB64858">
      <w:pPr>
        <w:spacing w:after="60" w:line="276" w:lineRule="auto"/>
        <w:jc w:val="center"/>
      </w:pPr>
      <w:r>
        <w:rPr>
          <w:color w:val="595959"/>
          <w:spacing w:val="30"/>
          <w:sz w:val="18"/>
          <w:szCs w:val="18"/>
        </w:rPr>
        <w:t>FOR THE</w:t>
      </w:r>
    </w:p>
    <w:p w14:paraId="75022717">
      <w:pPr>
        <w:spacing w:after="600" w:line="276" w:lineRule="auto"/>
        <w:jc w:val="center"/>
      </w:pPr>
      <w:r>
        <w:rPr>
          <w:rFonts w:ascii="Cambria" w:hAnsi="Cambria" w:eastAsia="Cambria" w:cs="Cambria"/>
          <w:b/>
          <w:bCs/>
          <w:color w:val="1F3864"/>
        </w:rPr>
        <w:t>ADVANCED MANAGEMENT PROGRAMME IN BUSINESS ANALYTICS</w:t>
      </w:r>
    </w:p>
    <w:p w14:paraId="6EA2965D">
      <w:pPr>
        <w:pBdr>
          <w:top w:val="single" w:color="0F6B72" w:sz="12" w:space="18"/>
          <w:bottom w:val="single" w:color="0F6B72" w:sz="12" w:space="18"/>
        </w:pBdr>
        <w:spacing w:after="600" w:line="276" w:lineRule="auto"/>
        <w:jc w:val="center"/>
      </w:pPr>
      <w:r>
        <w:rPr>
          <w:rFonts w:ascii="Cambria" w:hAnsi="Cambria" w:eastAsia="Cambria" w:cs="Cambria"/>
          <w:b/>
          <w:bCs/>
          <w:sz w:val="30"/>
          <w:szCs w:val="30"/>
        </w:rPr>
        <w:t>DEMAND PREDICTION BY SKU: FORECASTING LUMPY ROOM AIR-CONDITIONER DEMAND FOR DEPOT REPLENISHMENT</w:t>
      </w:r>
    </w:p>
    <w:p w14:paraId="6E6F551C">
      <w:pPr>
        <w:spacing w:after="120" w:line="276" w:lineRule="auto"/>
        <w:jc w:val="center"/>
      </w:pPr>
      <w:r>
        <w:rPr>
          <w:color w:val="595959"/>
          <w:spacing w:val="30"/>
          <w:sz w:val="18"/>
          <w:szCs w:val="18"/>
        </w:rPr>
        <w:t>SUBMITTED BY</w:t>
      </w:r>
    </w:p>
    <w:p w14:paraId="4020FF98">
      <w:pPr>
        <w:spacing w:after="40" w:line="276" w:lineRule="auto"/>
        <w:jc w:val="center"/>
      </w:pPr>
      <w:r>
        <w:t>Sai Prashanth Sarathy   12510081</w:t>
      </w:r>
    </w:p>
    <w:p w14:paraId="4CFA3DC3">
      <w:pPr>
        <w:spacing w:after="40" w:line="276" w:lineRule="auto"/>
        <w:jc w:val="center"/>
      </w:pPr>
      <w:r>
        <w:t>R Arvindshankar   12510053</w:t>
      </w:r>
    </w:p>
    <w:p w14:paraId="37204FFC">
      <w:pPr>
        <w:spacing w:after="40" w:line="276" w:lineRule="auto"/>
        <w:jc w:val="center"/>
      </w:pPr>
      <w:r>
        <w:t>Hariharan N   12510102</w:t>
      </w:r>
    </w:p>
    <w:p w14:paraId="6DA950D5">
      <w:pPr>
        <w:spacing w:after="40" w:line="276" w:lineRule="auto"/>
        <w:jc w:val="center"/>
      </w:pPr>
      <w:r>
        <w:t>Vedika Sharma   12510071</w:t>
      </w:r>
    </w:p>
    <w:p w14:paraId="02D6C4CA">
      <w:pPr>
        <w:spacing w:after="40" w:line="276" w:lineRule="auto"/>
        <w:jc w:val="center"/>
      </w:pPr>
      <w:r>
        <w:t>Vani Som   12510023</w:t>
      </w:r>
    </w:p>
    <w:p w14:paraId="138EF6DD">
      <w:pPr>
        <w:spacing w:before="480" w:after="120" w:line="276" w:lineRule="auto"/>
        <w:jc w:val="center"/>
      </w:pPr>
      <w:r>
        <w:rPr>
          <w:color w:val="595959"/>
          <w:spacing w:val="30"/>
          <w:sz w:val="18"/>
          <w:szCs w:val="18"/>
        </w:rPr>
        <w:t>UNDER THE GUIDANCE OF</w:t>
      </w:r>
    </w:p>
    <w:p w14:paraId="6EA13CF2">
      <w:pPr>
        <w:spacing w:after="40" w:line="276" w:lineRule="auto"/>
        <w:jc w:val="center"/>
      </w:pPr>
      <w:r>
        <w:rPr>
          <w:i/>
          <w:iCs/>
          <w:color w:val="7F7F7F"/>
          <w:shd w:val="clear" w:color="auto" w:fill="F7F7F7"/>
        </w:rPr>
        <w:t>[Faculty Mentor Name], Institute of Data Science, Indian School of Business</w:t>
      </w:r>
    </w:p>
    <w:p w14:paraId="3AAC06C0">
      <w:pPr>
        <w:spacing w:after="40" w:line="276" w:lineRule="auto"/>
        <w:jc w:val="center"/>
      </w:pPr>
      <w:r>
        <w:rPr>
          <w:i/>
          <w:iCs/>
          <w:color w:val="7F7F7F"/>
          <w:shd w:val="clear" w:color="auto" w:fill="F7F7F7"/>
        </w:rPr>
        <w:t>[Industry Mentor Name], Deloitte Touche Tohmatsu India LLP</w:t>
      </w:r>
    </w:p>
    <w:p w14:paraId="748BD0E2">
      <w:pPr>
        <w:spacing w:before="720" w:after="0" w:line="276" w:lineRule="auto"/>
        <w:jc w:val="center"/>
      </w:pPr>
      <w:r>
        <w:rPr>
          <w:sz w:val="20"/>
          <w:szCs w:val="20"/>
        </w:rPr>
        <w:t>AMPBA Class of 2026S   |   October 2026</w:t>
      </w:r>
    </w:p>
    <w:p w14:paraId="32D965D7">
      <w:pPr>
        <w:sectPr>
          <w:headerReference r:id="rId5" w:type="default"/>
          <w:footerReference r:id="rId6" w:type="default"/>
          <w:pgSz w:w="12240" w:h="15840"/>
          <w:pgMar w:top="1440" w:right="1440" w:bottom="1440" w:left="1440" w:header="600" w:footer="600" w:gutter="0"/>
          <w:cols w:space="720" w:num="1"/>
          <w:docGrid w:linePitch="360" w:charSpace="0"/>
        </w:sectPr>
      </w:pPr>
    </w:p>
    <w:p w14:paraId="5924A6C5">
      <w:pPr>
        <w:pStyle w:val="2"/>
      </w:pPr>
      <w:bookmarkStart w:id="0" w:name="_Toc27971"/>
      <w:r>
        <w:t>Certificate</w:t>
      </w:r>
      <w:bookmarkEnd w:id="0"/>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3600"/>
        <w:gridCol w:w="5760"/>
      </w:tblGrid>
      <w:tr w14:paraId="79924E29">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3600" w:type="dxa"/>
            <w:shd w:val="clear" w:color="auto" w:fill="1F3864"/>
            <w:tcMar>
              <w:top w:w="80" w:type="dxa"/>
              <w:left w:w="120" w:type="dxa"/>
              <w:bottom w:w="80" w:type="dxa"/>
              <w:right w:w="120" w:type="dxa"/>
            </w:tcMar>
            <w:vAlign w:val="center"/>
          </w:tcPr>
          <w:p w14:paraId="6E1EC036">
            <w:pPr>
              <w:pStyle w:val="27"/>
            </w:pPr>
            <w:r>
              <w:t>Item</w:t>
            </w:r>
          </w:p>
        </w:tc>
        <w:tc>
          <w:tcPr>
            <w:tcW w:w="5760" w:type="dxa"/>
            <w:shd w:val="clear" w:color="auto" w:fill="1F3864"/>
            <w:tcMar>
              <w:top w:w="80" w:type="dxa"/>
              <w:left w:w="120" w:type="dxa"/>
              <w:bottom w:w="80" w:type="dxa"/>
              <w:right w:w="120" w:type="dxa"/>
            </w:tcMar>
            <w:vAlign w:val="center"/>
          </w:tcPr>
          <w:p w14:paraId="2CC0BFFE">
            <w:pPr>
              <w:pStyle w:val="27"/>
            </w:pPr>
            <w:r>
              <w:t>Details</w:t>
            </w:r>
          </w:p>
        </w:tc>
      </w:tr>
      <w:tr w14:paraId="1B5AC81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600" w:type="dxa"/>
            <w:tcMar>
              <w:top w:w="80" w:type="dxa"/>
              <w:left w:w="120" w:type="dxa"/>
              <w:bottom w:w="80" w:type="dxa"/>
              <w:right w:w="120" w:type="dxa"/>
            </w:tcMar>
          </w:tcPr>
          <w:p w14:paraId="7CCD6165">
            <w:pPr>
              <w:pStyle w:val="26"/>
              <w:keepNext/>
            </w:pPr>
            <w:r>
              <w:rPr>
                <w:b/>
                <w:bCs/>
                <w:color w:val="1F3864"/>
              </w:rPr>
              <w:t>Title of the Capstone Project</w:t>
            </w:r>
          </w:p>
        </w:tc>
        <w:tc>
          <w:tcPr>
            <w:tcW w:w="5760" w:type="dxa"/>
            <w:tcMar>
              <w:top w:w="80" w:type="dxa"/>
              <w:left w:w="120" w:type="dxa"/>
              <w:bottom w:w="80" w:type="dxa"/>
              <w:right w:w="120" w:type="dxa"/>
            </w:tcMar>
          </w:tcPr>
          <w:p w14:paraId="6E1E4C1C">
            <w:pPr>
              <w:pStyle w:val="26"/>
            </w:pPr>
            <w:r>
              <w:t>Demand Prediction by SKU: Forecasting Lumpy Room Air-Conditioner Demand for Depot Replenishment</w:t>
            </w:r>
          </w:p>
        </w:tc>
      </w:tr>
      <w:tr w14:paraId="428A5C5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600" w:type="dxa"/>
            <w:tcMar>
              <w:top w:w="80" w:type="dxa"/>
              <w:left w:w="120" w:type="dxa"/>
              <w:bottom w:w="80" w:type="dxa"/>
              <w:right w:w="120" w:type="dxa"/>
            </w:tcMar>
          </w:tcPr>
          <w:p w14:paraId="04BA957D">
            <w:pPr>
              <w:pStyle w:val="26"/>
              <w:keepNext/>
            </w:pPr>
            <w:r>
              <w:rPr>
                <w:b/>
                <w:bCs/>
                <w:color w:val="1F3864"/>
              </w:rPr>
              <w:t>Name(s) of the Candidate(s)</w:t>
            </w:r>
          </w:p>
        </w:tc>
        <w:tc>
          <w:tcPr>
            <w:tcW w:w="5760" w:type="dxa"/>
            <w:tcMar>
              <w:top w:w="80" w:type="dxa"/>
              <w:left w:w="120" w:type="dxa"/>
              <w:bottom w:w="80" w:type="dxa"/>
              <w:right w:w="120" w:type="dxa"/>
            </w:tcMar>
          </w:tcPr>
          <w:p w14:paraId="0505974F">
            <w:pPr>
              <w:pStyle w:val="26"/>
            </w:pPr>
            <w:r>
              <w:t>Sai Prashanth Sarathy (12510081); R Arvindshankar (12510053); Hariharan N (12510102); Vedika Sharma (12510071); Vani Som (12510023)</w:t>
            </w:r>
          </w:p>
        </w:tc>
      </w:tr>
      <w:tr w14:paraId="3CD6658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600" w:type="dxa"/>
            <w:tcMar>
              <w:top w:w="80" w:type="dxa"/>
              <w:left w:w="120" w:type="dxa"/>
              <w:bottom w:w="80" w:type="dxa"/>
              <w:right w:w="120" w:type="dxa"/>
            </w:tcMar>
          </w:tcPr>
          <w:p w14:paraId="51051047">
            <w:pPr>
              <w:pStyle w:val="26"/>
              <w:keepNext/>
            </w:pPr>
            <w:r>
              <w:rPr>
                <w:b/>
                <w:bCs/>
                <w:color w:val="1F3864"/>
              </w:rPr>
              <w:t>Name &amp; Affiliation of the Faculty Mentor</w:t>
            </w:r>
          </w:p>
        </w:tc>
        <w:tc>
          <w:tcPr>
            <w:tcW w:w="5760" w:type="dxa"/>
            <w:tcMar>
              <w:top w:w="80" w:type="dxa"/>
              <w:left w:w="120" w:type="dxa"/>
              <w:bottom w:w="80" w:type="dxa"/>
              <w:right w:w="120" w:type="dxa"/>
            </w:tcMar>
          </w:tcPr>
          <w:p w14:paraId="4A4E671B">
            <w:pPr>
              <w:pStyle w:val="26"/>
            </w:pPr>
            <w:r>
              <w:rPr>
                <w:shd w:val="clear" w:color="auto" w:fill="F7F7F7"/>
              </w:rPr>
              <w:t>[Faculty Mentor Name], Institute of Data Science, ISB</w:t>
            </w:r>
          </w:p>
        </w:tc>
      </w:tr>
      <w:tr w14:paraId="4E5BE76A">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600" w:type="dxa"/>
            <w:tcMar>
              <w:top w:w="80" w:type="dxa"/>
              <w:left w:w="120" w:type="dxa"/>
              <w:bottom w:w="80" w:type="dxa"/>
              <w:right w:w="120" w:type="dxa"/>
            </w:tcMar>
          </w:tcPr>
          <w:p w14:paraId="0802BDE6">
            <w:pPr>
              <w:pStyle w:val="26"/>
              <w:keepNext/>
            </w:pPr>
            <w:r>
              <w:rPr>
                <w:b/>
                <w:bCs/>
                <w:color w:val="1F3864"/>
              </w:rPr>
              <w:t>Name &amp; Affiliation of the Industry Mentor</w:t>
            </w:r>
          </w:p>
        </w:tc>
        <w:tc>
          <w:tcPr>
            <w:tcW w:w="5760" w:type="dxa"/>
            <w:tcMar>
              <w:top w:w="80" w:type="dxa"/>
              <w:left w:w="120" w:type="dxa"/>
              <w:bottom w:w="80" w:type="dxa"/>
              <w:right w:w="120" w:type="dxa"/>
            </w:tcMar>
          </w:tcPr>
          <w:p w14:paraId="6C3BD4B4">
            <w:pPr>
              <w:pStyle w:val="26"/>
            </w:pPr>
            <w:r>
              <w:rPr>
                <w:shd w:val="clear" w:color="auto" w:fill="F7F7F7"/>
              </w:rPr>
              <w:t>[Industry Mentor Name], Deloitte Touche Tohmatsu India LLP</w:t>
            </w:r>
          </w:p>
        </w:tc>
      </w:tr>
      <w:tr w14:paraId="7E699D7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600" w:type="dxa"/>
            <w:tcMar>
              <w:top w:w="80" w:type="dxa"/>
              <w:left w:w="120" w:type="dxa"/>
              <w:bottom w:w="80" w:type="dxa"/>
              <w:right w:w="120" w:type="dxa"/>
            </w:tcMar>
          </w:tcPr>
          <w:p w14:paraId="36C9A83F">
            <w:pPr>
              <w:pStyle w:val="26"/>
              <w:keepNext/>
            </w:pPr>
            <w:r>
              <w:rPr>
                <w:b/>
                <w:bCs/>
                <w:color w:val="1F3864"/>
              </w:rPr>
              <w:t>Batch</w:t>
            </w:r>
          </w:p>
        </w:tc>
        <w:tc>
          <w:tcPr>
            <w:tcW w:w="5760" w:type="dxa"/>
            <w:tcMar>
              <w:top w:w="80" w:type="dxa"/>
              <w:left w:w="120" w:type="dxa"/>
              <w:bottom w:w="80" w:type="dxa"/>
              <w:right w:w="120" w:type="dxa"/>
            </w:tcMar>
          </w:tcPr>
          <w:p w14:paraId="71485173">
            <w:pPr>
              <w:pStyle w:val="26"/>
            </w:pPr>
            <w:r>
              <w:t>AMPBA Class of 2026S</w:t>
            </w:r>
          </w:p>
        </w:tc>
      </w:tr>
      <w:tr w14:paraId="5783AB09">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600" w:type="dxa"/>
            <w:tcMar>
              <w:top w:w="80" w:type="dxa"/>
              <w:left w:w="120" w:type="dxa"/>
              <w:bottom w:w="80" w:type="dxa"/>
              <w:right w:w="120" w:type="dxa"/>
            </w:tcMar>
          </w:tcPr>
          <w:p w14:paraId="34C9CAD9">
            <w:pPr>
              <w:pStyle w:val="26"/>
            </w:pPr>
            <w:r>
              <w:rPr>
                <w:b/>
                <w:bCs/>
                <w:color w:val="1F3864"/>
              </w:rPr>
              <w:t>Date / Month of Submission</w:t>
            </w:r>
          </w:p>
        </w:tc>
        <w:tc>
          <w:tcPr>
            <w:tcW w:w="5760" w:type="dxa"/>
            <w:tcMar>
              <w:top w:w="80" w:type="dxa"/>
              <w:left w:w="120" w:type="dxa"/>
              <w:bottom w:w="80" w:type="dxa"/>
              <w:right w:w="120" w:type="dxa"/>
            </w:tcMar>
          </w:tcPr>
          <w:p w14:paraId="3C77B5BB">
            <w:pPr>
              <w:pStyle w:val="26"/>
            </w:pPr>
            <w:r>
              <w:t>October 2026</w:t>
            </w:r>
          </w:p>
        </w:tc>
      </w:tr>
    </w:tbl>
    <w:p w14:paraId="71456BE2"/>
    <w:p w14:paraId="0F48A15C">
      <w:pPr>
        <w:pStyle w:val="3"/>
      </w:pPr>
      <w:bookmarkStart w:id="1" w:name="_Toc21569"/>
      <w:r>
        <w:t>Declaration of Originality</w:t>
      </w:r>
      <w:bookmarkEnd w:id="1"/>
    </w:p>
    <w:p w14:paraId="7062FB65">
      <w:r>
        <w:t>We declare that this report is our own original work, prepared for the Capstone Project of the Advanced Management Programme in Business Analytics at the Indian School of Business. All sources of information used have been duly acknowledged and cited. Our use of generative-AI tools is disclosed in Appendix A. We understand that any violation of the honor code will attract the penalties specified therein.</w:t>
      </w:r>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3000"/>
        <w:gridCol w:w="1800"/>
        <w:gridCol w:w="2760"/>
        <w:gridCol w:w="1800"/>
      </w:tblGrid>
      <w:tr w14:paraId="076C1179">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3000" w:type="dxa"/>
            <w:shd w:val="clear" w:color="auto" w:fill="1F3864"/>
            <w:tcMar>
              <w:top w:w="80" w:type="dxa"/>
              <w:left w:w="120" w:type="dxa"/>
              <w:bottom w:w="80" w:type="dxa"/>
              <w:right w:w="120" w:type="dxa"/>
            </w:tcMar>
            <w:vAlign w:val="center"/>
          </w:tcPr>
          <w:p w14:paraId="20533BA4">
            <w:pPr>
              <w:pStyle w:val="27"/>
            </w:pPr>
            <w:r>
              <w:t>Name</w:t>
            </w:r>
          </w:p>
        </w:tc>
        <w:tc>
          <w:tcPr>
            <w:tcW w:w="1800" w:type="dxa"/>
            <w:shd w:val="clear" w:color="auto" w:fill="1F3864"/>
            <w:tcMar>
              <w:top w:w="80" w:type="dxa"/>
              <w:left w:w="120" w:type="dxa"/>
              <w:bottom w:w="80" w:type="dxa"/>
              <w:right w:w="120" w:type="dxa"/>
            </w:tcMar>
            <w:vAlign w:val="center"/>
          </w:tcPr>
          <w:p w14:paraId="3423D66D">
            <w:pPr>
              <w:pStyle w:val="27"/>
            </w:pPr>
            <w:r>
              <w:t>PGID</w:t>
            </w:r>
          </w:p>
        </w:tc>
        <w:tc>
          <w:tcPr>
            <w:tcW w:w="2760" w:type="dxa"/>
            <w:shd w:val="clear" w:color="auto" w:fill="1F3864"/>
            <w:tcMar>
              <w:top w:w="80" w:type="dxa"/>
              <w:left w:w="120" w:type="dxa"/>
              <w:bottom w:w="80" w:type="dxa"/>
              <w:right w:w="120" w:type="dxa"/>
            </w:tcMar>
            <w:vAlign w:val="center"/>
          </w:tcPr>
          <w:p w14:paraId="5DE5D0E3">
            <w:pPr>
              <w:pStyle w:val="27"/>
            </w:pPr>
            <w:r>
              <w:t>Signature</w:t>
            </w:r>
          </w:p>
        </w:tc>
        <w:tc>
          <w:tcPr>
            <w:tcW w:w="1800" w:type="dxa"/>
            <w:shd w:val="clear" w:color="auto" w:fill="1F3864"/>
            <w:tcMar>
              <w:top w:w="80" w:type="dxa"/>
              <w:left w:w="120" w:type="dxa"/>
              <w:bottom w:w="80" w:type="dxa"/>
              <w:right w:w="120" w:type="dxa"/>
            </w:tcMar>
            <w:vAlign w:val="center"/>
          </w:tcPr>
          <w:p w14:paraId="548B84A2">
            <w:pPr>
              <w:pStyle w:val="27"/>
            </w:pPr>
            <w:r>
              <w:t>Date</w:t>
            </w:r>
          </w:p>
        </w:tc>
      </w:tr>
      <w:tr w14:paraId="73BDDBE3">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000" w:type="dxa"/>
            <w:tcMar>
              <w:top w:w="80" w:type="dxa"/>
              <w:left w:w="120" w:type="dxa"/>
              <w:bottom w:w="80" w:type="dxa"/>
              <w:right w:w="120" w:type="dxa"/>
            </w:tcMar>
          </w:tcPr>
          <w:p w14:paraId="57E70188">
            <w:pPr>
              <w:pStyle w:val="26"/>
            </w:pPr>
            <w:r>
              <w:t>Sai Prashanth Sarathy</w:t>
            </w:r>
          </w:p>
        </w:tc>
        <w:tc>
          <w:tcPr>
            <w:tcW w:w="1800" w:type="dxa"/>
            <w:tcMar>
              <w:top w:w="80" w:type="dxa"/>
              <w:left w:w="120" w:type="dxa"/>
              <w:bottom w:w="80" w:type="dxa"/>
              <w:right w:w="120" w:type="dxa"/>
            </w:tcMar>
          </w:tcPr>
          <w:p w14:paraId="5432AF8C">
            <w:pPr>
              <w:pStyle w:val="26"/>
            </w:pPr>
            <w:r>
              <w:t>12510081</w:t>
            </w:r>
          </w:p>
        </w:tc>
        <w:tc>
          <w:tcPr>
            <w:tcW w:w="2760" w:type="dxa"/>
            <w:tcMar>
              <w:top w:w="80" w:type="dxa"/>
              <w:left w:w="120" w:type="dxa"/>
              <w:bottom w:w="80" w:type="dxa"/>
              <w:right w:w="120" w:type="dxa"/>
            </w:tcMar>
          </w:tcPr>
          <w:p w14:paraId="37857257">
            <w:pPr>
              <w:pStyle w:val="26"/>
              <w:keepNext/>
            </w:pPr>
          </w:p>
        </w:tc>
        <w:tc>
          <w:tcPr>
            <w:tcW w:w="1800" w:type="dxa"/>
            <w:tcMar>
              <w:top w:w="80" w:type="dxa"/>
              <w:left w:w="120" w:type="dxa"/>
              <w:bottom w:w="80" w:type="dxa"/>
              <w:right w:w="120" w:type="dxa"/>
            </w:tcMar>
          </w:tcPr>
          <w:p w14:paraId="15803D56">
            <w:pPr>
              <w:pStyle w:val="26"/>
            </w:pPr>
          </w:p>
        </w:tc>
      </w:tr>
      <w:tr w14:paraId="40AC7793">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000" w:type="dxa"/>
            <w:tcMar>
              <w:top w:w="80" w:type="dxa"/>
              <w:left w:w="120" w:type="dxa"/>
              <w:bottom w:w="80" w:type="dxa"/>
              <w:right w:w="120" w:type="dxa"/>
            </w:tcMar>
          </w:tcPr>
          <w:p w14:paraId="55A996E3">
            <w:pPr>
              <w:pStyle w:val="26"/>
            </w:pPr>
            <w:r>
              <w:t>R Arvindshankar</w:t>
            </w:r>
          </w:p>
        </w:tc>
        <w:tc>
          <w:tcPr>
            <w:tcW w:w="1800" w:type="dxa"/>
            <w:tcMar>
              <w:top w:w="80" w:type="dxa"/>
              <w:left w:w="120" w:type="dxa"/>
              <w:bottom w:w="80" w:type="dxa"/>
              <w:right w:w="120" w:type="dxa"/>
            </w:tcMar>
          </w:tcPr>
          <w:p w14:paraId="660E7361">
            <w:pPr>
              <w:pStyle w:val="26"/>
            </w:pPr>
            <w:r>
              <w:t>12510053</w:t>
            </w:r>
          </w:p>
        </w:tc>
        <w:tc>
          <w:tcPr>
            <w:tcW w:w="2760" w:type="dxa"/>
            <w:tcMar>
              <w:top w:w="80" w:type="dxa"/>
              <w:left w:w="120" w:type="dxa"/>
              <w:bottom w:w="80" w:type="dxa"/>
              <w:right w:w="120" w:type="dxa"/>
            </w:tcMar>
          </w:tcPr>
          <w:p w14:paraId="536D462D">
            <w:pPr>
              <w:pStyle w:val="26"/>
              <w:keepNext/>
            </w:pPr>
          </w:p>
        </w:tc>
        <w:tc>
          <w:tcPr>
            <w:tcW w:w="1800" w:type="dxa"/>
            <w:tcMar>
              <w:top w:w="80" w:type="dxa"/>
              <w:left w:w="120" w:type="dxa"/>
              <w:bottom w:w="80" w:type="dxa"/>
              <w:right w:w="120" w:type="dxa"/>
            </w:tcMar>
          </w:tcPr>
          <w:p w14:paraId="222A0271">
            <w:pPr>
              <w:pStyle w:val="26"/>
            </w:pPr>
          </w:p>
        </w:tc>
      </w:tr>
      <w:tr w14:paraId="13D71B37">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000" w:type="dxa"/>
            <w:tcMar>
              <w:top w:w="80" w:type="dxa"/>
              <w:left w:w="120" w:type="dxa"/>
              <w:bottom w:w="80" w:type="dxa"/>
              <w:right w:w="120" w:type="dxa"/>
            </w:tcMar>
          </w:tcPr>
          <w:p w14:paraId="33742A07">
            <w:pPr>
              <w:pStyle w:val="26"/>
            </w:pPr>
            <w:r>
              <w:t>Hariharan N</w:t>
            </w:r>
          </w:p>
        </w:tc>
        <w:tc>
          <w:tcPr>
            <w:tcW w:w="1800" w:type="dxa"/>
            <w:tcMar>
              <w:top w:w="80" w:type="dxa"/>
              <w:left w:w="120" w:type="dxa"/>
              <w:bottom w:w="80" w:type="dxa"/>
              <w:right w:w="120" w:type="dxa"/>
            </w:tcMar>
          </w:tcPr>
          <w:p w14:paraId="0A7D3067">
            <w:pPr>
              <w:pStyle w:val="26"/>
            </w:pPr>
            <w:r>
              <w:t>12510102</w:t>
            </w:r>
          </w:p>
        </w:tc>
        <w:tc>
          <w:tcPr>
            <w:tcW w:w="2760" w:type="dxa"/>
            <w:tcMar>
              <w:top w:w="80" w:type="dxa"/>
              <w:left w:w="120" w:type="dxa"/>
              <w:bottom w:w="80" w:type="dxa"/>
              <w:right w:w="120" w:type="dxa"/>
            </w:tcMar>
          </w:tcPr>
          <w:p w14:paraId="7FB69B6F">
            <w:pPr>
              <w:pStyle w:val="26"/>
              <w:keepNext/>
            </w:pPr>
          </w:p>
        </w:tc>
        <w:tc>
          <w:tcPr>
            <w:tcW w:w="1800" w:type="dxa"/>
            <w:tcMar>
              <w:top w:w="80" w:type="dxa"/>
              <w:left w:w="120" w:type="dxa"/>
              <w:bottom w:w="80" w:type="dxa"/>
              <w:right w:w="120" w:type="dxa"/>
            </w:tcMar>
          </w:tcPr>
          <w:p w14:paraId="1B75DE1F">
            <w:pPr>
              <w:pStyle w:val="26"/>
            </w:pPr>
          </w:p>
        </w:tc>
      </w:tr>
      <w:tr w14:paraId="37B9E66D">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000" w:type="dxa"/>
            <w:tcMar>
              <w:top w:w="80" w:type="dxa"/>
              <w:left w:w="120" w:type="dxa"/>
              <w:bottom w:w="80" w:type="dxa"/>
              <w:right w:w="120" w:type="dxa"/>
            </w:tcMar>
          </w:tcPr>
          <w:p w14:paraId="3E3BB930">
            <w:pPr>
              <w:pStyle w:val="26"/>
            </w:pPr>
            <w:r>
              <w:t>Vedika Sharma</w:t>
            </w:r>
          </w:p>
        </w:tc>
        <w:tc>
          <w:tcPr>
            <w:tcW w:w="1800" w:type="dxa"/>
            <w:tcMar>
              <w:top w:w="80" w:type="dxa"/>
              <w:left w:w="120" w:type="dxa"/>
              <w:bottom w:w="80" w:type="dxa"/>
              <w:right w:w="120" w:type="dxa"/>
            </w:tcMar>
          </w:tcPr>
          <w:p w14:paraId="143C46B9">
            <w:pPr>
              <w:pStyle w:val="26"/>
            </w:pPr>
            <w:r>
              <w:t>12510071</w:t>
            </w:r>
          </w:p>
        </w:tc>
        <w:tc>
          <w:tcPr>
            <w:tcW w:w="2760" w:type="dxa"/>
            <w:tcMar>
              <w:top w:w="80" w:type="dxa"/>
              <w:left w:w="120" w:type="dxa"/>
              <w:bottom w:w="80" w:type="dxa"/>
              <w:right w:w="120" w:type="dxa"/>
            </w:tcMar>
          </w:tcPr>
          <w:p w14:paraId="6771EA57">
            <w:pPr>
              <w:pStyle w:val="26"/>
            </w:pPr>
          </w:p>
        </w:tc>
        <w:tc>
          <w:tcPr>
            <w:tcW w:w="1800" w:type="dxa"/>
            <w:tcMar>
              <w:top w:w="80" w:type="dxa"/>
              <w:left w:w="120" w:type="dxa"/>
              <w:bottom w:w="80" w:type="dxa"/>
              <w:right w:w="120" w:type="dxa"/>
            </w:tcMar>
          </w:tcPr>
          <w:p w14:paraId="18380238">
            <w:pPr>
              <w:pStyle w:val="26"/>
            </w:pPr>
          </w:p>
        </w:tc>
      </w:tr>
      <w:tr w14:paraId="3FA11957">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000" w:type="dxa"/>
            <w:tcMar>
              <w:top w:w="80" w:type="dxa"/>
              <w:left w:w="120" w:type="dxa"/>
              <w:bottom w:w="80" w:type="dxa"/>
              <w:right w:w="120" w:type="dxa"/>
            </w:tcMar>
          </w:tcPr>
          <w:p w14:paraId="3E440787">
            <w:pPr>
              <w:pStyle w:val="26"/>
            </w:pPr>
            <w:r>
              <w:t>Vani Som</w:t>
            </w:r>
          </w:p>
        </w:tc>
        <w:tc>
          <w:tcPr>
            <w:tcW w:w="1800" w:type="dxa"/>
            <w:tcMar>
              <w:top w:w="80" w:type="dxa"/>
              <w:left w:w="120" w:type="dxa"/>
              <w:bottom w:w="80" w:type="dxa"/>
              <w:right w:w="120" w:type="dxa"/>
            </w:tcMar>
          </w:tcPr>
          <w:p w14:paraId="7AAAD3B9">
            <w:pPr>
              <w:pStyle w:val="26"/>
            </w:pPr>
            <w:r>
              <w:t>12510023</w:t>
            </w:r>
          </w:p>
        </w:tc>
        <w:tc>
          <w:tcPr>
            <w:tcW w:w="2760" w:type="dxa"/>
            <w:tcMar>
              <w:top w:w="80" w:type="dxa"/>
              <w:left w:w="120" w:type="dxa"/>
              <w:bottom w:w="80" w:type="dxa"/>
              <w:right w:w="120" w:type="dxa"/>
            </w:tcMar>
          </w:tcPr>
          <w:p w14:paraId="50BA8FF8">
            <w:pPr>
              <w:pStyle w:val="26"/>
              <w:keepNext/>
            </w:pPr>
          </w:p>
        </w:tc>
        <w:tc>
          <w:tcPr>
            <w:tcW w:w="1800" w:type="dxa"/>
            <w:tcMar>
              <w:top w:w="80" w:type="dxa"/>
              <w:left w:w="120" w:type="dxa"/>
              <w:bottom w:w="80" w:type="dxa"/>
              <w:right w:w="120" w:type="dxa"/>
            </w:tcMar>
          </w:tcPr>
          <w:p w14:paraId="08B8417D">
            <w:pPr>
              <w:pStyle w:val="26"/>
            </w:pPr>
          </w:p>
        </w:tc>
      </w:tr>
    </w:tbl>
    <w:p w14:paraId="71C9B365"/>
    <w:p w14:paraId="61F414B0">
      <w:pPr>
        <w:pStyle w:val="3"/>
      </w:pPr>
      <w:bookmarkStart w:id="2" w:name="_Toc23447"/>
      <w:r>
        <w:t>Sponsor Confidentiality Note</w:t>
      </w:r>
      <w:bookmarkEnd w:id="2"/>
    </w:p>
    <w:p w14:paraId="6BCA8C76">
      <w:r>
        <w:t>This report draws on a confidential billing extract that Deloitte's client, a room air-conditioner manufacturer, shared for this capstone. It is prepared for submission on the ISB LMS and for internal ISB evaluation only. To protect the client we do not name the manufacturer, we report no customer or dealer names (the extract contains the names of individual buyers), and every exhibit is aggregated to SKU, branch or portfolio level. Sponsor review status: [confirm whether Deloitte has reviewed and approved this version, and the date of approval].</w:t>
      </w:r>
    </w:p>
    <w:p w14:paraId="547B739E">
      <w:pPr>
        <w:pStyle w:val="2"/>
      </w:pPr>
      <w:bookmarkStart w:id="3" w:name="_Toc1295"/>
      <w:r>
        <w:t>Acknowledgements</w:t>
      </w:r>
      <w:bookmarkEnd w:id="3"/>
    </w:p>
    <w:p w14:paraId="1F0F4BD8">
      <w:r>
        <w:t>We thank the Indian School of Business and the Institute of Data Science for the opportunity to work on a live industry problem as part of the Advanced Management Programme in Business Analytics. We are grateful to our faculty mentor, [Faculty Mentor Name], for steady guidance on methodology and for pushing us to connect forecast accuracy to inventory decisions, and to our industry mentor, [Industry Mentor Name], and the Deloitte team for framing the business problem, arranging access to the data and answering our many questions about how depots plan replenishment. We also thank the manufacturer's planning team, whose data made this work possible.</w:t>
      </w:r>
    </w:p>
    <w:p w14:paraId="28DD4FF9">
      <w:pPr>
        <w:spacing w:after="240"/>
      </w:pPr>
    </w:p>
    <w:p w14:paraId="4D51C744">
      <w:pPr>
        <w:spacing w:after="0"/>
        <w:jc w:val="right"/>
      </w:pPr>
      <w:r>
        <w:t>Sai Prashanth Sarathy, R Arvindshankar, Hariharan N, Vedika Sharma, Vani Som</w:t>
      </w:r>
    </w:p>
    <w:p w14:paraId="5556644D">
      <w:pPr>
        <w:jc w:val="right"/>
      </w:pPr>
      <w:r>
        <w:t>October 2026</w:t>
      </w:r>
    </w:p>
    <w:p w14:paraId="6E52CDB0">
      <w:pPr>
        <w:keepNext/>
        <w:pageBreakBefore/>
        <w:pBdr>
          <w:bottom w:val="single" w:color="1F3864" w:sz="8" w:space="6"/>
        </w:pBdr>
        <w:spacing w:after="240" w:line="240" w:lineRule="auto"/>
      </w:pPr>
      <w:r>
        <w:rPr>
          <w:rFonts w:ascii="Cambria" w:hAnsi="Cambria" w:eastAsia="Cambria" w:cs="Cambria"/>
          <w:b/>
          <w:bCs/>
          <w:color w:val="1F3864"/>
          <w:sz w:val="32"/>
          <w:szCs w:val="32"/>
        </w:rPr>
        <w:t>Table of Contents</w:t>
      </w:r>
    </w:p>
    <w:sdt>
      <w:sdtPr>
        <w:alias w:val="Table of Contents"/>
        <w:id w:val="-667563170"/>
      </w:sdtPr>
      <w:sdtEndPr>
        <w:rPr>
          <w:b w:val="0"/>
          <w:bCs w:val="0"/>
          <w:color w:val="333333"/>
        </w:rPr>
      </w:sdtEndPr>
      <w:sdtContent>
        <w:p w14:paraId="4399E496">
          <w:pPr>
            <w:tabs>
              <w:tab w:val="right" w:leader="dot" w:pos="9350"/>
            </w:tabs>
            <w:rPr>
              <w:rFonts w:ascii="Calibri" w:hAnsi="Calibri" w:eastAsia="Calibri" w:cs="Calibri"/>
              <w:color w:val="333333"/>
              <w:sz w:val="22"/>
              <w:szCs w:val="22"/>
              <w:lang w:val="en-GB" w:eastAsia="en-GB" w:bidi="ar-SA"/>
            </w:rPr>
          </w:pPr>
          <w:r>
            <w:fldChar w:fldCharType="begin"/>
          </w:r>
          <w:r>
            <w:instrText xml:space="preserve">TOC \h \o "1-3"</w:instrText>
          </w:r>
          <w:r>
            <w:fldChar w:fldCharType="separate"/>
          </w:r>
        </w:p>
        <w:p w14:paraId="63452A79">
          <w:pPr>
            <w:pStyle w:val="18"/>
            <w:tabs>
              <w:tab w:val="right" w:leader="dot" w:pos="9360"/>
            </w:tabs>
          </w:pPr>
          <w:r>
            <w:fldChar w:fldCharType="begin"/>
          </w:r>
          <w:r>
            <w:instrText xml:space="preserve"> HYPERLINK \l _Toc27971 </w:instrText>
          </w:r>
          <w:r>
            <w:fldChar w:fldCharType="separate"/>
          </w:r>
          <w:r>
            <w:t>Certificate</w:t>
          </w:r>
          <w:r>
            <w:tab/>
          </w:r>
          <w:r>
            <w:fldChar w:fldCharType="begin"/>
          </w:r>
          <w:r>
            <w:instrText xml:space="preserve"> PAGEREF _Toc27971 \h </w:instrText>
          </w:r>
          <w:r>
            <w:fldChar w:fldCharType="separate"/>
          </w:r>
          <w:r>
            <w:t>i</w:t>
          </w:r>
          <w:r>
            <w:fldChar w:fldCharType="end"/>
          </w:r>
          <w:r>
            <w:fldChar w:fldCharType="end"/>
          </w:r>
        </w:p>
        <w:p w14:paraId="457203F4">
          <w:pPr>
            <w:pStyle w:val="19"/>
            <w:tabs>
              <w:tab w:val="right" w:leader="dot" w:pos="9360"/>
            </w:tabs>
          </w:pPr>
          <w:r>
            <w:fldChar w:fldCharType="begin"/>
          </w:r>
          <w:r>
            <w:instrText xml:space="preserve"> HYPERLINK \l _Toc21569 </w:instrText>
          </w:r>
          <w:r>
            <w:fldChar w:fldCharType="separate"/>
          </w:r>
          <w:r>
            <w:t>Declaration of Originality</w:t>
          </w:r>
          <w:r>
            <w:tab/>
          </w:r>
          <w:r>
            <w:fldChar w:fldCharType="begin"/>
          </w:r>
          <w:r>
            <w:instrText xml:space="preserve"> PAGEREF _Toc21569 \h </w:instrText>
          </w:r>
          <w:r>
            <w:fldChar w:fldCharType="separate"/>
          </w:r>
          <w:r>
            <w:t>i</w:t>
          </w:r>
          <w:r>
            <w:fldChar w:fldCharType="end"/>
          </w:r>
          <w:r>
            <w:fldChar w:fldCharType="end"/>
          </w:r>
        </w:p>
        <w:p w14:paraId="1741EC32">
          <w:pPr>
            <w:pStyle w:val="19"/>
            <w:tabs>
              <w:tab w:val="right" w:leader="dot" w:pos="9360"/>
            </w:tabs>
          </w:pPr>
          <w:r>
            <w:fldChar w:fldCharType="begin"/>
          </w:r>
          <w:r>
            <w:instrText xml:space="preserve"> HYPERLINK \l _Toc23447 </w:instrText>
          </w:r>
          <w:r>
            <w:fldChar w:fldCharType="separate"/>
          </w:r>
          <w:r>
            <w:t>Sponsor Confidentiality Note</w:t>
          </w:r>
          <w:r>
            <w:tab/>
          </w:r>
          <w:r>
            <w:fldChar w:fldCharType="begin"/>
          </w:r>
          <w:r>
            <w:instrText xml:space="preserve"> PAGEREF _Toc23447 \h </w:instrText>
          </w:r>
          <w:r>
            <w:fldChar w:fldCharType="separate"/>
          </w:r>
          <w:r>
            <w:t>i</w:t>
          </w:r>
          <w:r>
            <w:fldChar w:fldCharType="end"/>
          </w:r>
          <w:r>
            <w:fldChar w:fldCharType="end"/>
          </w:r>
        </w:p>
        <w:p w14:paraId="23C86A93">
          <w:pPr>
            <w:pStyle w:val="18"/>
            <w:tabs>
              <w:tab w:val="right" w:leader="dot" w:pos="9360"/>
            </w:tabs>
          </w:pPr>
          <w:r>
            <w:fldChar w:fldCharType="begin"/>
          </w:r>
          <w:r>
            <w:instrText xml:space="preserve"> HYPERLINK \l _Toc1295 </w:instrText>
          </w:r>
          <w:r>
            <w:fldChar w:fldCharType="separate"/>
          </w:r>
          <w:r>
            <w:t>Acknowledgements</w:t>
          </w:r>
          <w:r>
            <w:tab/>
          </w:r>
          <w:r>
            <w:fldChar w:fldCharType="begin"/>
          </w:r>
          <w:r>
            <w:instrText xml:space="preserve"> PAGEREF _Toc1295 \h </w:instrText>
          </w:r>
          <w:r>
            <w:fldChar w:fldCharType="separate"/>
          </w:r>
          <w:r>
            <w:t>iii</w:t>
          </w:r>
          <w:r>
            <w:fldChar w:fldCharType="end"/>
          </w:r>
          <w:r>
            <w:fldChar w:fldCharType="end"/>
          </w:r>
        </w:p>
        <w:p w14:paraId="633B75D1">
          <w:pPr>
            <w:pStyle w:val="18"/>
            <w:tabs>
              <w:tab w:val="right" w:leader="dot" w:pos="9360"/>
            </w:tabs>
          </w:pPr>
          <w:r>
            <w:fldChar w:fldCharType="begin"/>
          </w:r>
          <w:r>
            <w:instrText xml:space="preserve"> HYPERLINK \l _Toc11502 </w:instrText>
          </w:r>
          <w:r>
            <w:fldChar w:fldCharType="separate"/>
          </w:r>
          <w:r>
            <w:t>List of Tables</w:t>
          </w:r>
          <w:r>
            <w:tab/>
          </w:r>
          <w:r>
            <w:fldChar w:fldCharType="begin"/>
          </w:r>
          <w:r>
            <w:instrText xml:space="preserve"> PAGEREF _Toc11502 \h </w:instrText>
          </w:r>
          <w:r>
            <w:fldChar w:fldCharType="separate"/>
          </w:r>
          <w:r>
            <w:t>vii</w:t>
          </w:r>
          <w:r>
            <w:fldChar w:fldCharType="end"/>
          </w:r>
          <w:r>
            <w:fldChar w:fldCharType="end"/>
          </w:r>
        </w:p>
        <w:p w14:paraId="54F4C772">
          <w:pPr>
            <w:pStyle w:val="18"/>
            <w:tabs>
              <w:tab w:val="right" w:leader="dot" w:pos="9360"/>
            </w:tabs>
          </w:pPr>
          <w:r>
            <w:fldChar w:fldCharType="begin"/>
          </w:r>
          <w:r>
            <w:instrText xml:space="preserve"> HYPERLINK \l _Toc24689 </w:instrText>
          </w:r>
          <w:r>
            <w:fldChar w:fldCharType="separate"/>
          </w:r>
          <w:r>
            <w:t>List of Figures</w:t>
          </w:r>
          <w:r>
            <w:tab/>
          </w:r>
          <w:r>
            <w:fldChar w:fldCharType="begin"/>
          </w:r>
          <w:r>
            <w:instrText xml:space="preserve"> PAGEREF _Toc24689 \h </w:instrText>
          </w:r>
          <w:r>
            <w:fldChar w:fldCharType="separate"/>
          </w:r>
          <w:r>
            <w:t>viii</w:t>
          </w:r>
          <w:r>
            <w:fldChar w:fldCharType="end"/>
          </w:r>
          <w:r>
            <w:fldChar w:fldCharType="end"/>
          </w:r>
        </w:p>
        <w:p w14:paraId="416F6F57">
          <w:pPr>
            <w:pStyle w:val="18"/>
            <w:tabs>
              <w:tab w:val="right" w:leader="dot" w:pos="9360"/>
            </w:tabs>
          </w:pPr>
          <w:r>
            <w:fldChar w:fldCharType="begin"/>
          </w:r>
          <w:r>
            <w:instrText xml:space="preserve"> HYPERLINK \l _Toc15541 </w:instrText>
          </w:r>
          <w:r>
            <w:fldChar w:fldCharType="separate"/>
          </w:r>
          <w:r>
            <w:t>List of Abbreviations</w:t>
          </w:r>
          <w:r>
            <w:tab/>
          </w:r>
          <w:r>
            <w:fldChar w:fldCharType="begin"/>
          </w:r>
          <w:r>
            <w:instrText xml:space="preserve"> PAGEREF _Toc15541 \h </w:instrText>
          </w:r>
          <w:r>
            <w:fldChar w:fldCharType="separate"/>
          </w:r>
          <w:r>
            <w:t>ix</w:t>
          </w:r>
          <w:r>
            <w:fldChar w:fldCharType="end"/>
          </w:r>
          <w:r>
            <w:fldChar w:fldCharType="end"/>
          </w:r>
        </w:p>
        <w:p w14:paraId="436FF006">
          <w:pPr>
            <w:pStyle w:val="18"/>
            <w:tabs>
              <w:tab w:val="right" w:leader="dot" w:pos="9360"/>
            </w:tabs>
          </w:pPr>
          <w:r>
            <w:fldChar w:fldCharType="begin"/>
          </w:r>
          <w:r>
            <w:instrText xml:space="preserve"> HYPERLINK \l _Toc6893 </w:instrText>
          </w:r>
          <w:r>
            <w:fldChar w:fldCharType="separate"/>
          </w:r>
          <w:r>
            <w:t>Abstract</w:t>
          </w:r>
          <w:r>
            <w:tab/>
          </w:r>
          <w:r>
            <w:fldChar w:fldCharType="begin"/>
          </w:r>
          <w:r>
            <w:instrText xml:space="preserve"> PAGEREF _Toc6893 \h </w:instrText>
          </w:r>
          <w:r>
            <w:fldChar w:fldCharType="separate"/>
          </w:r>
          <w:r>
            <w:t>xi</w:t>
          </w:r>
          <w:r>
            <w:fldChar w:fldCharType="end"/>
          </w:r>
          <w:r>
            <w:fldChar w:fldCharType="end"/>
          </w:r>
        </w:p>
        <w:p w14:paraId="74FAC20C">
          <w:pPr>
            <w:pStyle w:val="18"/>
            <w:tabs>
              <w:tab w:val="right" w:leader="dot" w:pos="9360"/>
            </w:tabs>
          </w:pPr>
          <w:r>
            <w:fldChar w:fldCharType="begin"/>
          </w:r>
          <w:r>
            <w:instrText xml:space="preserve"> HYPERLINK \l _Toc24814 </w:instrText>
          </w:r>
          <w:r>
            <w:fldChar w:fldCharType="separate"/>
          </w:r>
          <w:r>
            <w:t>Executive Summary</w:t>
          </w:r>
          <w:r>
            <w:tab/>
          </w:r>
          <w:r>
            <w:fldChar w:fldCharType="begin"/>
          </w:r>
          <w:r>
            <w:instrText xml:space="preserve"> PAGEREF _Toc24814 \h </w:instrText>
          </w:r>
          <w:r>
            <w:fldChar w:fldCharType="separate"/>
          </w:r>
          <w:r>
            <w:t>xii</w:t>
          </w:r>
          <w:r>
            <w:fldChar w:fldCharType="end"/>
          </w:r>
          <w:r>
            <w:fldChar w:fldCharType="end"/>
          </w:r>
        </w:p>
        <w:p w14:paraId="1B7ACD96">
          <w:pPr>
            <w:pStyle w:val="18"/>
            <w:tabs>
              <w:tab w:val="right" w:leader="dot" w:pos="9360"/>
            </w:tabs>
          </w:pPr>
          <w:r>
            <w:fldChar w:fldCharType="begin"/>
          </w:r>
          <w:r>
            <w:instrText xml:space="preserve"> HYPERLINK \l _Toc32739 </w:instrText>
          </w:r>
          <w:r>
            <w:fldChar w:fldCharType="separate"/>
          </w:r>
          <w:r>
            <w:t>Chapter 1: Introduction</w:t>
          </w:r>
          <w:r>
            <w:tab/>
          </w:r>
          <w:r>
            <w:fldChar w:fldCharType="begin"/>
          </w:r>
          <w:r>
            <w:instrText xml:space="preserve"> PAGEREF _Toc32739 \h </w:instrText>
          </w:r>
          <w:r>
            <w:fldChar w:fldCharType="separate"/>
          </w:r>
          <w:r>
            <w:t>1</w:t>
          </w:r>
          <w:r>
            <w:fldChar w:fldCharType="end"/>
          </w:r>
          <w:r>
            <w:fldChar w:fldCharType="end"/>
          </w:r>
        </w:p>
        <w:p w14:paraId="64ECA769">
          <w:pPr>
            <w:pStyle w:val="19"/>
            <w:tabs>
              <w:tab w:val="right" w:leader="dot" w:pos="9360"/>
            </w:tabs>
          </w:pPr>
          <w:r>
            <w:fldChar w:fldCharType="begin"/>
          </w:r>
          <w:r>
            <w:instrText xml:space="preserve"> HYPERLINK \l _Toc22347 </w:instrText>
          </w:r>
          <w:r>
            <w:fldChar w:fldCharType="separate"/>
          </w:r>
          <w:r>
            <w:t>1.1  Background and Context</w:t>
          </w:r>
          <w:r>
            <w:tab/>
          </w:r>
          <w:r>
            <w:fldChar w:fldCharType="begin"/>
          </w:r>
          <w:r>
            <w:instrText xml:space="preserve"> PAGEREF _Toc22347 \h </w:instrText>
          </w:r>
          <w:r>
            <w:fldChar w:fldCharType="separate"/>
          </w:r>
          <w:r>
            <w:t>1</w:t>
          </w:r>
          <w:r>
            <w:fldChar w:fldCharType="end"/>
          </w:r>
          <w:r>
            <w:fldChar w:fldCharType="end"/>
          </w:r>
        </w:p>
        <w:p w14:paraId="78C5D632">
          <w:pPr>
            <w:pStyle w:val="19"/>
            <w:tabs>
              <w:tab w:val="right" w:leader="dot" w:pos="9360"/>
            </w:tabs>
          </w:pPr>
          <w:r>
            <w:fldChar w:fldCharType="begin"/>
          </w:r>
          <w:r>
            <w:instrText xml:space="preserve"> HYPERLINK \l _Toc24236 </w:instrText>
          </w:r>
          <w:r>
            <w:fldChar w:fldCharType="separate"/>
          </w:r>
          <w:r>
            <w:t>1.2  Problem Statement, Objectives and Significance</w:t>
          </w:r>
          <w:r>
            <w:tab/>
          </w:r>
          <w:r>
            <w:fldChar w:fldCharType="begin"/>
          </w:r>
          <w:r>
            <w:instrText xml:space="preserve"> PAGEREF _Toc24236 \h </w:instrText>
          </w:r>
          <w:r>
            <w:fldChar w:fldCharType="separate"/>
          </w:r>
          <w:r>
            <w:t>1</w:t>
          </w:r>
          <w:r>
            <w:fldChar w:fldCharType="end"/>
          </w:r>
          <w:r>
            <w:fldChar w:fldCharType="end"/>
          </w:r>
        </w:p>
        <w:p w14:paraId="0C2AE666">
          <w:pPr>
            <w:pStyle w:val="19"/>
            <w:tabs>
              <w:tab w:val="right" w:leader="dot" w:pos="9360"/>
            </w:tabs>
          </w:pPr>
          <w:r>
            <w:fldChar w:fldCharType="begin"/>
          </w:r>
          <w:r>
            <w:instrText xml:space="preserve"> HYPERLINK \l _Toc24688 </w:instrText>
          </w:r>
          <w:r>
            <w:fldChar w:fldCharType="separate"/>
          </w:r>
          <w:r>
            <w:t>1.3  Scope and Limitations</w:t>
          </w:r>
          <w:r>
            <w:tab/>
          </w:r>
          <w:r>
            <w:fldChar w:fldCharType="begin"/>
          </w:r>
          <w:r>
            <w:instrText xml:space="preserve"> PAGEREF _Toc24688 \h </w:instrText>
          </w:r>
          <w:r>
            <w:fldChar w:fldCharType="separate"/>
          </w:r>
          <w:r>
            <w:t>2</w:t>
          </w:r>
          <w:r>
            <w:fldChar w:fldCharType="end"/>
          </w:r>
          <w:r>
            <w:fldChar w:fldCharType="end"/>
          </w:r>
        </w:p>
        <w:p w14:paraId="2A9ACBD6">
          <w:pPr>
            <w:pStyle w:val="19"/>
            <w:tabs>
              <w:tab w:val="right" w:leader="dot" w:pos="9360"/>
            </w:tabs>
          </w:pPr>
          <w:r>
            <w:fldChar w:fldCharType="begin"/>
          </w:r>
          <w:r>
            <w:instrText xml:space="preserve"> HYPERLINK \l _Toc4448 </w:instrText>
          </w:r>
          <w:r>
            <w:fldChar w:fldCharType="separate"/>
          </w:r>
          <w:r>
            <w:t>1.4  Key Terminology</w:t>
          </w:r>
          <w:r>
            <w:tab/>
          </w:r>
          <w:r>
            <w:fldChar w:fldCharType="begin"/>
          </w:r>
          <w:r>
            <w:instrText xml:space="preserve"> PAGEREF _Toc4448 \h </w:instrText>
          </w:r>
          <w:r>
            <w:fldChar w:fldCharType="separate"/>
          </w:r>
          <w:r>
            <w:t>2</w:t>
          </w:r>
          <w:r>
            <w:fldChar w:fldCharType="end"/>
          </w:r>
          <w:r>
            <w:fldChar w:fldCharType="end"/>
          </w:r>
        </w:p>
        <w:p w14:paraId="34D0DCDB">
          <w:pPr>
            <w:pStyle w:val="20"/>
            <w:tabs>
              <w:tab w:val="right" w:leader="dot" w:pos="9360"/>
            </w:tabs>
          </w:pPr>
          <w:r>
            <w:fldChar w:fldCharType="begin"/>
          </w:r>
          <w:r>
            <w:instrText xml:space="preserve"> HYPERLINK \l _Toc8716 </w:instrText>
          </w:r>
          <w:r>
            <w:fldChar w:fldCharType="separate"/>
          </w:r>
          <w:r>
            <w:t>1.4.1  Intermittent and lumpy demand</w:t>
          </w:r>
          <w:r>
            <w:tab/>
          </w:r>
          <w:r>
            <w:fldChar w:fldCharType="begin"/>
          </w:r>
          <w:r>
            <w:instrText xml:space="preserve"> PAGEREF _Toc8716 \h </w:instrText>
          </w:r>
          <w:r>
            <w:fldChar w:fldCharType="separate"/>
          </w:r>
          <w:r>
            <w:t>2</w:t>
          </w:r>
          <w:r>
            <w:fldChar w:fldCharType="end"/>
          </w:r>
          <w:r>
            <w:fldChar w:fldCharType="end"/>
          </w:r>
        </w:p>
        <w:p w14:paraId="70A0B73A">
          <w:pPr>
            <w:pStyle w:val="20"/>
            <w:tabs>
              <w:tab w:val="right" w:leader="dot" w:pos="9360"/>
            </w:tabs>
          </w:pPr>
          <w:r>
            <w:fldChar w:fldCharType="begin"/>
          </w:r>
          <w:r>
            <w:instrText xml:space="preserve"> HYPERLINK \l _Toc29441 </w:instrText>
          </w:r>
          <w:r>
            <w:fldChar w:fldCharType="separate"/>
          </w:r>
          <w:r>
            <w:t>1.4.2  Weighted absolute percentage error (WAPE)</w:t>
          </w:r>
          <w:r>
            <w:tab/>
          </w:r>
          <w:r>
            <w:fldChar w:fldCharType="begin"/>
          </w:r>
          <w:r>
            <w:instrText xml:space="preserve"> PAGEREF _Toc29441 \h </w:instrText>
          </w:r>
          <w:r>
            <w:fldChar w:fldCharType="separate"/>
          </w:r>
          <w:r>
            <w:t>3</w:t>
          </w:r>
          <w:r>
            <w:fldChar w:fldCharType="end"/>
          </w:r>
          <w:r>
            <w:fldChar w:fldCharType="end"/>
          </w:r>
        </w:p>
        <w:p w14:paraId="0A9AAAC9">
          <w:pPr>
            <w:pStyle w:val="20"/>
            <w:tabs>
              <w:tab w:val="right" w:leader="dot" w:pos="9360"/>
            </w:tabs>
          </w:pPr>
          <w:r>
            <w:fldChar w:fldCharType="begin"/>
          </w:r>
          <w:r>
            <w:instrText xml:space="preserve"> HYPERLINK \l _Toc28387 </w:instrText>
          </w:r>
          <w:r>
            <w:fldChar w:fldCharType="separate"/>
          </w:r>
          <w:r>
            <w:t>1.4.3  Rolling-origin evaluation</w:t>
          </w:r>
          <w:r>
            <w:tab/>
          </w:r>
          <w:r>
            <w:fldChar w:fldCharType="begin"/>
          </w:r>
          <w:r>
            <w:instrText xml:space="preserve"> PAGEREF _Toc28387 \h </w:instrText>
          </w:r>
          <w:r>
            <w:fldChar w:fldCharType="separate"/>
          </w:r>
          <w:r>
            <w:t>3</w:t>
          </w:r>
          <w:r>
            <w:fldChar w:fldCharType="end"/>
          </w:r>
          <w:r>
            <w:fldChar w:fldCharType="end"/>
          </w:r>
        </w:p>
        <w:p w14:paraId="4CEDEA27">
          <w:pPr>
            <w:pStyle w:val="20"/>
            <w:tabs>
              <w:tab w:val="right" w:leader="dot" w:pos="9360"/>
            </w:tabs>
          </w:pPr>
          <w:r>
            <w:fldChar w:fldCharType="begin"/>
          </w:r>
          <w:r>
            <w:instrText xml:space="preserve"> HYPERLINK \l _Toc2026 </w:instrText>
          </w:r>
          <w:r>
            <w:fldChar w:fldCharType="separate"/>
          </w:r>
          <w:r>
            <w:t>1.4.4  Safety stock and service level</w:t>
          </w:r>
          <w:r>
            <w:tab/>
          </w:r>
          <w:r>
            <w:fldChar w:fldCharType="begin"/>
          </w:r>
          <w:r>
            <w:instrText xml:space="preserve"> PAGEREF _Toc2026 \h </w:instrText>
          </w:r>
          <w:r>
            <w:fldChar w:fldCharType="separate"/>
          </w:r>
          <w:r>
            <w:t>3</w:t>
          </w:r>
          <w:r>
            <w:fldChar w:fldCharType="end"/>
          </w:r>
          <w:r>
            <w:fldChar w:fldCharType="end"/>
          </w:r>
        </w:p>
        <w:p w14:paraId="341E2CAC">
          <w:pPr>
            <w:pStyle w:val="18"/>
            <w:tabs>
              <w:tab w:val="right" w:leader="dot" w:pos="9360"/>
            </w:tabs>
          </w:pPr>
          <w:r>
            <w:fldChar w:fldCharType="begin"/>
          </w:r>
          <w:r>
            <w:instrText xml:space="preserve"> HYPERLINK \l _Toc19456 </w:instrText>
          </w:r>
          <w:r>
            <w:fldChar w:fldCharType="separate"/>
          </w:r>
          <w:r>
            <w:t>Chapter 2: Review of Related Literature</w:t>
          </w:r>
          <w:r>
            <w:tab/>
          </w:r>
          <w:r>
            <w:fldChar w:fldCharType="begin"/>
          </w:r>
          <w:r>
            <w:instrText xml:space="preserve"> PAGEREF _Toc19456 \h </w:instrText>
          </w:r>
          <w:r>
            <w:fldChar w:fldCharType="separate"/>
          </w:r>
          <w:r>
            <w:t>4</w:t>
          </w:r>
          <w:r>
            <w:fldChar w:fldCharType="end"/>
          </w:r>
          <w:r>
            <w:fldChar w:fldCharType="end"/>
          </w:r>
        </w:p>
        <w:p w14:paraId="5C175740">
          <w:pPr>
            <w:pStyle w:val="19"/>
            <w:tabs>
              <w:tab w:val="right" w:leader="dot" w:pos="9360"/>
            </w:tabs>
          </w:pPr>
          <w:r>
            <w:fldChar w:fldCharType="begin"/>
          </w:r>
          <w:r>
            <w:instrText xml:space="preserve"> HYPERLINK \l _Toc29351 </w:instrText>
          </w:r>
          <w:r>
            <w:fldChar w:fldCharType="separate"/>
          </w:r>
          <w:r>
            <w:t>2.1  Classifying Demand Patterns</w:t>
          </w:r>
          <w:r>
            <w:tab/>
          </w:r>
          <w:r>
            <w:fldChar w:fldCharType="begin"/>
          </w:r>
          <w:r>
            <w:instrText xml:space="preserve"> PAGEREF _Toc29351 \h </w:instrText>
          </w:r>
          <w:r>
            <w:fldChar w:fldCharType="separate"/>
          </w:r>
          <w:r>
            <w:t>4</w:t>
          </w:r>
          <w:r>
            <w:fldChar w:fldCharType="end"/>
          </w:r>
          <w:r>
            <w:fldChar w:fldCharType="end"/>
          </w:r>
        </w:p>
        <w:p w14:paraId="280C4D71">
          <w:pPr>
            <w:pStyle w:val="19"/>
            <w:tabs>
              <w:tab w:val="right" w:leader="dot" w:pos="9360"/>
            </w:tabs>
          </w:pPr>
          <w:r>
            <w:fldChar w:fldCharType="begin"/>
          </w:r>
          <w:r>
            <w:instrText xml:space="preserve"> HYPERLINK \l _Toc1196 </w:instrText>
          </w:r>
          <w:r>
            <w:fldChar w:fldCharType="separate"/>
          </w:r>
          <w:r>
            <w:t>2.2  Estimators for Intermittent Demand</w:t>
          </w:r>
          <w:r>
            <w:tab/>
          </w:r>
          <w:r>
            <w:fldChar w:fldCharType="begin"/>
          </w:r>
          <w:r>
            <w:instrText xml:space="preserve"> PAGEREF _Toc1196 \h </w:instrText>
          </w:r>
          <w:r>
            <w:fldChar w:fldCharType="separate"/>
          </w:r>
          <w:r>
            <w:t>4</w:t>
          </w:r>
          <w:r>
            <w:fldChar w:fldCharType="end"/>
          </w:r>
          <w:r>
            <w:fldChar w:fldCharType="end"/>
          </w:r>
        </w:p>
        <w:p w14:paraId="6B124ADE">
          <w:pPr>
            <w:pStyle w:val="19"/>
            <w:tabs>
              <w:tab w:val="right" w:leader="dot" w:pos="9360"/>
            </w:tabs>
          </w:pPr>
          <w:r>
            <w:fldChar w:fldCharType="begin"/>
          </w:r>
          <w:r>
            <w:instrText xml:space="preserve"> HYPERLINK \l _Toc24739 </w:instrText>
          </w:r>
          <w:r>
            <w:fldChar w:fldCharType="separate"/>
          </w:r>
          <w:r>
            <w:t>2.3  Machine Learning and Global Models</w:t>
          </w:r>
          <w:r>
            <w:tab/>
          </w:r>
          <w:r>
            <w:fldChar w:fldCharType="begin"/>
          </w:r>
          <w:r>
            <w:instrText xml:space="preserve"> PAGEREF _Toc24739 \h </w:instrText>
          </w:r>
          <w:r>
            <w:fldChar w:fldCharType="separate"/>
          </w:r>
          <w:r>
            <w:t>5</w:t>
          </w:r>
          <w:r>
            <w:fldChar w:fldCharType="end"/>
          </w:r>
          <w:r>
            <w:fldChar w:fldCharType="end"/>
          </w:r>
        </w:p>
        <w:p w14:paraId="3DA5A594">
          <w:pPr>
            <w:pStyle w:val="19"/>
            <w:tabs>
              <w:tab w:val="right" w:leader="dot" w:pos="9360"/>
            </w:tabs>
          </w:pPr>
          <w:r>
            <w:fldChar w:fldCharType="begin"/>
          </w:r>
          <w:r>
            <w:instrText xml:space="preserve"> HYPERLINK \l _Toc27352 </w:instrText>
          </w:r>
          <w:r>
            <w:fldChar w:fldCharType="separate"/>
          </w:r>
          <w:r>
            <w:t>2.4  Measuring Forecast Accuracy</w:t>
          </w:r>
          <w:r>
            <w:tab/>
          </w:r>
          <w:r>
            <w:fldChar w:fldCharType="begin"/>
          </w:r>
          <w:r>
            <w:instrText xml:space="preserve"> PAGEREF _Toc27352 \h </w:instrText>
          </w:r>
          <w:r>
            <w:fldChar w:fldCharType="separate"/>
          </w:r>
          <w:r>
            <w:t>5</w:t>
          </w:r>
          <w:r>
            <w:fldChar w:fldCharType="end"/>
          </w:r>
          <w:r>
            <w:fldChar w:fldCharType="end"/>
          </w:r>
        </w:p>
        <w:p w14:paraId="71676C64">
          <w:pPr>
            <w:pStyle w:val="19"/>
            <w:tabs>
              <w:tab w:val="right" w:leader="dot" w:pos="9360"/>
            </w:tabs>
          </w:pPr>
          <w:r>
            <w:fldChar w:fldCharType="begin"/>
          </w:r>
          <w:r>
            <w:instrText xml:space="preserve"> HYPERLINK \l _Toc13660 </w:instrText>
          </w:r>
          <w:r>
            <w:fldChar w:fldCharType="separate"/>
          </w:r>
          <w:r>
            <w:t>2.5  From Forecasts to Inventory Decisions</w:t>
          </w:r>
          <w:r>
            <w:tab/>
          </w:r>
          <w:r>
            <w:fldChar w:fldCharType="begin"/>
          </w:r>
          <w:r>
            <w:instrText xml:space="preserve"> PAGEREF _Toc13660 \h </w:instrText>
          </w:r>
          <w:r>
            <w:fldChar w:fldCharType="separate"/>
          </w:r>
          <w:r>
            <w:t>6</w:t>
          </w:r>
          <w:r>
            <w:fldChar w:fldCharType="end"/>
          </w:r>
          <w:r>
            <w:fldChar w:fldCharType="end"/>
          </w:r>
        </w:p>
        <w:p w14:paraId="6737D52F">
          <w:pPr>
            <w:pStyle w:val="18"/>
            <w:tabs>
              <w:tab w:val="right" w:leader="dot" w:pos="9360"/>
            </w:tabs>
          </w:pPr>
          <w:r>
            <w:fldChar w:fldCharType="begin"/>
          </w:r>
          <w:r>
            <w:instrText xml:space="preserve"> HYPERLINK \l _Toc4123 </w:instrText>
          </w:r>
          <w:r>
            <w:fldChar w:fldCharType="separate"/>
          </w:r>
          <w:r>
            <w:t>Chapter 3: Business Context and Data</w:t>
          </w:r>
          <w:r>
            <w:tab/>
          </w:r>
          <w:r>
            <w:fldChar w:fldCharType="begin"/>
          </w:r>
          <w:r>
            <w:instrText xml:space="preserve"> PAGEREF _Toc4123 \h </w:instrText>
          </w:r>
          <w:r>
            <w:fldChar w:fldCharType="separate"/>
          </w:r>
          <w:r>
            <w:t>8</w:t>
          </w:r>
          <w:r>
            <w:fldChar w:fldCharType="end"/>
          </w:r>
          <w:r>
            <w:fldChar w:fldCharType="end"/>
          </w:r>
        </w:p>
        <w:p w14:paraId="15685759">
          <w:pPr>
            <w:pStyle w:val="19"/>
            <w:tabs>
              <w:tab w:val="right" w:leader="dot" w:pos="9360"/>
            </w:tabs>
          </w:pPr>
          <w:r>
            <w:fldChar w:fldCharType="begin"/>
          </w:r>
          <w:r>
            <w:instrText xml:space="preserve"> HYPERLINK \l _Toc12267 </w:instrText>
          </w:r>
          <w:r>
            <w:fldChar w:fldCharType="separate"/>
          </w:r>
          <w:r>
            <w:t>3.1  Business / Research Problem</w:t>
          </w:r>
          <w:r>
            <w:tab/>
          </w:r>
          <w:r>
            <w:fldChar w:fldCharType="begin"/>
          </w:r>
          <w:r>
            <w:instrText xml:space="preserve"> PAGEREF _Toc12267 \h </w:instrText>
          </w:r>
          <w:r>
            <w:fldChar w:fldCharType="separate"/>
          </w:r>
          <w:r>
            <w:t>8</w:t>
          </w:r>
          <w:r>
            <w:fldChar w:fldCharType="end"/>
          </w:r>
          <w:r>
            <w:fldChar w:fldCharType="end"/>
          </w:r>
        </w:p>
        <w:p w14:paraId="57CC24F8">
          <w:pPr>
            <w:pStyle w:val="19"/>
            <w:tabs>
              <w:tab w:val="right" w:leader="dot" w:pos="9360"/>
            </w:tabs>
          </w:pPr>
          <w:r>
            <w:fldChar w:fldCharType="begin"/>
          </w:r>
          <w:r>
            <w:instrText xml:space="preserve"> HYPERLINK \l _Toc25471 </w:instrText>
          </w:r>
          <w:r>
            <w:fldChar w:fldCharType="separate"/>
          </w:r>
          <w:r>
            <w:t>3.2  Data Available</w:t>
          </w:r>
          <w:r>
            <w:tab/>
          </w:r>
          <w:r>
            <w:fldChar w:fldCharType="begin"/>
          </w:r>
          <w:r>
            <w:instrText xml:space="preserve"> PAGEREF _Toc25471 \h </w:instrText>
          </w:r>
          <w:r>
            <w:fldChar w:fldCharType="separate"/>
          </w:r>
          <w:r>
            <w:t>8</w:t>
          </w:r>
          <w:r>
            <w:fldChar w:fldCharType="end"/>
          </w:r>
          <w:r>
            <w:fldChar w:fldCharType="end"/>
          </w:r>
        </w:p>
        <w:p w14:paraId="2CDC9ABA">
          <w:pPr>
            <w:pStyle w:val="20"/>
            <w:tabs>
              <w:tab w:val="right" w:leader="dot" w:pos="9360"/>
            </w:tabs>
          </w:pPr>
          <w:r>
            <w:fldChar w:fldCharType="begin"/>
          </w:r>
          <w:r>
            <w:instrText xml:space="preserve"> HYPERLINK \l _Toc26156 </w:instrText>
          </w:r>
          <w:r>
            <w:fldChar w:fldCharType="separate"/>
          </w:r>
          <w:r>
            <w:t>Notable features in the data</w:t>
          </w:r>
          <w:r>
            <w:tab/>
          </w:r>
          <w:r>
            <w:fldChar w:fldCharType="begin"/>
          </w:r>
          <w:r>
            <w:instrText xml:space="preserve"> PAGEREF _Toc26156 \h </w:instrText>
          </w:r>
          <w:r>
            <w:fldChar w:fldCharType="separate"/>
          </w:r>
          <w:r>
            <w:t>10</w:t>
          </w:r>
          <w:r>
            <w:fldChar w:fldCharType="end"/>
          </w:r>
          <w:r>
            <w:fldChar w:fldCharType="end"/>
          </w:r>
        </w:p>
        <w:p w14:paraId="15CBE2D8">
          <w:pPr>
            <w:pStyle w:val="19"/>
            <w:tabs>
              <w:tab w:val="right" w:leader="dot" w:pos="9360"/>
            </w:tabs>
          </w:pPr>
          <w:r>
            <w:fldChar w:fldCharType="begin"/>
          </w:r>
          <w:r>
            <w:instrText xml:space="preserve"> HYPERLINK \l _Toc17054 </w:instrText>
          </w:r>
          <w:r>
            <w:fldChar w:fldCharType="separate"/>
          </w:r>
          <w:r>
            <w:t>3.3  Data Governance and Ethics</w:t>
          </w:r>
          <w:r>
            <w:tab/>
          </w:r>
          <w:r>
            <w:fldChar w:fldCharType="begin"/>
          </w:r>
          <w:r>
            <w:instrText xml:space="preserve"> PAGEREF _Toc17054 \h </w:instrText>
          </w:r>
          <w:r>
            <w:fldChar w:fldCharType="separate"/>
          </w:r>
          <w:r>
            <w:t>10</w:t>
          </w:r>
          <w:r>
            <w:fldChar w:fldCharType="end"/>
          </w:r>
          <w:r>
            <w:fldChar w:fldCharType="end"/>
          </w:r>
        </w:p>
        <w:p w14:paraId="4E8FB026">
          <w:pPr>
            <w:pStyle w:val="18"/>
            <w:tabs>
              <w:tab w:val="right" w:leader="dot" w:pos="9360"/>
            </w:tabs>
          </w:pPr>
          <w:r>
            <w:fldChar w:fldCharType="begin"/>
          </w:r>
          <w:r>
            <w:instrText xml:space="preserve"> HYPERLINK \l _Toc2505 </w:instrText>
          </w:r>
          <w:r>
            <w:fldChar w:fldCharType="separate"/>
          </w:r>
          <w:r>
            <w:t>Chapter 4: Methodology: Assumptions and Approach</w:t>
          </w:r>
          <w:r>
            <w:tab/>
          </w:r>
          <w:r>
            <w:fldChar w:fldCharType="begin"/>
          </w:r>
          <w:r>
            <w:instrText xml:space="preserve"> PAGEREF _Toc2505 \h </w:instrText>
          </w:r>
          <w:r>
            <w:fldChar w:fldCharType="separate"/>
          </w:r>
          <w:r>
            <w:t>12</w:t>
          </w:r>
          <w:r>
            <w:fldChar w:fldCharType="end"/>
          </w:r>
          <w:r>
            <w:fldChar w:fldCharType="end"/>
          </w:r>
        </w:p>
        <w:p w14:paraId="639D0D1F">
          <w:pPr>
            <w:pStyle w:val="19"/>
            <w:tabs>
              <w:tab w:val="right" w:leader="dot" w:pos="9360"/>
            </w:tabs>
          </w:pPr>
          <w:r>
            <w:fldChar w:fldCharType="begin"/>
          </w:r>
          <w:r>
            <w:instrText xml:space="preserve"> HYPERLINK \l _Toc16625 </w:instrText>
          </w:r>
          <w:r>
            <w:fldChar w:fldCharType="separate"/>
          </w:r>
          <w:r>
            <w:t>4.1  Assumptions</w:t>
          </w:r>
          <w:r>
            <w:tab/>
          </w:r>
          <w:r>
            <w:fldChar w:fldCharType="begin"/>
          </w:r>
          <w:r>
            <w:instrText xml:space="preserve"> PAGEREF _Toc16625 \h </w:instrText>
          </w:r>
          <w:r>
            <w:fldChar w:fldCharType="separate"/>
          </w:r>
          <w:r>
            <w:t>12</w:t>
          </w:r>
          <w:r>
            <w:fldChar w:fldCharType="end"/>
          </w:r>
          <w:r>
            <w:fldChar w:fldCharType="end"/>
          </w:r>
        </w:p>
        <w:p w14:paraId="1E805D24">
          <w:pPr>
            <w:pStyle w:val="19"/>
            <w:tabs>
              <w:tab w:val="right" w:leader="dot" w:pos="9360"/>
            </w:tabs>
          </w:pPr>
          <w:r>
            <w:fldChar w:fldCharType="begin"/>
          </w:r>
          <w:r>
            <w:instrText xml:space="preserve"> HYPERLINK \l _Toc20209 </w:instrText>
          </w:r>
          <w:r>
            <w:fldChar w:fldCharType="separate"/>
          </w:r>
          <w:r>
            <w:t>4.2  Approach and Tools</w:t>
          </w:r>
          <w:r>
            <w:tab/>
          </w:r>
          <w:r>
            <w:fldChar w:fldCharType="begin"/>
          </w:r>
          <w:r>
            <w:instrText xml:space="preserve"> PAGEREF _Toc20209 \h </w:instrText>
          </w:r>
          <w:r>
            <w:fldChar w:fldCharType="separate"/>
          </w:r>
          <w:r>
            <w:t>13</w:t>
          </w:r>
          <w:r>
            <w:fldChar w:fldCharType="end"/>
          </w:r>
          <w:r>
            <w:fldChar w:fldCharType="end"/>
          </w:r>
        </w:p>
        <w:p w14:paraId="54424979">
          <w:pPr>
            <w:pStyle w:val="20"/>
            <w:tabs>
              <w:tab w:val="right" w:leader="dot" w:pos="9360"/>
            </w:tabs>
          </w:pPr>
          <w:r>
            <w:fldChar w:fldCharType="begin"/>
          </w:r>
          <w:r>
            <w:instrText xml:space="preserve"> HYPERLINK \l _Toc15925 </w:instrText>
          </w:r>
          <w:r>
            <w:fldChar w:fldCharType="separate"/>
          </w:r>
          <w:r>
            <w:t>Candidate methods</w:t>
          </w:r>
          <w:r>
            <w:tab/>
          </w:r>
          <w:r>
            <w:fldChar w:fldCharType="begin"/>
          </w:r>
          <w:r>
            <w:instrText xml:space="preserve"> PAGEREF _Toc15925 \h </w:instrText>
          </w:r>
          <w:r>
            <w:fldChar w:fldCharType="separate"/>
          </w:r>
          <w:r>
            <w:t>13</w:t>
          </w:r>
          <w:r>
            <w:fldChar w:fldCharType="end"/>
          </w:r>
          <w:r>
            <w:fldChar w:fldCharType="end"/>
          </w:r>
        </w:p>
        <w:p w14:paraId="40CD4FFD">
          <w:pPr>
            <w:pStyle w:val="20"/>
            <w:tabs>
              <w:tab w:val="right" w:leader="dot" w:pos="9360"/>
            </w:tabs>
          </w:pPr>
          <w:r>
            <w:fldChar w:fldCharType="begin"/>
          </w:r>
          <w:r>
            <w:instrText xml:space="preserve"> HYPERLINK \l _Toc18828 </w:instrText>
          </w:r>
          <w:r>
            <w:fldChar w:fldCharType="separate"/>
          </w:r>
          <w:r>
            <w:t>Rolling-origin evaluation</w:t>
          </w:r>
          <w:r>
            <w:tab/>
          </w:r>
          <w:r>
            <w:fldChar w:fldCharType="begin"/>
          </w:r>
          <w:r>
            <w:instrText xml:space="preserve"> PAGEREF _Toc18828 \h </w:instrText>
          </w:r>
          <w:r>
            <w:fldChar w:fldCharType="separate"/>
          </w:r>
          <w:r>
            <w:t>13</w:t>
          </w:r>
          <w:r>
            <w:fldChar w:fldCharType="end"/>
          </w:r>
          <w:r>
            <w:fldChar w:fldCharType="end"/>
          </w:r>
        </w:p>
        <w:p w14:paraId="04E62A9D">
          <w:pPr>
            <w:pStyle w:val="20"/>
            <w:tabs>
              <w:tab w:val="right" w:leader="dot" w:pos="9360"/>
            </w:tabs>
          </w:pPr>
          <w:r>
            <w:fldChar w:fldCharType="begin"/>
          </w:r>
          <w:r>
            <w:instrText xml:space="preserve"> HYPERLINK \l _Toc27984 </w:instrText>
          </w:r>
          <w:r>
            <w:fldChar w:fldCharType="separate"/>
          </w:r>
          <w:r>
            <w:t>Metrics and selection</w:t>
          </w:r>
          <w:r>
            <w:tab/>
          </w:r>
          <w:r>
            <w:fldChar w:fldCharType="begin"/>
          </w:r>
          <w:r>
            <w:instrText xml:space="preserve"> PAGEREF _Toc27984 \h </w:instrText>
          </w:r>
          <w:r>
            <w:fldChar w:fldCharType="separate"/>
          </w:r>
          <w:r>
            <w:t>14</w:t>
          </w:r>
          <w:r>
            <w:fldChar w:fldCharType="end"/>
          </w:r>
          <w:r>
            <w:fldChar w:fldCharType="end"/>
          </w:r>
        </w:p>
        <w:p w14:paraId="3C111785">
          <w:pPr>
            <w:pStyle w:val="20"/>
            <w:tabs>
              <w:tab w:val="right" w:leader="dot" w:pos="9360"/>
            </w:tabs>
          </w:pPr>
          <w:r>
            <w:fldChar w:fldCharType="begin"/>
          </w:r>
          <w:r>
            <w:instrText xml:space="preserve"> HYPERLINK \l _Toc32027 </w:instrText>
          </w:r>
          <w:r>
            <w:fldChar w:fldCharType="separate"/>
          </w:r>
          <w:r>
            <w:t>From forecast error to safety stock</w:t>
          </w:r>
          <w:r>
            <w:tab/>
          </w:r>
          <w:r>
            <w:fldChar w:fldCharType="begin"/>
          </w:r>
          <w:r>
            <w:instrText xml:space="preserve"> PAGEREF _Toc32027 \h </w:instrText>
          </w:r>
          <w:r>
            <w:fldChar w:fldCharType="separate"/>
          </w:r>
          <w:r>
            <w:t>14</w:t>
          </w:r>
          <w:r>
            <w:fldChar w:fldCharType="end"/>
          </w:r>
          <w:r>
            <w:fldChar w:fldCharType="end"/>
          </w:r>
        </w:p>
        <w:p w14:paraId="720877FC">
          <w:pPr>
            <w:pStyle w:val="20"/>
            <w:tabs>
              <w:tab w:val="right" w:leader="dot" w:pos="9360"/>
            </w:tabs>
          </w:pPr>
          <w:r>
            <w:fldChar w:fldCharType="begin"/>
          </w:r>
          <w:r>
            <w:instrText xml:space="preserve"> HYPERLINK \l _Toc14118 </w:instrText>
          </w:r>
          <w:r>
            <w:fldChar w:fldCharType="separate"/>
          </w:r>
          <w:r>
            <w:t>Tools and technologies</w:t>
          </w:r>
          <w:r>
            <w:tab/>
          </w:r>
          <w:r>
            <w:fldChar w:fldCharType="begin"/>
          </w:r>
          <w:r>
            <w:instrText xml:space="preserve"> PAGEREF _Toc14118 \h </w:instrText>
          </w:r>
          <w:r>
            <w:fldChar w:fldCharType="separate"/>
          </w:r>
          <w:r>
            <w:t>15</w:t>
          </w:r>
          <w:r>
            <w:fldChar w:fldCharType="end"/>
          </w:r>
          <w:r>
            <w:fldChar w:fldCharType="end"/>
          </w:r>
        </w:p>
        <w:p w14:paraId="0A119B92">
          <w:pPr>
            <w:pStyle w:val="18"/>
            <w:tabs>
              <w:tab w:val="right" w:leader="dot" w:pos="9360"/>
            </w:tabs>
          </w:pPr>
          <w:r>
            <w:fldChar w:fldCharType="begin"/>
          </w:r>
          <w:r>
            <w:instrText xml:space="preserve"> HYPERLINK \l _Toc31922 </w:instrText>
          </w:r>
          <w:r>
            <w:fldChar w:fldCharType="separate"/>
          </w:r>
          <w:r>
            <w:t>Chapter 5: Exploratory Data Analysis</w:t>
          </w:r>
          <w:r>
            <w:tab/>
          </w:r>
          <w:r>
            <w:fldChar w:fldCharType="begin"/>
          </w:r>
          <w:r>
            <w:instrText xml:space="preserve"> PAGEREF _Toc31922 \h </w:instrText>
          </w:r>
          <w:r>
            <w:fldChar w:fldCharType="separate"/>
          </w:r>
          <w:r>
            <w:t>16</w:t>
          </w:r>
          <w:r>
            <w:fldChar w:fldCharType="end"/>
          </w:r>
          <w:r>
            <w:fldChar w:fldCharType="end"/>
          </w:r>
        </w:p>
        <w:p w14:paraId="11B74502">
          <w:pPr>
            <w:pStyle w:val="19"/>
            <w:tabs>
              <w:tab w:val="right" w:leader="dot" w:pos="9360"/>
            </w:tabs>
          </w:pPr>
          <w:r>
            <w:fldChar w:fldCharType="begin"/>
          </w:r>
          <w:r>
            <w:instrText xml:space="preserve"> HYPERLINK \l _Toc309 </w:instrText>
          </w:r>
          <w:r>
            <w:fldChar w:fldCharType="separate"/>
          </w:r>
          <w:r>
            <w:t>5.1  Data Quality and Cleaning</w:t>
          </w:r>
          <w:r>
            <w:tab/>
          </w:r>
          <w:r>
            <w:fldChar w:fldCharType="begin"/>
          </w:r>
          <w:r>
            <w:instrText xml:space="preserve"> PAGEREF _Toc309 \h </w:instrText>
          </w:r>
          <w:r>
            <w:fldChar w:fldCharType="separate"/>
          </w:r>
          <w:r>
            <w:t>16</w:t>
          </w:r>
          <w:r>
            <w:fldChar w:fldCharType="end"/>
          </w:r>
          <w:r>
            <w:fldChar w:fldCharType="end"/>
          </w:r>
        </w:p>
        <w:p w14:paraId="286600A2">
          <w:pPr>
            <w:pStyle w:val="19"/>
            <w:tabs>
              <w:tab w:val="right" w:leader="dot" w:pos="9360"/>
            </w:tabs>
          </w:pPr>
          <w:r>
            <w:fldChar w:fldCharType="begin"/>
          </w:r>
          <w:r>
            <w:instrText xml:space="preserve"> HYPERLINK \l _Toc9133 </w:instrText>
          </w:r>
          <w:r>
            <w:fldChar w:fldCharType="separate"/>
          </w:r>
          <w:r>
            <w:t>5.2  Volume over Time and Seasonality</w:t>
          </w:r>
          <w:r>
            <w:tab/>
          </w:r>
          <w:r>
            <w:fldChar w:fldCharType="begin"/>
          </w:r>
          <w:r>
            <w:instrText xml:space="preserve"> PAGEREF _Toc9133 \h </w:instrText>
          </w:r>
          <w:r>
            <w:fldChar w:fldCharType="separate"/>
          </w:r>
          <w:r>
            <w:t>17</w:t>
          </w:r>
          <w:r>
            <w:fldChar w:fldCharType="end"/>
          </w:r>
          <w:r>
            <w:fldChar w:fldCharType="end"/>
          </w:r>
        </w:p>
        <w:p w14:paraId="78BC3CAB">
          <w:pPr>
            <w:pStyle w:val="19"/>
            <w:tabs>
              <w:tab w:val="right" w:leader="dot" w:pos="9360"/>
            </w:tabs>
          </w:pPr>
          <w:r>
            <w:fldChar w:fldCharType="begin"/>
          </w:r>
          <w:r>
            <w:instrText xml:space="preserve"> HYPERLINK \l _Toc24050 </w:instrText>
          </w:r>
          <w:r>
            <w:fldChar w:fldCharType="separate"/>
          </w:r>
          <w:r>
            <w:t>5.3  Branches</w:t>
          </w:r>
          <w:r>
            <w:tab/>
          </w:r>
          <w:r>
            <w:fldChar w:fldCharType="begin"/>
          </w:r>
          <w:r>
            <w:instrText xml:space="preserve"> PAGEREF _Toc24050 \h </w:instrText>
          </w:r>
          <w:r>
            <w:fldChar w:fldCharType="separate"/>
          </w:r>
          <w:r>
            <w:t>19</w:t>
          </w:r>
          <w:r>
            <w:fldChar w:fldCharType="end"/>
          </w:r>
          <w:r>
            <w:fldChar w:fldCharType="end"/>
          </w:r>
        </w:p>
        <w:p w14:paraId="18EF3BC0">
          <w:pPr>
            <w:pStyle w:val="19"/>
            <w:tabs>
              <w:tab w:val="right" w:leader="dot" w:pos="9360"/>
            </w:tabs>
          </w:pPr>
          <w:r>
            <w:fldChar w:fldCharType="begin"/>
          </w:r>
          <w:r>
            <w:instrText xml:space="preserve"> HYPERLINK \l _Toc29960 </w:instrText>
          </w:r>
          <w:r>
            <w:fldChar w:fldCharType="separate"/>
          </w:r>
          <w:r>
            <w:t>5.4  Products and Customers</w:t>
          </w:r>
          <w:r>
            <w:tab/>
          </w:r>
          <w:r>
            <w:fldChar w:fldCharType="begin"/>
          </w:r>
          <w:r>
            <w:instrText xml:space="preserve"> PAGEREF _Toc29960 \h </w:instrText>
          </w:r>
          <w:r>
            <w:fldChar w:fldCharType="separate"/>
          </w:r>
          <w:r>
            <w:t>19</w:t>
          </w:r>
          <w:r>
            <w:fldChar w:fldCharType="end"/>
          </w:r>
          <w:r>
            <w:fldChar w:fldCharType="end"/>
          </w:r>
        </w:p>
        <w:p w14:paraId="473D6FCE">
          <w:pPr>
            <w:pStyle w:val="19"/>
            <w:tabs>
              <w:tab w:val="right" w:leader="dot" w:pos="9360"/>
            </w:tabs>
          </w:pPr>
          <w:r>
            <w:fldChar w:fldCharType="begin"/>
          </w:r>
          <w:r>
            <w:instrText xml:space="preserve"> HYPERLINK \l _Toc7492 </w:instrText>
          </w:r>
          <w:r>
            <w:fldChar w:fldCharType="separate"/>
          </w:r>
          <w:r>
            <w:t>5.5  Order Sizes and Intermittency</w:t>
          </w:r>
          <w:r>
            <w:tab/>
          </w:r>
          <w:r>
            <w:fldChar w:fldCharType="begin"/>
          </w:r>
          <w:r>
            <w:instrText xml:space="preserve"> PAGEREF _Toc7492 \h </w:instrText>
          </w:r>
          <w:r>
            <w:fldChar w:fldCharType="separate"/>
          </w:r>
          <w:r>
            <w:t>20</w:t>
          </w:r>
          <w:r>
            <w:fldChar w:fldCharType="end"/>
          </w:r>
          <w:r>
            <w:fldChar w:fldCharType="end"/>
          </w:r>
        </w:p>
        <w:p w14:paraId="0A15F6B8">
          <w:pPr>
            <w:pStyle w:val="19"/>
            <w:tabs>
              <w:tab w:val="right" w:leader="dot" w:pos="9360"/>
            </w:tabs>
          </w:pPr>
          <w:r>
            <w:fldChar w:fldCharType="begin"/>
          </w:r>
          <w:r>
            <w:instrText xml:space="preserve"> HYPERLINK \l _Toc24200 </w:instrText>
          </w:r>
          <w:r>
            <w:fldChar w:fldCharType="separate"/>
          </w:r>
          <w:r>
            <w:t>5.6  Demand Classification</w:t>
          </w:r>
          <w:r>
            <w:tab/>
          </w:r>
          <w:r>
            <w:fldChar w:fldCharType="begin"/>
          </w:r>
          <w:r>
            <w:instrText xml:space="preserve"> PAGEREF _Toc24200 \h </w:instrText>
          </w:r>
          <w:r>
            <w:fldChar w:fldCharType="separate"/>
          </w:r>
          <w:r>
            <w:t>21</w:t>
          </w:r>
          <w:r>
            <w:fldChar w:fldCharType="end"/>
          </w:r>
          <w:r>
            <w:fldChar w:fldCharType="end"/>
          </w:r>
        </w:p>
        <w:p w14:paraId="6FC7CB7D">
          <w:pPr>
            <w:pStyle w:val="18"/>
            <w:tabs>
              <w:tab w:val="right" w:leader="dot" w:pos="9360"/>
            </w:tabs>
          </w:pPr>
          <w:r>
            <w:fldChar w:fldCharType="begin"/>
          </w:r>
          <w:r>
            <w:instrText xml:space="preserve"> HYPERLINK \l _Toc9607 </w:instrText>
          </w:r>
          <w:r>
            <w:fldChar w:fldCharType="separate"/>
          </w:r>
          <w:r>
            <w:t>Chapter 6: Feature Selection and Engineering</w:t>
          </w:r>
          <w:r>
            <w:tab/>
          </w:r>
          <w:r>
            <w:fldChar w:fldCharType="begin"/>
          </w:r>
          <w:r>
            <w:instrText xml:space="preserve"> PAGEREF _Toc9607 \h </w:instrText>
          </w:r>
          <w:r>
            <w:fldChar w:fldCharType="separate"/>
          </w:r>
          <w:r>
            <w:t>23</w:t>
          </w:r>
          <w:r>
            <w:fldChar w:fldCharType="end"/>
          </w:r>
          <w:r>
            <w:fldChar w:fldCharType="end"/>
          </w:r>
        </w:p>
        <w:p w14:paraId="1DED48AF">
          <w:pPr>
            <w:pStyle w:val="19"/>
            <w:tabs>
              <w:tab w:val="right" w:leader="dot" w:pos="9360"/>
            </w:tabs>
          </w:pPr>
          <w:r>
            <w:fldChar w:fldCharType="begin"/>
          </w:r>
          <w:r>
            <w:instrText xml:space="preserve"> HYPERLINK \l _Toc17939 </w:instrText>
          </w:r>
          <w:r>
            <w:fldChar w:fldCharType="separate"/>
          </w:r>
          <w:r>
            <w:t>6.1  Target and Training Design</w:t>
          </w:r>
          <w:r>
            <w:tab/>
          </w:r>
          <w:r>
            <w:fldChar w:fldCharType="begin"/>
          </w:r>
          <w:r>
            <w:instrText xml:space="preserve"> PAGEREF _Toc17939 \h </w:instrText>
          </w:r>
          <w:r>
            <w:fldChar w:fldCharType="separate"/>
          </w:r>
          <w:r>
            <w:t>23</w:t>
          </w:r>
          <w:r>
            <w:fldChar w:fldCharType="end"/>
          </w:r>
          <w:r>
            <w:fldChar w:fldCharType="end"/>
          </w:r>
        </w:p>
        <w:p w14:paraId="62E532EA">
          <w:pPr>
            <w:pStyle w:val="19"/>
            <w:tabs>
              <w:tab w:val="right" w:leader="dot" w:pos="9360"/>
            </w:tabs>
          </w:pPr>
          <w:r>
            <w:fldChar w:fldCharType="begin"/>
          </w:r>
          <w:r>
            <w:instrText xml:space="preserve"> HYPERLINK \l _Toc515 </w:instrText>
          </w:r>
          <w:r>
            <w:fldChar w:fldCharType="separate"/>
          </w:r>
          <w:r>
            <w:t>6.2  Engineered Features</w:t>
          </w:r>
          <w:r>
            <w:tab/>
          </w:r>
          <w:r>
            <w:fldChar w:fldCharType="begin"/>
          </w:r>
          <w:r>
            <w:instrText xml:space="preserve"> PAGEREF _Toc515 \h </w:instrText>
          </w:r>
          <w:r>
            <w:fldChar w:fldCharType="separate"/>
          </w:r>
          <w:r>
            <w:t>23</w:t>
          </w:r>
          <w:r>
            <w:fldChar w:fldCharType="end"/>
          </w:r>
          <w:r>
            <w:fldChar w:fldCharType="end"/>
          </w:r>
        </w:p>
        <w:p w14:paraId="424A9631">
          <w:pPr>
            <w:pStyle w:val="19"/>
            <w:tabs>
              <w:tab w:val="right" w:leader="dot" w:pos="9360"/>
            </w:tabs>
          </w:pPr>
          <w:r>
            <w:fldChar w:fldCharType="begin"/>
          </w:r>
          <w:r>
            <w:instrText xml:space="preserve"> HYPERLINK \l _Toc15084 </w:instrText>
          </w:r>
          <w:r>
            <w:fldChar w:fldCharType="separate"/>
          </w:r>
          <w:r>
            <w:t>6.3  Features Dropped and Encoding Choices</w:t>
          </w:r>
          <w:r>
            <w:tab/>
          </w:r>
          <w:r>
            <w:fldChar w:fldCharType="begin"/>
          </w:r>
          <w:r>
            <w:instrText xml:space="preserve"> PAGEREF _Toc15084 \h </w:instrText>
          </w:r>
          <w:r>
            <w:fldChar w:fldCharType="separate"/>
          </w:r>
          <w:r>
            <w:t>24</w:t>
          </w:r>
          <w:r>
            <w:fldChar w:fldCharType="end"/>
          </w:r>
          <w:r>
            <w:fldChar w:fldCharType="end"/>
          </w:r>
        </w:p>
        <w:p w14:paraId="732BFD8E">
          <w:pPr>
            <w:pStyle w:val="19"/>
            <w:tabs>
              <w:tab w:val="right" w:leader="dot" w:pos="9360"/>
            </w:tabs>
          </w:pPr>
          <w:r>
            <w:fldChar w:fldCharType="begin"/>
          </w:r>
          <w:r>
            <w:instrText xml:space="preserve"> HYPERLINK \l _Toc14775 </w:instrText>
          </w:r>
          <w:r>
            <w:fldChar w:fldCharType="separate"/>
          </w:r>
          <w:r>
            <w:t>6.4  Which Features Mattered</w:t>
          </w:r>
          <w:r>
            <w:tab/>
          </w:r>
          <w:r>
            <w:fldChar w:fldCharType="begin"/>
          </w:r>
          <w:r>
            <w:instrText xml:space="preserve"> PAGEREF _Toc14775 \h </w:instrText>
          </w:r>
          <w:r>
            <w:fldChar w:fldCharType="separate"/>
          </w:r>
          <w:r>
            <w:t>24</w:t>
          </w:r>
          <w:r>
            <w:fldChar w:fldCharType="end"/>
          </w:r>
          <w:r>
            <w:fldChar w:fldCharType="end"/>
          </w:r>
        </w:p>
        <w:p w14:paraId="49B37F9C">
          <w:pPr>
            <w:pStyle w:val="18"/>
            <w:tabs>
              <w:tab w:val="right" w:leader="dot" w:pos="9360"/>
            </w:tabs>
          </w:pPr>
          <w:r>
            <w:fldChar w:fldCharType="begin"/>
          </w:r>
          <w:r>
            <w:instrText xml:space="preserve"> HYPERLINK \l _Toc12719 </w:instrText>
          </w:r>
          <w:r>
            <w:fldChar w:fldCharType="separate"/>
          </w:r>
          <w:r>
            <w:t>Chapter 7: Modelling and Results</w:t>
          </w:r>
          <w:r>
            <w:tab/>
          </w:r>
          <w:r>
            <w:fldChar w:fldCharType="begin"/>
          </w:r>
          <w:r>
            <w:instrText xml:space="preserve"> PAGEREF _Toc12719 \h </w:instrText>
          </w:r>
          <w:r>
            <w:fldChar w:fldCharType="separate"/>
          </w:r>
          <w:r>
            <w:t>26</w:t>
          </w:r>
          <w:r>
            <w:fldChar w:fldCharType="end"/>
          </w:r>
          <w:r>
            <w:fldChar w:fldCharType="end"/>
          </w:r>
        </w:p>
        <w:p w14:paraId="698A2C7C">
          <w:pPr>
            <w:pStyle w:val="19"/>
            <w:tabs>
              <w:tab w:val="right" w:leader="dot" w:pos="9360"/>
            </w:tabs>
          </w:pPr>
          <w:r>
            <w:fldChar w:fldCharType="begin"/>
          </w:r>
          <w:r>
            <w:instrText xml:space="preserve"> HYPERLINK \l _Toc23020 </w:instrText>
          </w:r>
          <w:r>
            <w:fldChar w:fldCharType="separate"/>
          </w:r>
          <w:r>
            <w:t>7.1  Models and Metrics Considered</w:t>
          </w:r>
          <w:r>
            <w:tab/>
          </w:r>
          <w:r>
            <w:fldChar w:fldCharType="begin"/>
          </w:r>
          <w:r>
            <w:instrText xml:space="preserve"> PAGEREF _Toc23020 \h </w:instrText>
          </w:r>
          <w:r>
            <w:fldChar w:fldCharType="separate"/>
          </w:r>
          <w:r>
            <w:t>26</w:t>
          </w:r>
          <w:r>
            <w:fldChar w:fldCharType="end"/>
          </w:r>
          <w:r>
            <w:fldChar w:fldCharType="end"/>
          </w:r>
        </w:p>
        <w:p w14:paraId="240234A4">
          <w:pPr>
            <w:pStyle w:val="19"/>
            <w:tabs>
              <w:tab w:val="right" w:leader="dot" w:pos="9360"/>
            </w:tabs>
          </w:pPr>
          <w:r>
            <w:fldChar w:fldCharType="begin"/>
          </w:r>
          <w:r>
            <w:instrText xml:space="preserve"> HYPERLINK \l _Toc10556 </w:instrText>
          </w:r>
          <w:r>
            <w:fldChar w:fldCharType="separate"/>
          </w:r>
          <w:r>
            <w:t>7.2  Models Chosen</w:t>
          </w:r>
          <w:r>
            <w:tab/>
          </w:r>
          <w:r>
            <w:fldChar w:fldCharType="begin"/>
          </w:r>
          <w:r>
            <w:instrText xml:space="preserve"> PAGEREF _Toc10556 \h </w:instrText>
          </w:r>
          <w:r>
            <w:fldChar w:fldCharType="separate"/>
          </w:r>
          <w:r>
            <w:t>27</w:t>
          </w:r>
          <w:r>
            <w:fldChar w:fldCharType="end"/>
          </w:r>
          <w:r>
            <w:fldChar w:fldCharType="end"/>
          </w:r>
        </w:p>
        <w:p w14:paraId="1625A531">
          <w:pPr>
            <w:pStyle w:val="19"/>
            <w:tabs>
              <w:tab w:val="right" w:leader="dot" w:pos="9360"/>
            </w:tabs>
          </w:pPr>
          <w:r>
            <w:fldChar w:fldCharType="begin"/>
          </w:r>
          <w:r>
            <w:instrText xml:space="preserve"> HYPERLINK \l _Toc14825 </w:instrText>
          </w:r>
          <w:r>
            <w:fldChar w:fldCharType="separate"/>
          </w:r>
          <w:r>
            <w:t>7.3  Results</w:t>
          </w:r>
          <w:r>
            <w:tab/>
          </w:r>
          <w:r>
            <w:fldChar w:fldCharType="begin"/>
          </w:r>
          <w:r>
            <w:instrText xml:space="preserve"> PAGEREF _Toc14825 \h </w:instrText>
          </w:r>
          <w:r>
            <w:fldChar w:fldCharType="separate"/>
          </w:r>
          <w:r>
            <w:t>27</w:t>
          </w:r>
          <w:r>
            <w:fldChar w:fldCharType="end"/>
          </w:r>
          <w:r>
            <w:fldChar w:fldCharType="end"/>
          </w:r>
        </w:p>
        <w:p w14:paraId="4EA13EF5">
          <w:pPr>
            <w:pStyle w:val="20"/>
            <w:tabs>
              <w:tab w:val="right" w:leader="dot" w:pos="9360"/>
            </w:tabs>
          </w:pPr>
          <w:r>
            <w:fldChar w:fldCharType="begin"/>
          </w:r>
          <w:r>
            <w:instrText xml:space="preserve"> HYPERLINK \l _Toc18422 </w:instrText>
          </w:r>
          <w:r>
            <w:fldChar w:fldCharType="separate"/>
          </w:r>
          <w:r>
            <w:t>Overall accuracy</w:t>
          </w:r>
          <w:r>
            <w:tab/>
          </w:r>
          <w:r>
            <w:fldChar w:fldCharType="begin"/>
          </w:r>
          <w:r>
            <w:instrText xml:space="preserve"> PAGEREF _Toc18422 \h </w:instrText>
          </w:r>
          <w:r>
            <w:fldChar w:fldCharType="separate"/>
          </w:r>
          <w:r>
            <w:t>27</w:t>
          </w:r>
          <w:r>
            <w:fldChar w:fldCharType="end"/>
          </w:r>
          <w:r>
            <w:fldChar w:fldCharType="end"/>
          </w:r>
        </w:p>
        <w:p w14:paraId="3AD6F958">
          <w:pPr>
            <w:pStyle w:val="20"/>
            <w:tabs>
              <w:tab w:val="right" w:leader="dot" w:pos="9360"/>
            </w:tabs>
          </w:pPr>
          <w:r>
            <w:fldChar w:fldCharType="begin"/>
          </w:r>
          <w:r>
            <w:instrText xml:space="preserve"> HYPERLINK \l _Toc27072 </w:instrText>
          </w:r>
          <w:r>
            <w:fldChar w:fldCharType="separate"/>
          </w:r>
          <w:r>
            <w:t>Where the advantage lies</w:t>
          </w:r>
          <w:r>
            <w:tab/>
          </w:r>
          <w:r>
            <w:fldChar w:fldCharType="begin"/>
          </w:r>
          <w:r>
            <w:instrText xml:space="preserve"> PAGEREF _Toc27072 \h </w:instrText>
          </w:r>
          <w:r>
            <w:fldChar w:fldCharType="separate"/>
          </w:r>
          <w:r>
            <w:t>29</w:t>
          </w:r>
          <w:r>
            <w:fldChar w:fldCharType="end"/>
          </w:r>
          <w:r>
            <w:fldChar w:fldCharType="end"/>
          </w:r>
        </w:p>
        <w:p w14:paraId="1535DF21">
          <w:pPr>
            <w:pStyle w:val="20"/>
            <w:tabs>
              <w:tab w:val="right" w:leader="dot" w:pos="9360"/>
            </w:tabs>
          </w:pPr>
          <w:r>
            <w:fldChar w:fldCharType="begin"/>
          </w:r>
          <w:r>
            <w:instrText xml:space="preserve"> HYPERLINK \l _Toc15361 </w:instrText>
          </w:r>
          <w:r>
            <w:fldChar w:fldCharType="separate"/>
          </w:r>
          <w:r>
            <w:t>Does choosing a model per series help?</w:t>
          </w:r>
          <w:r>
            <w:tab/>
          </w:r>
          <w:r>
            <w:fldChar w:fldCharType="begin"/>
          </w:r>
          <w:r>
            <w:instrText xml:space="preserve"> PAGEREF _Toc15361 \h </w:instrText>
          </w:r>
          <w:r>
            <w:fldChar w:fldCharType="separate"/>
          </w:r>
          <w:r>
            <w:t>31</w:t>
          </w:r>
          <w:r>
            <w:fldChar w:fldCharType="end"/>
          </w:r>
          <w:r>
            <w:fldChar w:fldCharType="end"/>
          </w:r>
        </w:p>
        <w:p w14:paraId="4FF0B9D0">
          <w:pPr>
            <w:pStyle w:val="18"/>
            <w:tabs>
              <w:tab w:val="right" w:leader="dot" w:pos="9360"/>
            </w:tabs>
          </w:pPr>
          <w:r>
            <w:fldChar w:fldCharType="begin"/>
          </w:r>
          <w:r>
            <w:instrText xml:space="preserve"> HYPERLINK \l _Toc3087 </w:instrText>
          </w:r>
          <w:r>
            <w:fldChar w:fldCharType="separate"/>
          </w:r>
          <w:r>
            <w:t>Chapter 8: Deployment, Validation and Responsible AI</w:t>
          </w:r>
          <w:r>
            <w:tab/>
          </w:r>
          <w:r>
            <w:fldChar w:fldCharType="begin"/>
          </w:r>
          <w:r>
            <w:instrText xml:space="preserve"> PAGEREF _Toc3087 \h </w:instrText>
          </w:r>
          <w:r>
            <w:fldChar w:fldCharType="separate"/>
          </w:r>
          <w:r>
            <w:t>32</w:t>
          </w:r>
          <w:r>
            <w:fldChar w:fldCharType="end"/>
          </w:r>
          <w:r>
            <w:fldChar w:fldCharType="end"/>
          </w:r>
        </w:p>
        <w:p w14:paraId="41C2603D">
          <w:pPr>
            <w:pStyle w:val="19"/>
            <w:tabs>
              <w:tab w:val="right" w:leader="dot" w:pos="9360"/>
            </w:tabs>
          </w:pPr>
          <w:r>
            <w:fldChar w:fldCharType="begin"/>
          </w:r>
          <w:r>
            <w:instrText xml:space="preserve"> HYPERLINK \l _Toc15971 </w:instrText>
          </w:r>
          <w:r>
            <w:fldChar w:fldCharType="separate"/>
          </w:r>
          <w:r>
            <w:t>8.1  Deployment and Evaluation</w:t>
          </w:r>
          <w:r>
            <w:tab/>
          </w:r>
          <w:r>
            <w:fldChar w:fldCharType="begin"/>
          </w:r>
          <w:r>
            <w:instrText xml:space="preserve"> PAGEREF _Toc15971 \h </w:instrText>
          </w:r>
          <w:r>
            <w:fldChar w:fldCharType="separate"/>
          </w:r>
          <w:r>
            <w:t>32</w:t>
          </w:r>
          <w:r>
            <w:fldChar w:fldCharType="end"/>
          </w:r>
          <w:r>
            <w:fldChar w:fldCharType="end"/>
          </w:r>
        </w:p>
        <w:p w14:paraId="1D6D88B9">
          <w:pPr>
            <w:pStyle w:val="19"/>
            <w:tabs>
              <w:tab w:val="right" w:leader="dot" w:pos="9360"/>
            </w:tabs>
          </w:pPr>
          <w:r>
            <w:fldChar w:fldCharType="begin"/>
          </w:r>
          <w:r>
            <w:instrText xml:space="preserve"> HYPERLINK \l _Toc6943 </w:instrText>
          </w:r>
          <w:r>
            <w:fldChar w:fldCharType="separate"/>
          </w:r>
          <w:r>
            <w:t>8.2  Fairness, Explainability and Risk</w:t>
          </w:r>
          <w:r>
            <w:tab/>
          </w:r>
          <w:r>
            <w:fldChar w:fldCharType="begin"/>
          </w:r>
          <w:r>
            <w:instrText xml:space="preserve"> PAGEREF _Toc6943 \h </w:instrText>
          </w:r>
          <w:r>
            <w:fldChar w:fldCharType="separate"/>
          </w:r>
          <w:r>
            <w:t>33</w:t>
          </w:r>
          <w:r>
            <w:fldChar w:fldCharType="end"/>
          </w:r>
          <w:r>
            <w:fldChar w:fldCharType="end"/>
          </w:r>
        </w:p>
        <w:p w14:paraId="67FAF5BB">
          <w:pPr>
            <w:pStyle w:val="19"/>
            <w:tabs>
              <w:tab w:val="right" w:leader="dot" w:pos="9360"/>
            </w:tabs>
          </w:pPr>
          <w:r>
            <w:fldChar w:fldCharType="begin"/>
          </w:r>
          <w:r>
            <w:instrText xml:space="preserve"> HYPERLINK \l _Toc22578 </w:instrText>
          </w:r>
          <w:r>
            <w:fldChar w:fldCharType="separate"/>
          </w:r>
          <w:r>
            <w:t>8.3  Monitoring Plan</w:t>
          </w:r>
          <w:r>
            <w:tab/>
          </w:r>
          <w:r>
            <w:fldChar w:fldCharType="begin"/>
          </w:r>
          <w:r>
            <w:instrText xml:space="preserve"> PAGEREF _Toc22578 \h </w:instrText>
          </w:r>
          <w:r>
            <w:fldChar w:fldCharType="separate"/>
          </w:r>
          <w:r>
            <w:t>34</w:t>
          </w:r>
          <w:r>
            <w:fldChar w:fldCharType="end"/>
          </w:r>
          <w:r>
            <w:fldChar w:fldCharType="end"/>
          </w:r>
        </w:p>
        <w:p w14:paraId="245588BA">
          <w:pPr>
            <w:pStyle w:val="18"/>
            <w:tabs>
              <w:tab w:val="right" w:leader="dot" w:pos="9360"/>
            </w:tabs>
          </w:pPr>
          <w:r>
            <w:fldChar w:fldCharType="begin"/>
          </w:r>
          <w:r>
            <w:instrText xml:space="preserve"> HYPERLINK \l _Toc23512 </w:instrText>
          </w:r>
          <w:r>
            <w:fldChar w:fldCharType="separate"/>
          </w:r>
          <w:r>
            <w:t>Chapter 9: Business Impact and Recommendations</w:t>
          </w:r>
          <w:r>
            <w:tab/>
          </w:r>
          <w:r>
            <w:fldChar w:fldCharType="begin"/>
          </w:r>
          <w:r>
            <w:instrText xml:space="preserve"> PAGEREF _Toc23512 \h </w:instrText>
          </w:r>
          <w:r>
            <w:fldChar w:fldCharType="separate"/>
          </w:r>
          <w:r>
            <w:t>36</w:t>
          </w:r>
          <w:r>
            <w:fldChar w:fldCharType="end"/>
          </w:r>
          <w:r>
            <w:fldChar w:fldCharType="end"/>
          </w:r>
        </w:p>
        <w:p w14:paraId="156280F8">
          <w:pPr>
            <w:pStyle w:val="19"/>
            <w:tabs>
              <w:tab w:val="right" w:leader="dot" w:pos="9360"/>
            </w:tabs>
          </w:pPr>
          <w:r>
            <w:fldChar w:fldCharType="begin"/>
          </w:r>
          <w:r>
            <w:instrText xml:space="preserve"> HYPERLINK \l _Toc16951 </w:instrText>
          </w:r>
          <w:r>
            <w:fldChar w:fldCharType="separate"/>
          </w:r>
          <w:r>
            <w:t>9.1  Recommendations and Business Impact</w:t>
          </w:r>
          <w:r>
            <w:tab/>
          </w:r>
          <w:r>
            <w:fldChar w:fldCharType="begin"/>
          </w:r>
          <w:r>
            <w:instrText xml:space="preserve"> PAGEREF _Toc16951 \h </w:instrText>
          </w:r>
          <w:r>
            <w:fldChar w:fldCharType="separate"/>
          </w:r>
          <w:r>
            <w:t>36</w:t>
          </w:r>
          <w:r>
            <w:fldChar w:fldCharType="end"/>
          </w:r>
          <w:r>
            <w:fldChar w:fldCharType="end"/>
          </w:r>
        </w:p>
        <w:p w14:paraId="6936BD38">
          <w:pPr>
            <w:pStyle w:val="20"/>
            <w:tabs>
              <w:tab w:val="right" w:leader="dot" w:pos="9360"/>
            </w:tabs>
          </w:pPr>
          <w:r>
            <w:fldChar w:fldCharType="begin"/>
          </w:r>
          <w:r>
            <w:instrText xml:space="preserve"> HYPERLINK \l _Toc5462 </w:instrText>
          </w:r>
          <w:r>
            <w:fldChar w:fldCharType="separate"/>
          </w:r>
          <w:r>
            <w:t>Quantifying the inventory effect</w:t>
          </w:r>
          <w:r>
            <w:tab/>
          </w:r>
          <w:r>
            <w:fldChar w:fldCharType="begin"/>
          </w:r>
          <w:r>
            <w:instrText xml:space="preserve"> PAGEREF _Toc5462 \h </w:instrText>
          </w:r>
          <w:r>
            <w:fldChar w:fldCharType="separate"/>
          </w:r>
          <w:r>
            <w:t>36</w:t>
          </w:r>
          <w:r>
            <w:fldChar w:fldCharType="end"/>
          </w:r>
          <w:r>
            <w:fldChar w:fldCharType="end"/>
          </w:r>
        </w:p>
        <w:p w14:paraId="7B923B2A">
          <w:pPr>
            <w:pStyle w:val="20"/>
            <w:tabs>
              <w:tab w:val="right" w:leader="dot" w:pos="9360"/>
            </w:tabs>
          </w:pPr>
          <w:r>
            <w:fldChar w:fldCharType="begin"/>
          </w:r>
          <w:r>
            <w:instrText xml:space="preserve"> HYPERLINK \l _Toc15027 </w:instrText>
          </w:r>
          <w:r>
            <w:fldChar w:fldCharType="separate"/>
          </w:r>
          <w:r>
            <w:t>Recommendations</w:t>
          </w:r>
          <w:r>
            <w:tab/>
          </w:r>
          <w:r>
            <w:fldChar w:fldCharType="begin"/>
          </w:r>
          <w:r>
            <w:instrText xml:space="preserve"> PAGEREF _Toc15027 \h </w:instrText>
          </w:r>
          <w:r>
            <w:fldChar w:fldCharType="separate"/>
          </w:r>
          <w:r>
            <w:t>37</w:t>
          </w:r>
          <w:r>
            <w:fldChar w:fldCharType="end"/>
          </w:r>
          <w:r>
            <w:fldChar w:fldCharType="end"/>
          </w:r>
        </w:p>
        <w:p w14:paraId="2D5844CB">
          <w:pPr>
            <w:pStyle w:val="19"/>
            <w:tabs>
              <w:tab w:val="right" w:leader="dot" w:pos="9360"/>
            </w:tabs>
          </w:pPr>
          <w:r>
            <w:fldChar w:fldCharType="begin"/>
          </w:r>
          <w:r>
            <w:instrText xml:space="preserve"> HYPERLINK \l _Toc18972 </w:instrText>
          </w:r>
          <w:r>
            <w:fldChar w:fldCharType="separate"/>
          </w:r>
          <w:r>
            <w:t>9.2  Implementation Roadmap</w:t>
          </w:r>
          <w:r>
            <w:tab/>
          </w:r>
          <w:r>
            <w:fldChar w:fldCharType="begin"/>
          </w:r>
          <w:r>
            <w:instrText xml:space="preserve"> PAGEREF _Toc18972 \h </w:instrText>
          </w:r>
          <w:r>
            <w:fldChar w:fldCharType="separate"/>
          </w:r>
          <w:r>
            <w:t>38</w:t>
          </w:r>
          <w:r>
            <w:fldChar w:fldCharType="end"/>
          </w:r>
          <w:r>
            <w:fldChar w:fldCharType="end"/>
          </w:r>
        </w:p>
        <w:p w14:paraId="697C74AF">
          <w:pPr>
            <w:pStyle w:val="18"/>
            <w:tabs>
              <w:tab w:val="right" w:leader="dot" w:pos="9360"/>
            </w:tabs>
          </w:pPr>
          <w:r>
            <w:fldChar w:fldCharType="begin"/>
          </w:r>
          <w:r>
            <w:instrText xml:space="preserve"> HYPERLINK \l _Toc22648 </w:instrText>
          </w:r>
          <w:r>
            <w:fldChar w:fldCharType="separate"/>
          </w:r>
          <w:r>
            <w:t>Chapter 10: Limitations and Future Scope</w:t>
          </w:r>
          <w:r>
            <w:tab/>
          </w:r>
          <w:r>
            <w:fldChar w:fldCharType="begin"/>
          </w:r>
          <w:r>
            <w:instrText xml:space="preserve"> PAGEREF _Toc22648 \h </w:instrText>
          </w:r>
          <w:r>
            <w:fldChar w:fldCharType="separate"/>
          </w:r>
          <w:r>
            <w:t>40</w:t>
          </w:r>
          <w:r>
            <w:fldChar w:fldCharType="end"/>
          </w:r>
          <w:r>
            <w:fldChar w:fldCharType="end"/>
          </w:r>
        </w:p>
        <w:p w14:paraId="7CE68237">
          <w:pPr>
            <w:pStyle w:val="19"/>
            <w:tabs>
              <w:tab w:val="right" w:leader="dot" w:pos="9360"/>
            </w:tabs>
          </w:pPr>
          <w:r>
            <w:fldChar w:fldCharType="begin"/>
          </w:r>
          <w:r>
            <w:instrText xml:space="preserve"> HYPERLINK \l _Toc30491 </w:instrText>
          </w:r>
          <w:r>
            <w:fldChar w:fldCharType="separate"/>
          </w:r>
          <w:r>
            <w:t>10.1  Limitations</w:t>
          </w:r>
          <w:r>
            <w:tab/>
          </w:r>
          <w:r>
            <w:fldChar w:fldCharType="begin"/>
          </w:r>
          <w:r>
            <w:instrText xml:space="preserve"> PAGEREF _Toc30491 \h </w:instrText>
          </w:r>
          <w:r>
            <w:fldChar w:fldCharType="separate"/>
          </w:r>
          <w:r>
            <w:t>40</w:t>
          </w:r>
          <w:r>
            <w:fldChar w:fldCharType="end"/>
          </w:r>
          <w:r>
            <w:fldChar w:fldCharType="end"/>
          </w:r>
        </w:p>
        <w:p w14:paraId="70EAA8A6">
          <w:pPr>
            <w:pStyle w:val="19"/>
            <w:tabs>
              <w:tab w:val="right" w:leader="dot" w:pos="9360"/>
            </w:tabs>
          </w:pPr>
          <w:r>
            <w:fldChar w:fldCharType="begin"/>
          </w:r>
          <w:r>
            <w:instrText xml:space="preserve"> HYPERLINK \l _Toc4290 </w:instrText>
          </w:r>
          <w:r>
            <w:fldChar w:fldCharType="separate"/>
          </w:r>
          <w:r>
            <w:t>10.2  Future Scope</w:t>
          </w:r>
          <w:r>
            <w:tab/>
          </w:r>
          <w:r>
            <w:fldChar w:fldCharType="begin"/>
          </w:r>
          <w:r>
            <w:instrText xml:space="preserve"> PAGEREF _Toc4290 \h </w:instrText>
          </w:r>
          <w:r>
            <w:fldChar w:fldCharType="separate"/>
          </w:r>
          <w:r>
            <w:t>41</w:t>
          </w:r>
          <w:r>
            <w:fldChar w:fldCharType="end"/>
          </w:r>
          <w:r>
            <w:fldChar w:fldCharType="end"/>
          </w:r>
        </w:p>
        <w:p w14:paraId="723AFC58">
          <w:pPr>
            <w:pStyle w:val="18"/>
            <w:tabs>
              <w:tab w:val="right" w:leader="dot" w:pos="9360"/>
            </w:tabs>
          </w:pPr>
          <w:r>
            <w:fldChar w:fldCharType="begin"/>
          </w:r>
          <w:r>
            <w:instrText xml:space="preserve"> HYPERLINK \l _Toc11017 </w:instrText>
          </w:r>
          <w:r>
            <w:fldChar w:fldCharType="separate"/>
          </w:r>
          <w:r>
            <w:t>Chapter 11: Conclusion</w:t>
          </w:r>
          <w:r>
            <w:tab/>
          </w:r>
          <w:r>
            <w:fldChar w:fldCharType="begin"/>
          </w:r>
          <w:r>
            <w:instrText xml:space="preserve"> PAGEREF _Toc11017 \h </w:instrText>
          </w:r>
          <w:r>
            <w:fldChar w:fldCharType="separate"/>
          </w:r>
          <w:r>
            <w:t>42</w:t>
          </w:r>
          <w:r>
            <w:fldChar w:fldCharType="end"/>
          </w:r>
          <w:r>
            <w:fldChar w:fldCharType="end"/>
          </w:r>
        </w:p>
        <w:p w14:paraId="107C70E9">
          <w:pPr>
            <w:pStyle w:val="18"/>
            <w:tabs>
              <w:tab w:val="right" w:leader="dot" w:pos="9360"/>
            </w:tabs>
          </w:pPr>
          <w:r>
            <w:fldChar w:fldCharType="begin"/>
          </w:r>
          <w:r>
            <w:instrText xml:space="preserve"> HYPERLINK \l _Toc3760 </w:instrText>
          </w:r>
          <w:r>
            <w:fldChar w:fldCharType="separate"/>
          </w:r>
          <w:r>
            <w:t>References</w:t>
          </w:r>
          <w:r>
            <w:tab/>
          </w:r>
          <w:r>
            <w:fldChar w:fldCharType="begin"/>
          </w:r>
          <w:r>
            <w:instrText xml:space="preserve"> PAGEREF _Toc3760 \h </w:instrText>
          </w:r>
          <w:r>
            <w:fldChar w:fldCharType="separate"/>
          </w:r>
          <w:r>
            <w:t>43</w:t>
          </w:r>
          <w:r>
            <w:fldChar w:fldCharType="end"/>
          </w:r>
          <w:r>
            <w:fldChar w:fldCharType="end"/>
          </w:r>
        </w:p>
        <w:p w14:paraId="6153BC8E">
          <w:pPr>
            <w:pStyle w:val="18"/>
            <w:tabs>
              <w:tab w:val="right" w:leader="dot" w:pos="9360"/>
            </w:tabs>
          </w:pPr>
          <w:r>
            <w:fldChar w:fldCharType="begin"/>
          </w:r>
          <w:r>
            <w:instrText xml:space="preserve"> HYPERLINK \l _Toc21434 </w:instrText>
          </w:r>
          <w:r>
            <w:fldChar w:fldCharType="separate"/>
          </w:r>
          <w:r>
            <w:t>Appendices</w:t>
          </w:r>
          <w:r>
            <w:tab/>
          </w:r>
          <w:r>
            <w:fldChar w:fldCharType="begin"/>
          </w:r>
          <w:r>
            <w:instrText xml:space="preserve"> PAGEREF _Toc21434 \h </w:instrText>
          </w:r>
          <w:r>
            <w:fldChar w:fldCharType="separate"/>
          </w:r>
          <w:r>
            <w:t>46</w:t>
          </w:r>
          <w:r>
            <w:fldChar w:fldCharType="end"/>
          </w:r>
          <w:r>
            <w:fldChar w:fldCharType="end"/>
          </w:r>
        </w:p>
        <w:p w14:paraId="15EA368C">
          <w:pPr>
            <w:pStyle w:val="19"/>
            <w:tabs>
              <w:tab w:val="right" w:leader="dot" w:pos="9360"/>
            </w:tabs>
          </w:pPr>
          <w:r>
            <w:fldChar w:fldCharType="begin"/>
          </w:r>
          <w:r>
            <w:instrText xml:space="preserve"> HYPERLINK \l _Toc24143 </w:instrText>
          </w:r>
          <w:r>
            <w:fldChar w:fldCharType="separate"/>
          </w:r>
          <w:r>
            <w:t>Appendix A: Use of AI Tools Statement</w:t>
          </w:r>
          <w:r>
            <w:tab/>
          </w:r>
          <w:r>
            <w:fldChar w:fldCharType="begin"/>
          </w:r>
          <w:r>
            <w:instrText xml:space="preserve"> PAGEREF _Toc24143 \h </w:instrText>
          </w:r>
          <w:r>
            <w:fldChar w:fldCharType="separate"/>
          </w:r>
          <w:r>
            <w:t>46</w:t>
          </w:r>
          <w:r>
            <w:fldChar w:fldCharType="end"/>
          </w:r>
          <w:r>
            <w:fldChar w:fldCharType="end"/>
          </w:r>
        </w:p>
        <w:p w14:paraId="07E0708D">
          <w:pPr>
            <w:pStyle w:val="19"/>
            <w:tabs>
              <w:tab w:val="right" w:leader="dot" w:pos="9360"/>
            </w:tabs>
          </w:pPr>
          <w:r>
            <w:fldChar w:fldCharType="begin"/>
          </w:r>
          <w:r>
            <w:instrText xml:space="preserve"> HYPERLINK \l _Toc29797 </w:instrText>
          </w:r>
          <w:r>
            <w:fldChar w:fldCharType="separate"/>
          </w:r>
          <w:r>
            <w:t>Appendix B: Additional Tables and Figures</w:t>
          </w:r>
          <w:r>
            <w:tab/>
          </w:r>
          <w:r>
            <w:fldChar w:fldCharType="begin"/>
          </w:r>
          <w:r>
            <w:instrText xml:space="preserve"> PAGEREF _Toc29797 \h </w:instrText>
          </w:r>
          <w:r>
            <w:fldChar w:fldCharType="separate"/>
          </w:r>
          <w:r>
            <w:t>46</w:t>
          </w:r>
          <w:r>
            <w:fldChar w:fldCharType="end"/>
          </w:r>
          <w:r>
            <w:fldChar w:fldCharType="end"/>
          </w:r>
        </w:p>
        <w:p w14:paraId="1988BDF4">
          <w:pPr>
            <w:pStyle w:val="19"/>
            <w:tabs>
              <w:tab w:val="right" w:leader="dot" w:pos="9360"/>
            </w:tabs>
          </w:pPr>
          <w:r>
            <w:fldChar w:fldCharType="begin"/>
          </w:r>
          <w:r>
            <w:instrText xml:space="preserve"> HYPERLINK \l _Toc2005 </w:instrText>
          </w:r>
          <w:r>
            <w:fldChar w:fldCharType="separate"/>
          </w:r>
          <w:r>
            <w:t>Appendix C: Code and Reproducibility</w:t>
          </w:r>
          <w:r>
            <w:tab/>
          </w:r>
          <w:r>
            <w:fldChar w:fldCharType="begin"/>
          </w:r>
          <w:r>
            <w:instrText xml:space="preserve"> PAGEREF _Toc2005 \h </w:instrText>
          </w:r>
          <w:r>
            <w:fldChar w:fldCharType="separate"/>
          </w:r>
          <w:r>
            <w:t>48</w:t>
          </w:r>
          <w:r>
            <w:fldChar w:fldCharType="end"/>
          </w:r>
          <w:r>
            <w:fldChar w:fldCharType="end"/>
          </w:r>
        </w:p>
        <w:p w14:paraId="3ED97336">
          <w:pPr>
            <w:pStyle w:val="18"/>
            <w:tabs>
              <w:tab w:val="right" w:leader="dot" w:pos="9360"/>
            </w:tabs>
          </w:pPr>
          <w:r>
            <w:fldChar w:fldCharType="begin"/>
          </w:r>
          <w:r>
            <w:instrText xml:space="preserve"> HYPERLINK \l _Toc9947 </w:instrText>
          </w:r>
          <w:r>
            <w:fldChar w:fldCharType="separate"/>
          </w:r>
          <w:r>
            <w:t>About the Authors</w:t>
          </w:r>
          <w:r>
            <w:tab/>
          </w:r>
          <w:r>
            <w:fldChar w:fldCharType="begin"/>
          </w:r>
          <w:r>
            <w:instrText xml:space="preserve"> PAGEREF _Toc9947 \h </w:instrText>
          </w:r>
          <w:r>
            <w:fldChar w:fldCharType="separate"/>
          </w:r>
          <w:r>
            <w:t>50</w:t>
          </w:r>
          <w:r>
            <w:fldChar w:fldCharType="end"/>
          </w:r>
          <w:r>
            <w:fldChar w:fldCharType="end"/>
          </w:r>
        </w:p>
        <w:p w14:paraId="19820598">
          <w:pPr>
            <w:pStyle w:val="18"/>
            <w:tabs>
              <w:tab w:val="right" w:leader="dot" w:pos="9350"/>
            </w:tabs>
          </w:pPr>
          <w:r>
            <w:fldChar w:fldCharType="end"/>
          </w:r>
        </w:p>
      </w:sdtContent>
    </w:sdt>
    <w:p w14:paraId="2C1D519E">
      <w:pPr>
        <w:pStyle w:val="2"/>
      </w:pPr>
      <w:bookmarkStart w:id="4" w:name="_Toc11502"/>
      <w:r>
        <w:t>List of Tables</w:t>
      </w:r>
      <w:bookmarkEnd w:id="4"/>
    </w:p>
    <w:sdt>
      <w:sdtPr>
        <w:alias w:val="List of Tables"/>
        <w:id w:val="803820022"/>
      </w:sdtPr>
      <w:sdtContent>
        <w:p w14:paraId="686AE05A">
          <w:pPr>
            <w:tabs>
              <w:tab w:val="right" w:leader="dot" w:pos="9350"/>
            </w:tabs>
            <w:rPr>
              <w:rFonts w:ascii="Calibri" w:hAnsi="Calibri" w:eastAsia="Calibri" w:cs="Calibri"/>
              <w:color w:val="333333"/>
              <w:sz w:val="22"/>
              <w:szCs w:val="22"/>
              <w:lang w:val="en-GB" w:eastAsia="en-GB" w:bidi="ar-SA"/>
            </w:rPr>
          </w:pPr>
          <w:r>
            <w:fldChar w:fldCharType="begin"/>
          </w:r>
          <w:r>
            <w:instrText xml:space="preserve">TOC \c "Table" \h</w:instrText>
          </w:r>
          <w:r>
            <w:fldChar w:fldCharType="separate"/>
          </w:r>
        </w:p>
        <w:p w14:paraId="577C7770">
          <w:pPr>
            <w:pStyle w:val="16"/>
            <w:tabs>
              <w:tab w:val="right" w:leader="dot" w:pos="9360"/>
            </w:tabs>
          </w:pPr>
          <w:r>
            <w:fldChar w:fldCharType="begin"/>
          </w:r>
          <w:r>
            <w:instrText xml:space="preserve"> HYPERLINK \l _Toc22383 </w:instrText>
          </w:r>
          <w:r>
            <w:fldChar w:fldCharType="separate"/>
          </w:r>
          <w:r>
            <w:t>Table 2.1 : Synthesis of the literature and implications for this project</w:t>
          </w:r>
          <w:r>
            <w:tab/>
          </w:r>
          <w:r>
            <w:fldChar w:fldCharType="begin"/>
          </w:r>
          <w:r>
            <w:instrText xml:space="preserve"> PAGEREF _Toc22383 \h </w:instrText>
          </w:r>
          <w:r>
            <w:fldChar w:fldCharType="separate"/>
          </w:r>
          <w:r>
            <w:t>6</w:t>
          </w:r>
          <w:r>
            <w:fldChar w:fldCharType="end"/>
          </w:r>
          <w:r>
            <w:fldChar w:fldCharType="end"/>
          </w:r>
        </w:p>
        <w:p w14:paraId="6B95B621">
          <w:pPr>
            <w:pStyle w:val="16"/>
            <w:tabs>
              <w:tab w:val="right" w:leader="dot" w:pos="9360"/>
            </w:tabs>
          </w:pPr>
          <w:r>
            <w:fldChar w:fldCharType="begin"/>
          </w:r>
          <w:r>
            <w:instrText xml:space="preserve"> HYPERLINK \l _Toc6470 </w:instrText>
          </w:r>
          <w:r>
            <w:fldChar w:fldCharType="separate"/>
          </w:r>
          <w:r>
            <w:t>Table 3.1 : Profile of the raw billing extract by fiscal-year block</w:t>
          </w:r>
          <w:r>
            <w:tab/>
          </w:r>
          <w:r>
            <w:fldChar w:fldCharType="begin"/>
          </w:r>
          <w:r>
            <w:instrText xml:space="preserve"> PAGEREF _Toc6470 \h </w:instrText>
          </w:r>
          <w:r>
            <w:fldChar w:fldCharType="separate"/>
          </w:r>
          <w:r>
            <w:t>9</w:t>
          </w:r>
          <w:r>
            <w:fldChar w:fldCharType="end"/>
          </w:r>
          <w:r>
            <w:fldChar w:fldCharType="end"/>
          </w:r>
        </w:p>
        <w:p w14:paraId="411598B2">
          <w:pPr>
            <w:pStyle w:val="16"/>
            <w:tabs>
              <w:tab w:val="right" w:leader="dot" w:pos="9360"/>
            </w:tabs>
          </w:pPr>
          <w:r>
            <w:fldChar w:fldCharType="begin"/>
          </w:r>
          <w:r>
            <w:instrText xml:space="preserve"> HYPERLINK \l _Toc7645 </w:instrText>
          </w:r>
          <w:r>
            <w:fldChar w:fldCharType="separate"/>
          </w:r>
          <w:r>
            <w:t>Table 3.2 : Fields used in the analysis and their role</w:t>
          </w:r>
          <w:r>
            <w:tab/>
          </w:r>
          <w:r>
            <w:fldChar w:fldCharType="begin"/>
          </w:r>
          <w:r>
            <w:instrText xml:space="preserve"> PAGEREF _Toc7645 \h </w:instrText>
          </w:r>
          <w:r>
            <w:fldChar w:fldCharType="separate"/>
          </w:r>
          <w:r>
            <w:t>10</w:t>
          </w:r>
          <w:r>
            <w:fldChar w:fldCharType="end"/>
          </w:r>
          <w:r>
            <w:fldChar w:fldCharType="end"/>
          </w:r>
        </w:p>
        <w:p w14:paraId="53A1EA1B">
          <w:pPr>
            <w:pStyle w:val="16"/>
            <w:tabs>
              <w:tab w:val="right" w:leader="dot" w:pos="9360"/>
            </w:tabs>
          </w:pPr>
          <w:r>
            <w:fldChar w:fldCharType="begin"/>
          </w:r>
          <w:r>
            <w:instrText xml:space="preserve"> HYPERLINK \l _Toc29193 </w:instrText>
          </w:r>
          <w:r>
            <w:fldChar w:fldCharType="separate"/>
          </w:r>
          <w:r>
            <w:t>Table 4.1 : Material assumptions, treatment and justification</w:t>
          </w:r>
          <w:r>
            <w:tab/>
          </w:r>
          <w:r>
            <w:fldChar w:fldCharType="begin"/>
          </w:r>
          <w:r>
            <w:instrText xml:space="preserve"> PAGEREF _Toc29193 \h </w:instrText>
          </w:r>
          <w:r>
            <w:fldChar w:fldCharType="separate"/>
          </w:r>
          <w:r>
            <w:t>12</w:t>
          </w:r>
          <w:r>
            <w:fldChar w:fldCharType="end"/>
          </w:r>
          <w:r>
            <w:fldChar w:fldCharType="end"/>
          </w:r>
        </w:p>
        <w:p w14:paraId="79E2B22B">
          <w:pPr>
            <w:pStyle w:val="16"/>
            <w:tabs>
              <w:tab w:val="right" w:leader="dot" w:pos="9360"/>
            </w:tabs>
          </w:pPr>
          <w:r>
            <w:fldChar w:fldCharType="begin"/>
          </w:r>
          <w:r>
            <w:instrText xml:space="preserve"> HYPERLINK \l _Toc29635 </w:instrText>
          </w:r>
          <w:r>
            <w:fldChar w:fldCharType="separate"/>
          </w:r>
          <w:r>
            <w:t>Table 5.1 : Data quality issues and their treatment</w:t>
          </w:r>
          <w:r>
            <w:tab/>
          </w:r>
          <w:r>
            <w:fldChar w:fldCharType="begin"/>
          </w:r>
          <w:r>
            <w:instrText xml:space="preserve"> PAGEREF _Toc29635 \h </w:instrText>
          </w:r>
          <w:r>
            <w:fldChar w:fldCharType="separate"/>
          </w:r>
          <w:r>
            <w:t>16</w:t>
          </w:r>
          <w:r>
            <w:fldChar w:fldCharType="end"/>
          </w:r>
          <w:r>
            <w:fldChar w:fldCharType="end"/>
          </w:r>
        </w:p>
        <w:p w14:paraId="5D0D1E34">
          <w:pPr>
            <w:pStyle w:val="16"/>
            <w:tabs>
              <w:tab w:val="right" w:leader="dot" w:pos="9360"/>
            </w:tabs>
          </w:pPr>
          <w:r>
            <w:fldChar w:fldCharType="begin"/>
          </w:r>
          <w:r>
            <w:instrText xml:space="preserve"> HYPERLINK \l _Toc20344 </w:instrText>
          </w:r>
          <w:r>
            <w:fldChar w:fldCharType="separate"/>
          </w:r>
          <w:r>
            <w:t>Table 5.2 : Demand classes: number of series and share of volume</w:t>
          </w:r>
          <w:r>
            <w:tab/>
          </w:r>
          <w:r>
            <w:fldChar w:fldCharType="begin"/>
          </w:r>
          <w:r>
            <w:instrText xml:space="preserve"> PAGEREF _Toc20344 \h </w:instrText>
          </w:r>
          <w:r>
            <w:fldChar w:fldCharType="separate"/>
          </w:r>
          <w:r>
            <w:t>22</w:t>
          </w:r>
          <w:r>
            <w:fldChar w:fldCharType="end"/>
          </w:r>
          <w:r>
            <w:fldChar w:fldCharType="end"/>
          </w:r>
        </w:p>
        <w:p w14:paraId="627F13E2">
          <w:pPr>
            <w:pStyle w:val="16"/>
            <w:tabs>
              <w:tab w:val="right" w:leader="dot" w:pos="9360"/>
            </w:tabs>
          </w:pPr>
          <w:r>
            <w:fldChar w:fldCharType="begin"/>
          </w:r>
          <w:r>
            <w:instrText xml:space="preserve"> HYPERLINK \l _Toc2231 </w:instrText>
          </w:r>
          <w:r>
            <w:fldChar w:fldCharType="separate"/>
          </w:r>
          <w:r>
            <w:t>Table 6.1 : Engineered features, rationale and leakage control</w:t>
          </w:r>
          <w:r>
            <w:tab/>
          </w:r>
          <w:r>
            <w:fldChar w:fldCharType="begin"/>
          </w:r>
          <w:r>
            <w:instrText xml:space="preserve"> PAGEREF _Toc2231 \h </w:instrText>
          </w:r>
          <w:r>
            <w:fldChar w:fldCharType="separate"/>
          </w:r>
          <w:r>
            <w:t>23</w:t>
          </w:r>
          <w:r>
            <w:fldChar w:fldCharType="end"/>
          </w:r>
          <w:r>
            <w:fldChar w:fldCharType="end"/>
          </w:r>
        </w:p>
        <w:p w14:paraId="08644921">
          <w:pPr>
            <w:pStyle w:val="16"/>
            <w:tabs>
              <w:tab w:val="right" w:leader="dot" w:pos="9360"/>
            </w:tabs>
          </w:pPr>
          <w:r>
            <w:fldChar w:fldCharType="begin"/>
          </w:r>
          <w:r>
            <w:instrText xml:space="preserve"> HYPERLINK \l _Toc29043 </w:instrText>
          </w:r>
          <w:r>
            <w:fldChar w:fldCharType="separate"/>
          </w:r>
          <w:r>
            <w:t>Table 7.1 : Models and metrics considered</w:t>
          </w:r>
          <w:r>
            <w:tab/>
          </w:r>
          <w:r>
            <w:fldChar w:fldCharType="begin"/>
          </w:r>
          <w:r>
            <w:instrText xml:space="preserve"> PAGEREF _Toc29043 \h </w:instrText>
          </w:r>
          <w:r>
            <w:fldChar w:fldCharType="separate"/>
          </w:r>
          <w:r>
            <w:t>26</w:t>
          </w:r>
          <w:r>
            <w:fldChar w:fldCharType="end"/>
          </w:r>
          <w:r>
            <w:fldChar w:fldCharType="end"/>
          </w:r>
        </w:p>
        <w:p w14:paraId="7F96442A">
          <w:pPr>
            <w:pStyle w:val="16"/>
            <w:tabs>
              <w:tab w:val="right" w:leader="dot" w:pos="9360"/>
            </w:tabs>
          </w:pPr>
          <w:r>
            <w:fldChar w:fldCharType="begin"/>
          </w:r>
          <w:r>
            <w:instrText xml:space="preserve"> HYPERLINK \l _Toc19507 </w:instrText>
          </w:r>
          <w:r>
            <w:fldChar w:fldCharType="separate"/>
          </w:r>
          <w:r>
            <w:t>Table 7.2 : Backtest results for all twelve methods (ranked by weekly WAPE)</w:t>
          </w:r>
          <w:r>
            <w:tab/>
          </w:r>
          <w:r>
            <w:fldChar w:fldCharType="begin"/>
          </w:r>
          <w:r>
            <w:instrText xml:space="preserve"> PAGEREF _Toc19507 \h </w:instrText>
          </w:r>
          <w:r>
            <w:fldChar w:fldCharType="separate"/>
          </w:r>
          <w:r>
            <w:t>27</w:t>
          </w:r>
          <w:r>
            <w:fldChar w:fldCharType="end"/>
          </w:r>
          <w:r>
            <w:fldChar w:fldCharType="end"/>
          </w:r>
        </w:p>
        <w:p w14:paraId="406EB3D0">
          <w:pPr>
            <w:pStyle w:val="16"/>
            <w:tabs>
              <w:tab w:val="right" w:leader="dot" w:pos="9360"/>
            </w:tabs>
          </w:pPr>
          <w:r>
            <w:fldChar w:fldCharType="begin"/>
          </w:r>
          <w:r>
            <w:instrText xml:space="preserve"> HYPERLINK \l _Toc30951 </w:instrText>
          </w:r>
          <w:r>
            <w:fldChar w:fldCharType="separate"/>
          </w:r>
          <w:r>
            <w:t>Table 7.3 : Weekly WAPE (%) by volume tier</w:t>
          </w:r>
          <w:r>
            <w:tab/>
          </w:r>
          <w:r>
            <w:fldChar w:fldCharType="begin"/>
          </w:r>
          <w:r>
            <w:instrText xml:space="preserve"> PAGEREF _Toc30951 \h </w:instrText>
          </w:r>
          <w:r>
            <w:fldChar w:fldCharType="separate"/>
          </w:r>
          <w:r>
            <w:t>29</w:t>
          </w:r>
          <w:r>
            <w:fldChar w:fldCharType="end"/>
          </w:r>
          <w:r>
            <w:fldChar w:fldCharType="end"/>
          </w:r>
        </w:p>
        <w:p w14:paraId="6319A273">
          <w:pPr>
            <w:pStyle w:val="16"/>
            <w:tabs>
              <w:tab w:val="right" w:leader="dot" w:pos="9360"/>
            </w:tabs>
          </w:pPr>
          <w:r>
            <w:fldChar w:fldCharType="begin"/>
          </w:r>
          <w:r>
            <w:instrText xml:space="preserve"> HYPERLINK \l _Toc18747 </w:instrText>
          </w:r>
          <w:r>
            <w:fldChar w:fldCharType="separate"/>
          </w:r>
          <w:r>
            <w:t>Table 8.1 : Weekly WAPE (%) by branch</w:t>
          </w:r>
          <w:r>
            <w:tab/>
          </w:r>
          <w:r>
            <w:fldChar w:fldCharType="begin"/>
          </w:r>
          <w:r>
            <w:instrText xml:space="preserve"> PAGEREF _Toc18747 \h </w:instrText>
          </w:r>
          <w:r>
            <w:fldChar w:fldCharType="separate"/>
          </w:r>
          <w:r>
            <w:t>33</w:t>
          </w:r>
          <w:r>
            <w:fldChar w:fldCharType="end"/>
          </w:r>
          <w:r>
            <w:fldChar w:fldCharType="end"/>
          </w:r>
        </w:p>
        <w:p w14:paraId="21ABC211">
          <w:pPr>
            <w:pStyle w:val="16"/>
            <w:tabs>
              <w:tab w:val="right" w:leader="dot" w:pos="9360"/>
            </w:tabs>
          </w:pPr>
          <w:r>
            <w:fldChar w:fldCharType="begin"/>
          </w:r>
          <w:r>
            <w:instrText xml:space="preserve"> HYPERLINK \l _Toc16535 </w:instrText>
          </w:r>
          <w:r>
            <w:fldChar w:fldCharType="separate"/>
          </w:r>
          <w:r>
            <w:t>Table 8.2 : Monitoring metrics, triggers and actions</w:t>
          </w:r>
          <w:r>
            <w:tab/>
          </w:r>
          <w:r>
            <w:fldChar w:fldCharType="begin"/>
          </w:r>
          <w:r>
            <w:instrText xml:space="preserve"> PAGEREF _Toc16535 \h </w:instrText>
          </w:r>
          <w:r>
            <w:fldChar w:fldCharType="separate"/>
          </w:r>
          <w:r>
            <w:t>34</w:t>
          </w:r>
          <w:r>
            <w:fldChar w:fldCharType="end"/>
          </w:r>
          <w:r>
            <w:fldChar w:fldCharType="end"/>
          </w:r>
        </w:p>
        <w:p w14:paraId="7B6A9C85">
          <w:pPr>
            <w:pStyle w:val="16"/>
            <w:tabs>
              <w:tab w:val="right" w:leader="dot" w:pos="9360"/>
            </w:tabs>
          </w:pPr>
          <w:r>
            <w:fldChar w:fldCharType="begin"/>
          </w:r>
          <w:r>
            <w:instrText xml:space="preserve"> HYPERLINK \l _Toc25919 </w:instrText>
          </w:r>
          <w:r>
            <w:fldChar w:fldCharType="separate"/>
          </w:r>
          <w:r>
            <w:t>Table 9.1 : Out-of-sample inventory performance of error-based safety stocks, March to June 2024</w:t>
          </w:r>
          <w:r>
            <w:tab/>
          </w:r>
          <w:r>
            <w:fldChar w:fldCharType="begin"/>
          </w:r>
          <w:r>
            <w:instrText xml:space="preserve"> PAGEREF _Toc25919 \h </w:instrText>
          </w:r>
          <w:r>
            <w:fldChar w:fldCharType="separate"/>
          </w:r>
          <w:r>
            <w:t>36</w:t>
          </w:r>
          <w:r>
            <w:fldChar w:fldCharType="end"/>
          </w:r>
          <w:r>
            <w:fldChar w:fldCharType="end"/>
          </w:r>
        </w:p>
        <w:p w14:paraId="7839B8EF">
          <w:pPr>
            <w:pStyle w:val="16"/>
            <w:tabs>
              <w:tab w:val="right" w:leader="dot" w:pos="9360"/>
            </w:tabs>
          </w:pPr>
          <w:r>
            <w:fldChar w:fldCharType="begin"/>
          </w:r>
          <w:r>
            <w:instrText xml:space="preserve"> HYPERLINK \l _Toc13085 </w:instrText>
          </w:r>
          <w:r>
            <w:fldChar w:fldCharType="separate"/>
          </w:r>
          <w:r>
            <w:t>Table 9.2 : Implementation roadmap</w:t>
          </w:r>
          <w:r>
            <w:tab/>
          </w:r>
          <w:r>
            <w:fldChar w:fldCharType="begin"/>
          </w:r>
          <w:r>
            <w:instrText xml:space="preserve"> PAGEREF _Toc13085 \h </w:instrText>
          </w:r>
          <w:r>
            <w:fldChar w:fldCharType="separate"/>
          </w:r>
          <w:r>
            <w:t>38</w:t>
          </w:r>
          <w:r>
            <w:fldChar w:fldCharType="end"/>
          </w:r>
          <w:r>
            <w:fldChar w:fldCharType="end"/>
          </w:r>
        </w:p>
        <w:p w14:paraId="46D12D96">
          <w:pPr>
            <w:pStyle w:val="16"/>
            <w:tabs>
              <w:tab w:val="right" w:leader="dot" w:pos="9360"/>
            </w:tabs>
          </w:pPr>
          <w:r>
            <w:fldChar w:fldCharType="begin"/>
          </w:r>
          <w:r>
            <w:instrText xml:space="preserve"> HYPERLINK \l _Toc1602 </w:instrText>
          </w:r>
          <w:r>
            <w:fldChar w:fldCharType="separate"/>
          </w:r>
          <w:r>
            <w:t>Table A.1 : Generative-AI tools used, purpose and verification</w:t>
          </w:r>
          <w:r>
            <w:tab/>
          </w:r>
          <w:r>
            <w:fldChar w:fldCharType="begin"/>
          </w:r>
          <w:r>
            <w:instrText xml:space="preserve"> PAGEREF _Toc1602 \h </w:instrText>
          </w:r>
          <w:r>
            <w:fldChar w:fldCharType="separate"/>
          </w:r>
          <w:r>
            <w:t>46</w:t>
          </w:r>
          <w:r>
            <w:fldChar w:fldCharType="end"/>
          </w:r>
          <w:r>
            <w:fldChar w:fldCharType="end"/>
          </w:r>
        </w:p>
        <w:p w14:paraId="54B718AA">
          <w:pPr>
            <w:pStyle w:val="16"/>
            <w:tabs>
              <w:tab w:val="right" w:leader="dot" w:pos="9360"/>
            </w:tabs>
          </w:pPr>
          <w:r>
            <w:fldChar w:fldCharType="begin"/>
          </w:r>
          <w:r>
            <w:instrText xml:space="preserve"> HYPERLINK \l _Toc16939 </w:instrText>
          </w:r>
          <w:r>
            <w:fldChar w:fldCharType="separate"/>
          </w:r>
          <w:r>
            <w:t>Table B.1 : Data dictionary of the raw billing extract</w:t>
          </w:r>
          <w:r>
            <w:tab/>
          </w:r>
          <w:r>
            <w:fldChar w:fldCharType="begin"/>
          </w:r>
          <w:r>
            <w:instrText xml:space="preserve"> PAGEREF _Toc16939 \h </w:instrText>
          </w:r>
          <w:r>
            <w:fldChar w:fldCharType="separate"/>
          </w:r>
          <w:r>
            <w:t>46</w:t>
          </w:r>
          <w:r>
            <w:fldChar w:fldCharType="end"/>
          </w:r>
          <w:r>
            <w:fldChar w:fldCharType="end"/>
          </w:r>
        </w:p>
        <w:p w14:paraId="72621199">
          <w:pPr>
            <w:pStyle w:val="16"/>
            <w:tabs>
              <w:tab w:val="right" w:leader="dot" w:pos="9360"/>
            </w:tabs>
          </w:pPr>
          <w:r>
            <w:fldChar w:fldCharType="begin"/>
          </w:r>
          <w:r>
            <w:instrText xml:space="preserve"> HYPERLINK \l _Toc25660 </w:instrText>
          </w:r>
          <w:r>
            <w:fldChar w:fldCharType="separate"/>
          </w:r>
          <w:r>
            <w:t>Table B.2 : Weekly WAPE (%) by backtest fold (fold start date shown)</w:t>
          </w:r>
          <w:r>
            <w:tab/>
          </w:r>
          <w:r>
            <w:fldChar w:fldCharType="begin"/>
          </w:r>
          <w:r>
            <w:instrText xml:space="preserve"> PAGEREF _Toc25660 \h </w:instrText>
          </w:r>
          <w:r>
            <w:fldChar w:fldCharType="separate"/>
          </w:r>
          <w:r>
            <w:t>47</w:t>
          </w:r>
          <w:r>
            <w:fldChar w:fldCharType="end"/>
          </w:r>
          <w:r>
            <w:fldChar w:fldCharType="end"/>
          </w:r>
        </w:p>
        <w:p w14:paraId="238010FA">
          <w:pPr>
            <w:pStyle w:val="16"/>
            <w:tabs>
              <w:tab w:val="right" w:leader="dot" w:pos="9360"/>
            </w:tabs>
          </w:pPr>
          <w:r>
            <w:fldChar w:fldCharType="begin"/>
          </w:r>
          <w:r>
            <w:instrText xml:space="preserve"> HYPERLINK \l _Toc25367 </w:instrText>
          </w:r>
          <w:r>
            <w:fldChar w:fldCharType="separate"/>
          </w:r>
          <w:r>
            <w:t>Table B.3 : Weekly WAPE (%) by demand class and forecast horizon</w:t>
          </w:r>
          <w:r>
            <w:tab/>
          </w:r>
          <w:r>
            <w:fldChar w:fldCharType="begin"/>
          </w:r>
          <w:r>
            <w:instrText xml:space="preserve"> PAGEREF _Toc25367 \h </w:instrText>
          </w:r>
          <w:r>
            <w:fldChar w:fldCharType="separate"/>
          </w:r>
          <w:r>
            <w:t>48</w:t>
          </w:r>
          <w:r>
            <w:fldChar w:fldCharType="end"/>
          </w:r>
          <w:r>
            <w:fldChar w:fldCharType="end"/>
          </w:r>
        </w:p>
        <w:p w14:paraId="349C6667">
          <w:pPr>
            <w:pStyle w:val="16"/>
            <w:tabs>
              <w:tab w:val="right" w:leader="dot" w:pos="9350"/>
            </w:tabs>
          </w:pPr>
          <w:r>
            <w:fldChar w:fldCharType="end"/>
          </w:r>
        </w:p>
      </w:sdtContent>
    </w:sdt>
    <w:p w14:paraId="6F1158E7">
      <w:pPr>
        <w:pStyle w:val="2"/>
      </w:pPr>
      <w:bookmarkStart w:id="5" w:name="_Toc24689"/>
      <w:r>
        <w:t>List of Figures</w:t>
      </w:r>
      <w:bookmarkEnd w:id="5"/>
    </w:p>
    <w:sdt>
      <w:sdtPr>
        <w:alias w:val="List of Figures"/>
        <w:id w:val="-1882009639"/>
      </w:sdtPr>
      <w:sdtContent>
        <w:p w14:paraId="3A9CECF8">
          <w:pPr>
            <w:tabs>
              <w:tab w:val="right" w:leader="dot" w:pos="9350"/>
            </w:tabs>
            <w:rPr>
              <w:rFonts w:ascii="Calibri" w:hAnsi="Calibri" w:eastAsia="Calibri" w:cs="Calibri"/>
              <w:color w:val="333333"/>
              <w:sz w:val="22"/>
              <w:szCs w:val="22"/>
              <w:lang w:val="en-GB" w:eastAsia="en-GB" w:bidi="ar-SA"/>
            </w:rPr>
          </w:pPr>
          <w:r>
            <w:fldChar w:fldCharType="begin"/>
          </w:r>
          <w:r>
            <w:instrText xml:space="preserve">TOC \c "Figure" \h</w:instrText>
          </w:r>
          <w:r>
            <w:fldChar w:fldCharType="separate"/>
          </w:r>
        </w:p>
        <w:p w14:paraId="11F976FC">
          <w:pPr>
            <w:pStyle w:val="16"/>
            <w:tabs>
              <w:tab w:val="right" w:leader="dot" w:pos="9360"/>
            </w:tabs>
          </w:pPr>
          <w:r>
            <w:fldChar w:fldCharType="begin"/>
          </w:r>
          <w:r>
            <w:instrText xml:space="preserve"> HYPERLINK \l _Toc2493 </w:instrText>
          </w:r>
          <w:r>
            <w:fldChar w:fldCharType="separate"/>
          </w:r>
          <w:r>
            <w:t>Figure 3.1 : Monthly outdoor-unit billings after cleaning</w:t>
          </w:r>
          <w:r>
            <w:tab/>
          </w:r>
          <w:r>
            <w:fldChar w:fldCharType="begin"/>
          </w:r>
          <w:r>
            <w:instrText xml:space="preserve"> PAGEREF _Toc2493 \h </w:instrText>
          </w:r>
          <w:r>
            <w:fldChar w:fldCharType="separate"/>
          </w:r>
          <w:r>
            <w:t>9</w:t>
          </w:r>
          <w:r>
            <w:fldChar w:fldCharType="end"/>
          </w:r>
          <w:r>
            <w:fldChar w:fldCharType="end"/>
          </w:r>
        </w:p>
        <w:p w14:paraId="30092DE5">
          <w:pPr>
            <w:pStyle w:val="16"/>
            <w:tabs>
              <w:tab w:val="right" w:leader="dot" w:pos="9360"/>
            </w:tabs>
          </w:pPr>
          <w:r>
            <w:fldChar w:fldCharType="begin"/>
          </w:r>
          <w:r>
            <w:instrText xml:space="preserve"> HYPERLINK \l _Toc13463 </w:instrText>
          </w:r>
          <w:r>
            <w:fldChar w:fldCharType="separate"/>
          </w:r>
          <w:r>
            <w:t>Figure 4.1 : Analytical pipeline from raw billing lines to replenishment policy</w:t>
          </w:r>
          <w:r>
            <w:tab/>
          </w:r>
          <w:r>
            <w:fldChar w:fldCharType="begin"/>
          </w:r>
          <w:r>
            <w:instrText xml:space="preserve"> PAGEREF _Toc13463 \h </w:instrText>
          </w:r>
          <w:r>
            <w:fldChar w:fldCharType="separate"/>
          </w:r>
          <w:r>
            <w:t>13</w:t>
          </w:r>
          <w:r>
            <w:fldChar w:fldCharType="end"/>
          </w:r>
          <w:r>
            <w:fldChar w:fldCharType="end"/>
          </w:r>
        </w:p>
        <w:p w14:paraId="2EB81930">
          <w:pPr>
            <w:pStyle w:val="16"/>
            <w:tabs>
              <w:tab w:val="right" w:leader="dot" w:pos="9360"/>
            </w:tabs>
          </w:pPr>
          <w:r>
            <w:fldChar w:fldCharType="begin"/>
          </w:r>
          <w:r>
            <w:instrText xml:space="preserve"> HYPERLINK \l _Toc18388 </w:instrText>
          </w:r>
          <w:r>
            <w:fldChar w:fldCharType="separate"/>
          </w:r>
          <w:r>
            <w:t>Figure 4.2 : Rolling-origin backtest design: eight expanding training windows, each followed by a four-week test window</w:t>
          </w:r>
          <w:r>
            <w:tab/>
          </w:r>
          <w:r>
            <w:fldChar w:fldCharType="begin"/>
          </w:r>
          <w:r>
            <w:instrText xml:space="preserve"> PAGEREF _Toc18388 \h </w:instrText>
          </w:r>
          <w:r>
            <w:fldChar w:fldCharType="separate"/>
          </w:r>
          <w:r>
            <w:t>14</w:t>
          </w:r>
          <w:r>
            <w:fldChar w:fldCharType="end"/>
          </w:r>
          <w:r>
            <w:fldChar w:fldCharType="end"/>
          </w:r>
        </w:p>
        <w:p w14:paraId="1CF915AC">
          <w:pPr>
            <w:pStyle w:val="16"/>
            <w:tabs>
              <w:tab w:val="right" w:leader="dot" w:pos="9360"/>
            </w:tabs>
          </w:pPr>
          <w:r>
            <w:fldChar w:fldCharType="begin"/>
          </w:r>
          <w:r>
            <w:instrText xml:space="preserve"> HYPERLINK \l _Toc12745 </w:instrText>
          </w:r>
          <w:r>
            <w:fldChar w:fldCharType="separate"/>
          </w:r>
          <w:r>
            <w:t>Figure 5.1 : From raw ERP rows to outdoor-unit demand lines</w:t>
          </w:r>
          <w:r>
            <w:tab/>
          </w:r>
          <w:r>
            <w:fldChar w:fldCharType="begin"/>
          </w:r>
          <w:r>
            <w:instrText xml:space="preserve"> PAGEREF _Toc12745 \h </w:instrText>
          </w:r>
          <w:r>
            <w:fldChar w:fldCharType="separate"/>
          </w:r>
          <w:r>
            <w:t>17</w:t>
          </w:r>
          <w:r>
            <w:fldChar w:fldCharType="end"/>
          </w:r>
          <w:r>
            <w:fldChar w:fldCharType="end"/>
          </w:r>
        </w:p>
        <w:p w14:paraId="56914738">
          <w:pPr>
            <w:pStyle w:val="16"/>
            <w:tabs>
              <w:tab w:val="right" w:leader="dot" w:pos="9360"/>
            </w:tabs>
          </w:pPr>
          <w:r>
            <w:fldChar w:fldCharType="begin"/>
          </w:r>
          <w:r>
            <w:instrText xml:space="preserve"> HYPERLINK \l _Toc21132 </w:instrText>
          </w:r>
          <w:r>
            <w:fldChar w:fldCharType="separate"/>
          </w:r>
          <w:r>
            <w:t>Figure 5.2 : Weekly outdoor-unit demand across all branches and models</w:t>
          </w:r>
          <w:r>
            <w:tab/>
          </w:r>
          <w:r>
            <w:fldChar w:fldCharType="begin"/>
          </w:r>
          <w:r>
            <w:instrText xml:space="preserve"> PAGEREF _Toc21132 \h </w:instrText>
          </w:r>
          <w:r>
            <w:fldChar w:fldCharType="separate"/>
          </w:r>
          <w:r>
            <w:t>18</w:t>
          </w:r>
          <w:r>
            <w:fldChar w:fldCharType="end"/>
          </w:r>
          <w:r>
            <w:fldChar w:fldCharType="end"/>
          </w:r>
        </w:p>
        <w:p w14:paraId="2EB271F5">
          <w:pPr>
            <w:pStyle w:val="16"/>
            <w:tabs>
              <w:tab w:val="right" w:leader="dot" w:pos="9360"/>
            </w:tabs>
          </w:pPr>
          <w:r>
            <w:fldChar w:fldCharType="begin"/>
          </w:r>
          <w:r>
            <w:instrText xml:space="preserve"> HYPERLINK \l _Toc26469 </w:instrText>
          </w:r>
          <w:r>
            <w:fldChar w:fldCharType="separate"/>
          </w:r>
          <w:r>
            <w:t>Figure 5.3 : Seasonal index of outdoor-unit volume by calendar month, two years compared</w:t>
          </w:r>
          <w:r>
            <w:tab/>
          </w:r>
          <w:r>
            <w:fldChar w:fldCharType="begin"/>
          </w:r>
          <w:r>
            <w:instrText xml:space="preserve"> PAGEREF _Toc26469 \h </w:instrText>
          </w:r>
          <w:r>
            <w:fldChar w:fldCharType="separate"/>
          </w:r>
          <w:r>
            <w:t>18</w:t>
          </w:r>
          <w:r>
            <w:fldChar w:fldCharType="end"/>
          </w:r>
          <w:r>
            <w:fldChar w:fldCharType="end"/>
          </w:r>
        </w:p>
        <w:p w14:paraId="0E856152">
          <w:pPr>
            <w:pStyle w:val="16"/>
            <w:tabs>
              <w:tab w:val="right" w:leader="dot" w:pos="9360"/>
            </w:tabs>
          </w:pPr>
          <w:r>
            <w:fldChar w:fldCharType="begin"/>
          </w:r>
          <w:r>
            <w:instrText xml:space="preserve"> HYPERLINK \l _Toc11155 </w:instrText>
          </w:r>
          <w:r>
            <w:fldChar w:fldCharType="separate"/>
          </w:r>
          <w:r>
            <w:t>Figure 5.4 : Branch share of outdoor-unit volume and year-on-year growth</w:t>
          </w:r>
          <w:r>
            <w:tab/>
          </w:r>
          <w:r>
            <w:fldChar w:fldCharType="begin"/>
          </w:r>
          <w:r>
            <w:instrText xml:space="preserve"> PAGEREF _Toc11155 \h </w:instrText>
          </w:r>
          <w:r>
            <w:fldChar w:fldCharType="separate"/>
          </w:r>
          <w:r>
            <w:t>19</w:t>
          </w:r>
          <w:r>
            <w:fldChar w:fldCharType="end"/>
          </w:r>
          <w:r>
            <w:fldChar w:fldCharType="end"/>
          </w:r>
        </w:p>
        <w:p w14:paraId="68BEFF38">
          <w:pPr>
            <w:pStyle w:val="16"/>
            <w:tabs>
              <w:tab w:val="right" w:leader="dot" w:pos="9360"/>
            </w:tabs>
          </w:pPr>
          <w:r>
            <w:fldChar w:fldCharType="begin"/>
          </w:r>
          <w:r>
            <w:instrText xml:space="preserve"> HYPERLINK \l _Toc21154 </w:instrText>
          </w:r>
          <w:r>
            <w:fldChar w:fldCharType="separate"/>
          </w:r>
          <w:r>
            <w:t>Figure 5.5 : Cumulative share of outdoor-unit volume by SKU (Pareto curve)</w:t>
          </w:r>
          <w:r>
            <w:tab/>
          </w:r>
          <w:r>
            <w:fldChar w:fldCharType="begin"/>
          </w:r>
          <w:r>
            <w:instrText xml:space="preserve"> PAGEREF _Toc21154 \h </w:instrText>
          </w:r>
          <w:r>
            <w:fldChar w:fldCharType="separate"/>
          </w:r>
          <w:r>
            <w:t>20</w:t>
          </w:r>
          <w:r>
            <w:fldChar w:fldCharType="end"/>
          </w:r>
          <w:r>
            <w:fldChar w:fldCharType="end"/>
          </w:r>
        </w:p>
        <w:p w14:paraId="7B1A465A">
          <w:pPr>
            <w:pStyle w:val="16"/>
            <w:tabs>
              <w:tab w:val="right" w:leader="dot" w:pos="9360"/>
            </w:tabs>
          </w:pPr>
          <w:r>
            <w:fldChar w:fldCharType="begin"/>
          </w:r>
          <w:r>
            <w:instrText xml:space="preserve"> HYPERLINK \l _Toc6066 </w:instrText>
          </w:r>
          <w:r>
            <w:fldChar w:fldCharType="separate"/>
          </w:r>
          <w:r>
            <w:t>Figure 5.6 : Outdoor-unit volume by segment, star rating and tonnage</w:t>
          </w:r>
          <w:r>
            <w:tab/>
          </w:r>
          <w:r>
            <w:fldChar w:fldCharType="begin"/>
          </w:r>
          <w:r>
            <w:instrText xml:space="preserve"> PAGEREF _Toc6066 \h </w:instrText>
          </w:r>
          <w:r>
            <w:fldChar w:fldCharType="separate"/>
          </w:r>
          <w:r>
            <w:t>20</w:t>
          </w:r>
          <w:r>
            <w:fldChar w:fldCharType="end"/>
          </w:r>
          <w:r>
            <w:fldChar w:fldCharType="end"/>
          </w:r>
        </w:p>
        <w:p w14:paraId="20C8C3F0">
          <w:pPr>
            <w:pStyle w:val="16"/>
            <w:tabs>
              <w:tab w:val="right" w:leader="dot" w:pos="9360"/>
            </w:tabs>
          </w:pPr>
          <w:r>
            <w:fldChar w:fldCharType="begin"/>
          </w:r>
          <w:r>
            <w:instrText xml:space="preserve"> HYPERLINK \l _Toc31004 </w:instrText>
          </w:r>
          <w:r>
            <w:fldChar w:fldCharType="separate"/>
          </w:r>
          <w:r>
            <w:t>Figure 5.7 : Invoice-line size and the share of zero-demand weeks per SKU × branch series</w:t>
          </w:r>
          <w:r>
            <w:tab/>
          </w:r>
          <w:r>
            <w:fldChar w:fldCharType="begin"/>
          </w:r>
          <w:r>
            <w:instrText xml:space="preserve"> PAGEREF _Toc31004 \h </w:instrText>
          </w:r>
          <w:r>
            <w:fldChar w:fldCharType="separate"/>
          </w:r>
          <w:r>
            <w:t>21</w:t>
          </w:r>
          <w:r>
            <w:fldChar w:fldCharType="end"/>
          </w:r>
          <w:r>
            <w:fldChar w:fldCharType="end"/>
          </w:r>
        </w:p>
        <w:p w14:paraId="5456CF39">
          <w:pPr>
            <w:pStyle w:val="16"/>
            <w:tabs>
              <w:tab w:val="right" w:leader="dot" w:pos="9360"/>
            </w:tabs>
          </w:pPr>
          <w:r>
            <w:fldChar w:fldCharType="begin"/>
          </w:r>
          <w:r>
            <w:instrText xml:space="preserve"> HYPERLINK \l _Toc15837 </w:instrText>
          </w:r>
          <w:r>
            <w:fldChar w:fldCharType="separate"/>
          </w:r>
          <w:r>
            <w:t>Figure 5.8 : Syntetos-Boylan classification of SKU × branch demand series</w:t>
          </w:r>
          <w:r>
            <w:tab/>
          </w:r>
          <w:r>
            <w:fldChar w:fldCharType="begin"/>
          </w:r>
          <w:r>
            <w:instrText xml:space="preserve"> PAGEREF _Toc15837 \h </w:instrText>
          </w:r>
          <w:r>
            <w:fldChar w:fldCharType="separate"/>
          </w:r>
          <w:r>
            <w:t>21</w:t>
          </w:r>
          <w:r>
            <w:fldChar w:fldCharType="end"/>
          </w:r>
          <w:r>
            <w:fldChar w:fldCharType="end"/>
          </w:r>
        </w:p>
        <w:p w14:paraId="5639B6DD">
          <w:pPr>
            <w:pStyle w:val="16"/>
            <w:tabs>
              <w:tab w:val="right" w:leader="dot" w:pos="9360"/>
            </w:tabs>
          </w:pPr>
          <w:r>
            <w:fldChar w:fldCharType="begin"/>
          </w:r>
          <w:r>
            <w:instrText xml:space="preserve"> HYPERLINK \l _Toc18151 </w:instrText>
          </w:r>
          <w:r>
            <w:fldChar w:fldCharType="separate"/>
          </w:r>
          <w:r>
            <w:t>Figure 6.1 : LightGBM feature importance: share of split gain, mean of eight folds</w:t>
          </w:r>
          <w:r>
            <w:tab/>
          </w:r>
          <w:r>
            <w:fldChar w:fldCharType="begin"/>
          </w:r>
          <w:r>
            <w:instrText xml:space="preserve"> PAGEREF _Toc18151 \h </w:instrText>
          </w:r>
          <w:r>
            <w:fldChar w:fldCharType="separate"/>
          </w:r>
          <w:r>
            <w:t>25</w:t>
          </w:r>
          <w:r>
            <w:fldChar w:fldCharType="end"/>
          </w:r>
          <w:r>
            <w:fldChar w:fldCharType="end"/>
          </w:r>
        </w:p>
        <w:p w14:paraId="2DAFA240">
          <w:pPr>
            <w:pStyle w:val="16"/>
            <w:tabs>
              <w:tab w:val="right" w:leader="dot" w:pos="9360"/>
            </w:tabs>
          </w:pPr>
          <w:r>
            <w:fldChar w:fldCharType="begin"/>
          </w:r>
          <w:r>
            <w:instrText xml:space="preserve"> HYPERLINK \l _Toc28419 </w:instrText>
          </w:r>
          <w:r>
            <w:fldChar w:fldCharType="separate"/>
          </w:r>
          <w:r>
            <w:t>Figure 7.1 : Weekly WAPE and bias by method</w:t>
          </w:r>
          <w:r>
            <w:tab/>
          </w:r>
          <w:r>
            <w:fldChar w:fldCharType="begin"/>
          </w:r>
          <w:r>
            <w:instrText xml:space="preserve"> PAGEREF _Toc28419 \h </w:instrText>
          </w:r>
          <w:r>
            <w:fldChar w:fldCharType="separate"/>
          </w:r>
          <w:r>
            <w:t>28</w:t>
          </w:r>
          <w:r>
            <w:fldChar w:fldCharType="end"/>
          </w:r>
          <w:r>
            <w:fldChar w:fldCharType="end"/>
          </w:r>
        </w:p>
        <w:p w14:paraId="2E6550A9">
          <w:pPr>
            <w:pStyle w:val="16"/>
            <w:tabs>
              <w:tab w:val="right" w:leader="dot" w:pos="9360"/>
            </w:tabs>
          </w:pPr>
          <w:r>
            <w:fldChar w:fldCharType="begin"/>
          </w:r>
          <w:r>
            <w:instrText xml:space="preserve"> HYPERLINK \l _Toc24386 </w:instrText>
          </w:r>
          <w:r>
            <w:fldChar w:fldCharType="separate"/>
          </w:r>
          <w:r>
            <w:t>Figure 7.2 : Weekly WAPE by demand class for three representative methods</w:t>
          </w:r>
          <w:r>
            <w:tab/>
          </w:r>
          <w:r>
            <w:fldChar w:fldCharType="begin"/>
          </w:r>
          <w:r>
            <w:instrText xml:space="preserve"> PAGEREF _Toc24386 \h </w:instrText>
          </w:r>
          <w:r>
            <w:fldChar w:fldCharType="separate"/>
          </w:r>
          <w:r>
            <w:t>29</w:t>
          </w:r>
          <w:r>
            <w:fldChar w:fldCharType="end"/>
          </w:r>
          <w:r>
            <w:fldChar w:fldCharType="end"/>
          </w:r>
        </w:p>
        <w:p w14:paraId="70BFF988">
          <w:pPr>
            <w:pStyle w:val="16"/>
            <w:tabs>
              <w:tab w:val="right" w:leader="dot" w:pos="9360"/>
            </w:tabs>
          </w:pPr>
          <w:r>
            <w:fldChar w:fldCharType="begin"/>
          </w:r>
          <w:r>
            <w:instrText xml:space="preserve"> HYPERLINK \l _Toc24936 </w:instrText>
          </w:r>
          <w:r>
            <w:fldChar w:fldCharType="separate"/>
          </w:r>
          <w:r>
            <w:t>Figure 7.3 : Actual versus forecast demand, all series combined, across the eight backtest folds</w:t>
          </w:r>
          <w:r>
            <w:tab/>
          </w:r>
          <w:r>
            <w:fldChar w:fldCharType="begin"/>
          </w:r>
          <w:r>
            <w:instrText xml:space="preserve"> PAGEREF _Toc24936 \h </w:instrText>
          </w:r>
          <w:r>
            <w:fldChar w:fldCharType="separate"/>
          </w:r>
          <w:r>
            <w:t>30</w:t>
          </w:r>
          <w:r>
            <w:fldChar w:fldCharType="end"/>
          </w:r>
          <w:r>
            <w:fldChar w:fldCharType="end"/>
          </w:r>
        </w:p>
        <w:p w14:paraId="0607D72F">
          <w:pPr>
            <w:pStyle w:val="16"/>
            <w:tabs>
              <w:tab w:val="right" w:leader="dot" w:pos="9360"/>
            </w:tabs>
          </w:pPr>
          <w:r>
            <w:fldChar w:fldCharType="begin"/>
          </w:r>
          <w:r>
            <w:instrText xml:space="preserve"> HYPERLINK \l _Toc18071 </w:instrText>
          </w:r>
          <w:r>
            <w:fldChar w:fldCharType="separate"/>
          </w:r>
          <w:r>
            <w:t>Figure 7.4 : Weekly WAPE by forecast horizon</w:t>
          </w:r>
          <w:r>
            <w:tab/>
          </w:r>
          <w:r>
            <w:fldChar w:fldCharType="begin"/>
          </w:r>
          <w:r>
            <w:instrText xml:space="preserve"> PAGEREF _Toc18071 \h </w:instrText>
          </w:r>
          <w:r>
            <w:fldChar w:fldCharType="separate"/>
          </w:r>
          <w:r>
            <w:t>31</w:t>
          </w:r>
          <w:r>
            <w:fldChar w:fldCharType="end"/>
          </w:r>
          <w:r>
            <w:fldChar w:fldCharType="end"/>
          </w:r>
        </w:p>
        <w:p w14:paraId="3DE44642">
          <w:pPr>
            <w:pStyle w:val="16"/>
            <w:tabs>
              <w:tab w:val="right" w:leader="dot" w:pos="9360"/>
            </w:tabs>
          </w:pPr>
          <w:r>
            <w:fldChar w:fldCharType="begin"/>
          </w:r>
          <w:r>
            <w:instrText xml:space="preserve"> HYPERLINK \l _Toc3181 </w:instrText>
          </w:r>
          <w:r>
            <w:fldChar w:fldCharType="separate"/>
          </w:r>
          <w:r>
            <w:t>Figure 9.1 : Excess cover and fill rate by forecast method, March to June 2024</w:t>
          </w:r>
          <w:r>
            <w:tab/>
          </w:r>
          <w:r>
            <w:fldChar w:fldCharType="begin"/>
          </w:r>
          <w:r>
            <w:instrText xml:space="preserve"> PAGEREF _Toc3181 \h </w:instrText>
          </w:r>
          <w:r>
            <w:fldChar w:fldCharType="separate"/>
          </w:r>
          <w:r>
            <w:t>37</w:t>
          </w:r>
          <w:r>
            <w:fldChar w:fldCharType="end"/>
          </w:r>
          <w:r>
            <w:fldChar w:fldCharType="end"/>
          </w:r>
        </w:p>
        <w:p w14:paraId="3623F50C">
          <w:pPr>
            <w:pStyle w:val="16"/>
            <w:tabs>
              <w:tab w:val="right" w:leader="dot" w:pos="9350"/>
            </w:tabs>
          </w:pPr>
          <w:r>
            <w:fldChar w:fldCharType="end"/>
          </w:r>
        </w:p>
      </w:sdtContent>
    </w:sdt>
    <w:p w14:paraId="1C7CB117">
      <w:pPr>
        <w:pStyle w:val="2"/>
      </w:pPr>
      <w:bookmarkStart w:id="6" w:name="_Toc15541"/>
      <w:r>
        <w:t>List of Abbreviations</w:t>
      </w:r>
      <w:bookmarkEnd w:id="6"/>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2400"/>
        <w:gridCol w:w="6960"/>
      </w:tblGrid>
      <w:tr w14:paraId="2D9EB27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2400" w:type="dxa"/>
            <w:shd w:val="clear" w:color="auto" w:fill="1F3864"/>
            <w:tcMar>
              <w:top w:w="80" w:type="dxa"/>
              <w:left w:w="120" w:type="dxa"/>
              <w:bottom w:w="80" w:type="dxa"/>
              <w:right w:w="120" w:type="dxa"/>
            </w:tcMar>
            <w:vAlign w:val="center"/>
          </w:tcPr>
          <w:p w14:paraId="76A29020">
            <w:pPr>
              <w:pStyle w:val="27"/>
            </w:pPr>
            <w:r>
              <w:t>Abbreviation</w:t>
            </w:r>
          </w:p>
        </w:tc>
        <w:tc>
          <w:tcPr>
            <w:tcW w:w="6960" w:type="dxa"/>
            <w:shd w:val="clear" w:color="auto" w:fill="1F3864"/>
            <w:tcMar>
              <w:top w:w="80" w:type="dxa"/>
              <w:left w:w="120" w:type="dxa"/>
              <w:bottom w:w="80" w:type="dxa"/>
              <w:right w:w="120" w:type="dxa"/>
            </w:tcMar>
            <w:vAlign w:val="center"/>
          </w:tcPr>
          <w:p w14:paraId="5580147C">
            <w:pPr>
              <w:pStyle w:val="27"/>
            </w:pPr>
            <w:r>
              <w:t>Full Form</w:t>
            </w:r>
          </w:p>
        </w:tc>
      </w:tr>
      <w:tr w14:paraId="375730D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3C3040EA">
            <w:pPr>
              <w:pStyle w:val="26"/>
            </w:pPr>
            <w:r>
              <w:rPr>
                <w:b/>
                <w:color w:val="1F3864"/>
              </w:rPr>
              <w:t>ADI</w:t>
            </w:r>
          </w:p>
        </w:tc>
        <w:tc>
          <w:tcPr>
            <w:tcW w:w="6960" w:type="dxa"/>
            <w:tcMar>
              <w:top w:w="80" w:type="dxa"/>
              <w:left w:w="120" w:type="dxa"/>
              <w:bottom w:w="80" w:type="dxa"/>
              <w:right w:w="120" w:type="dxa"/>
            </w:tcMar>
          </w:tcPr>
          <w:p w14:paraId="22371CC3">
            <w:pPr>
              <w:pStyle w:val="26"/>
            </w:pPr>
            <w:r>
              <w:t>Average Demand Interval (average number of weeks between non-zero sales)</w:t>
            </w:r>
          </w:p>
        </w:tc>
      </w:tr>
      <w:tr w14:paraId="031D6F7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shd w:val="clear" w:color="auto" w:fill="F5F7F7"/>
            <w:tcMar>
              <w:top w:w="80" w:type="dxa"/>
              <w:left w:w="120" w:type="dxa"/>
              <w:bottom w:w="80" w:type="dxa"/>
              <w:right w:w="120" w:type="dxa"/>
            </w:tcMar>
          </w:tcPr>
          <w:p w14:paraId="26F8A2CF">
            <w:pPr>
              <w:pStyle w:val="26"/>
            </w:pPr>
            <w:r>
              <w:rPr>
                <w:b/>
                <w:color w:val="1F3864"/>
              </w:rPr>
              <w:t>AMPBA</w:t>
            </w:r>
          </w:p>
        </w:tc>
        <w:tc>
          <w:tcPr>
            <w:tcW w:w="6960" w:type="dxa"/>
            <w:shd w:val="clear" w:color="auto" w:fill="F5F7F7"/>
            <w:tcMar>
              <w:top w:w="80" w:type="dxa"/>
              <w:left w:w="120" w:type="dxa"/>
              <w:bottom w:w="80" w:type="dxa"/>
              <w:right w:w="120" w:type="dxa"/>
            </w:tcMar>
          </w:tcPr>
          <w:p w14:paraId="2B8AB3B8">
            <w:pPr>
              <w:pStyle w:val="26"/>
            </w:pPr>
            <w:r>
              <w:t>Advanced Management Programme in Business Analytics</w:t>
            </w:r>
          </w:p>
        </w:tc>
      </w:tr>
      <w:tr w14:paraId="55933E5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6A621E50">
            <w:pPr>
              <w:pStyle w:val="26"/>
            </w:pPr>
            <w:r>
              <w:rPr>
                <w:b/>
                <w:color w:val="1F3864"/>
              </w:rPr>
              <w:t>ARIMA</w:t>
            </w:r>
          </w:p>
        </w:tc>
        <w:tc>
          <w:tcPr>
            <w:tcW w:w="6960" w:type="dxa"/>
            <w:tcMar>
              <w:top w:w="80" w:type="dxa"/>
              <w:left w:w="120" w:type="dxa"/>
              <w:bottom w:w="80" w:type="dxa"/>
              <w:right w:w="120" w:type="dxa"/>
            </w:tcMar>
          </w:tcPr>
          <w:p w14:paraId="2E6C7F78">
            <w:pPr>
              <w:pStyle w:val="26"/>
            </w:pPr>
            <w:r>
              <w:t>Autoregressive Integrated Moving Average</w:t>
            </w:r>
          </w:p>
        </w:tc>
      </w:tr>
      <w:tr w14:paraId="2D33BB5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shd w:val="clear" w:color="auto" w:fill="F5F7F7"/>
            <w:tcMar>
              <w:top w:w="80" w:type="dxa"/>
              <w:left w:w="120" w:type="dxa"/>
              <w:bottom w:w="80" w:type="dxa"/>
              <w:right w:w="120" w:type="dxa"/>
            </w:tcMar>
          </w:tcPr>
          <w:p w14:paraId="3A8771A2">
            <w:pPr>
              <w:pStyle w:val="26"/>
            </w:pPr>
            <w:r>
              <w:rPr>
                <w:b/>
                <w:color w:val="1F3864"/>
              </w:rPr>
              <w:t>CSL</w:t>
            </w:r>
          </w:p>
        </w:tc>
        <w:tc>
          <w:tcPr>
            <w:tcW w:w="6960" w:type="dxa"/>
            <w:shd w:val="clear" w:color="auto" w:fill="F5F7F7"/>
            <w:tcMar>
              <w:top w:w="80" w:type="dxa"/>
              <w:left w:w="120" w:type="dxa"/>
              <w:bottom w:w="80" w:type="dxa"/>
              <w:right w:w="120" w:type="dxa"/>
            </w:tcMar>
          </w:tcPr>
          <w:p w14:paraId="4BA2C4C4">
            <w:pPr>
              <w:pStyle w:val="26"/>
            </w:pPr>
            <w:r>
              <w:t>Cycle Service Level</w:t>
            </w:r>
          </w:p>
        </w:tc>
      </w:tr>
      <w:tr w14:paraId="14B0586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2A0CF5F5">
            <w:pPr>
              <w:pStyle w:val="26"/>
            </w:pPr>
            <w:r>
              <w:rPr>
                <w:b/>
                <w:color w:val="1F3864"/>
              </w:rPr>
              <w:t>CV²</w:t>
            </w:r>
          </w:p>
        </w:tc>
        <w:tc>
          <w:tcPr>
            <w:tcW w:w="6960" w:type="dxa"/>
            <w:tcMar>
              <w:top w:w="80" w:type="dxa"/>
              <w:left w:w="120" w:type="dxa"/>
              <w:bottom w:w="80" w:type="dxa"/>
              <w:right w:w="120" w:type="dxa"/>
            </w:tcMar>
          </w:tcPr>
          <w:p w14:paraId="6044C6B3">
            <w:pPr>
              <w:pStyle w:val="26"/>
            </w:pPr>
            <w:r>
              <w:t>Squared Coefficient of Variation of non-zero demand sizes</w:t>
            </w:r>
          </w:p>
        </w:tc>
      </w:tr>
      <w:tr w14:paraId="79974C6F">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shd w:val="clear" w:color="auto" w:fill="F5F7F7"/>
            <w:tcMar>
              <w:top w:w="80" w:type="dxa"/>
              <w:left w:w="120" w:type="dxa"/>
              <w:bottom w:w="80" w:type="dxa"/>
              <w:right w:w="120" w:type="dxa"/>
            </w:tcMar>
          </w:tcPr>
          <w:p w14:paraId="024843BB">
            <w:pPr>
              <w:pStyle w:val="26"/>
            </w:pPr>
            <w:r>
              <w:rPr>
                <w:b/>
                <w:color w:val="1F3864"/>
              </w:rPr>
              <w:t>EDA</w:t>
            </w:r>
          </w:p>
        </w:tc>
        <w:tc>
          <w:tcPr>
            <w:tcW w:w="6960" w:type="dxa"/>
            <w:shd w:val="clear" w:color="auto" w:fill="F5F7F7"/>
            <w:tcMar>
              <w:top w:w="80" w:type="dxa"/>
              <w:left w:w="120" w:type="dxa"/>
              <w:bottom w:w="80" w:type="dxa"/>
              <w:right w:w="120" w:type="dxa"/>
            </w:tcMar>
          </w:tcPr>
          <w:p w14:paraId="61A07678">
            <w:pPr>
              <w:pStyle w:val="26"/>
            </w:pPr>
            <w:r>
              <w:t>Exploratory Data Analysis</w:t>
            </w:r>
          </w:p>
        </w:tc>
      </w:tr>
      <w:tr w14:paraId="7DC16A9B">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358458A3">
            <w:pPr>
              <w:pStyle w:val="26"/>
            </w:pPr>
            <w:r>
              <w:rPr>
                <w:b/>
                <w:color w:val="1F3864"/>
              </w:rPr>
              <w:t>ERP</w:t>
            </w:r>
          </w:p>
        </w:tc>
        <w:tc>
          <w:tcPr>
            <w:tcW w:w="6960" w:type="dxa"/>
            <w:tcMar>
              <w:top w:w="80" w:type="dxa"/>
              <w:left w:w="120" w:type="dxa"/>
              <w:bottom w:w="80" w:type="dxa"/>
              <w:right w:w="120" w:type="dxa"/>
            </w:tcMar>
          </w:tcPr>
          <w:p w14:paraId="425B6D24">
            <w:pPr>
              <w:pStyle w:val="26"/>
            </w:pPr>
            <w:r>
              <w:t>Enterprise Resource Planning (system of record for billing)</w:t>
            </w:r>
          </w:p>
        </w:tc>
      </w:tr>
      <w:tr w14:paraId="1969340D">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shd w:val="clear" w:color="auto" w:fill="F5F7F7"/>
            <w:tcMar>
              <w:top w:w="80" w:type="dxa"/>
              <w:left w:w="120" w:type="dxa"/>
              <w:bottom w:w="80" w:type="dxa"/>
              <w:right w:w="120" w:type="dxa"/>
            </w:tcMar>
          </w:tcPr>
          <w:p w14:paraId="46AEA7A9">
            <w:pPr>
              <w:pStyle w:val="26"/>
            </w:pPr>
            <w:r>
              <w:rPr>
                <w:b/>
                <w:color w:val="1F3864"/>
              </w:rPr>
              <w:t>FY</w:t>
            </w:r>
          </w:p>
        </w:tc>
        <w:tc>
          <w:tcPr>
            <w:tcW w:w="6960" w:type="dxa"/>
            <w:shd w:val="clear" w:color="auto" w:fill="F5F7F7"/>
            <w:tcMar>
              <w:top w:w="80" w:type="dxa"/>
              <w:left w:w="120" w:type="dxa"/>
              <w:bottom w:w="80" w:type="dxa"/>
              <w:right w:w="120" w:type="dxa"/>
            </w:tcMar>
          </w:tcPr>
          <w:p w14:paraId="2840A102">
            <w:pPr>
              <w:pStyle w:val="26"/>
            </w:pPr>
            <w:r>
              <w:t>Fiscal Year (April to March)</w:t>
            </w:r>
          </w:p>
        </w:tc>
      </w:tr>
      <w:tr w14:paraId="5A44F29D">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44C3C734">
            <w:pPr>
              <w:pStyle w:val="26"/>
            </w:pPr>
            <w:r>
              <w:rPr>
                <w:b/>
                <w:color w:val="1F3864"/>
              </w:rPr>
              <w:t>IDU</w:t>
            </w:r>
          </w:p>
        </w:tc>
        <w:tc>
          <w:tcPr>
            <w:tcW w:w="6960" w:type="dxa"/>
            <w:tcMar>
              <w:top w:w="80" w:type="dxa"/>
              <w:left w:w="120" w:type="dxa"/>
              <w:bottom w:w="80" w:type="dxa"/>
              <w:right w:w="120" w:type="dxa"/>
            </w:tcMar>
          </w:tcPr>
          <w:p w14:paraId="72E24661">
            <w:pPr>
              <w:pStyle w:val="26"/>
            </w:pPr>
            <w:r>
              <w:t>Indoor Unit of a split air-conditioner</w:t>
            </w:r>
          </w:p>
        </w:tc>
      </w:tr>
      <w:tr w14:paraId="29BB6B7D">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shd w:val="clear" w:color="auto" w:fill="F5F7F7"/>
            <w:tcMar>
              <w:top w:w="80" w:type="dxa"/>
              <w:left w:w="120" w:type="dxa"/>
              <w:bottom w:w="80" w:type="dxa"/>
              <w:right w:w="120" w:type="dxa"/>
            </w:tcMar>
          </w:tcPr>
          <w:p w14:paraId="2CBB2E26">
            <w:pPr>
              <w:pStyle w:val="26"/>
            </w:pPr>
            <w:r>
              <w:rPr>
                <w:b/>
                <w:color w:val="1F3864"/>
              </w:rPr>
              <w:t>LightGBM</w:t>
            </w:r>
          </w:p>
        </w:tc>
        <w:tc>
          <w:tcPr>
            <w:tcW w:w="6960" w:type="dxa"/>
            <w:shd w:val="clear" w:color="auto" w:fill="F5F7F7"/>
            <w:tcMar>
              <w:top w:w="80" w:type="dxa"/>
              <w:left w:w="120" w:type="dxa"/>
              <w:bottom w:w="80" w:type="dxa"/>
              <w:right w:w="120" w:type="dxa"/>
            </w:tcMar>
          </w:tcPr>
          <w:p w14:paraId="4F35BCE1">
            <w:pPr>
              <w:pStyle w:val="26"/>
            </w:pPr>
            <w:r>
              <w:t>Light Gradient Boosting Machine</w:t>
            </w:r>
          </w:p>
        </w:tc>
      </w:tr>
      <w:tr w14:paraId="42FFAE1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6F44B556">
            <w:pPr>
              <w:pStyle w:val="26"/>
            </w:pPr>
            <w:r>
              <w:rPr>
                <w:b/>
                <w:color w:val="1F3864"/>
              </w:rPr>
              <w:t>MA</w:t>
            </w:r>
          </w:p>
        </w:tc>
        <w:tc>
          <w:tcPr>
            <w:tcW w:w="6960" w:type="dxa"/>
            <w:tcMar>
              <w:top w:w="80" w:type="dxa"/>
              <w:left w:w="120" w:type="dxa"/>
              <w:bottom w:w="80" w:type="dxa"/>
              <w:right w:w="120" w:type="dxa"/>
            </w:tcMar>
          </w:tcPr>
          <w:p w14:paraId="09972E29">
            <w:pPr>
              <w:pStyle w:val="26"/>
            </w:pPr>
            <w:r>
              <w:t>Moving Average</w:t>
            </w:r>
          </w:p>
        </w:tc>
      </w:tr>
      <w:tr w14:paraId="129EABA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shd w:val="clear" w:color="auto" w:fill="F5F7F7"/>
            <w:tcMar>
              <w:top w:w="80" w:type="dxa"/>
              <w:left w:w="120" w:type="dxa"/>
              <w:bottom w:w="80" w:type="dxa"/>
              <w:right w:w="120" w:type="dxa"/>
            </w:tcMar>
          </w:tcPr>
          <w:p w14:paraId="06826B83">
            <w:pPr>
              <w:pStyle w:val="26"/>
            </w:pPr>
            <w:r>
              <w:rPr>
                <w:b/>
                <w:color w:val="1F3864"/>
              </w:rPr>
              <w:t>MASE</w:t>
            </w:r>
          </w:p>
        </w:tc>
        <w:tc>
          <w:tcPr>
            <w:tcW w:w="6960" w:type="dxa"/>
            <w:shd w:val="clear" w:color="auto" w:fill="F5F7F7"/>
            <w:tcMar>
              <w:top w:w="80" w:type="dxa"/>
              <w:left w:w="120" w:type="dxa"/>
              <w:bottom w:w="80" w:type="dxa"/>
              <w:right w:w="120" w:type="dxa"/>
            </w:tcMar>
          </w:tcPr>
          <w:p w14:paraId="5B8EA2A1">
            <w:pPr>
              <w:pStyle w:val="26"/>
            </w:pPr>
            <w:r>
              <w:t>Mean Absolute Scaled Error</w:t>
            </w:r>
          </w:p>
        </w:tc>
      </w:tr>
      <w:tr w14:paraId="15A59B4C">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03A215F4">
            <w:pPr>
              <w:pStyle w:val="26"/>
            </w:pPr>
            <w:r>
              <w:rPr>
                <w:b/>
                <w:color w:val="1F3864"/>
              </w:rPr>
              <w:t>ML</w:t>
            </w:r>
          </w:p>
        </w:tc>
        <w:tc>
          <w:tcPr>
            <w:tcW w:w="6960" w:type="dxa"/>
            <w:tcMar>
              <w:top w:w="80" w:type="dxa"/>
              <w:left w:w="120" w:type="dxa"/>
              <w:bottom w:w="80" w:type="dxa"/>
              <w:right w:w="120" w:type="dxa"/>
            </w:tcMar>
          </w:tcPr>
          <w:p w14:paraId="46B3E10A">
            <w:pPr>
              <w:pStyle w:val="26"/>
            </w:pPr>
            <w:r>
              <w:t>Machine Learning</w:t>
            </w:r>
          </w:p>
        </w:tc>
      </w:tr>
      <w:tr w14:paraId="36F2CCF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shd w:val="clear" w:color="auto" w:fill="F5F7F7"/>
            <w:tcMar>
              <w:top w:w="80" w:type="dxa"/>
              <w:left w:w="120" w:type="dxa"/>
              <w:bottom w:w="80" w:type="dxa"/>
              <w:right w:w="120" w:type="dxa"/>
            </w:tcMar>
          </w:tcPr>
          <w:p w14:paraId="56DB1711">
            <w:pPr>
              <w:pStyle w:val="26"/>
            </w:pPr>
            <w:r>
              <w:rPr>
                <w:b/>
                <w:color w:val="1F3864"/>
              </w:rPr>
              <w:t>ODU</w:t>
            </w:r>
          </w:p>
        </w:tc>
        <w:tc>
          <w:tcPr>
            <w:tcW w:w="6960" w:type="dxa"/>
            <w:shd w:val="clear" w:color="auto" w:fill="F5F7F7"/>
            <w:tcMar>
              <w:top w:w="80" w:type="dxa"/>
              <w:left w:w="120" w:type="dxa"/>
              <w:bottom w:w="80" w:type="dxa"/>
              <w:right w:w="120" w:type="dxa"/>
            </w:tcMar>
          </w:tcPr>
          <w:p w14:paraId="51A738AD">
            <w:pPr>
              <w:pStyle w:val="26"/>
            </w:pPr>
            <w:r>
              <w:t>Outdoor Unit of a split air-conditioner</w:t>
            </w:r>
          </w:p>
        </w:tc>
      </w:tr>
      <w:tr w14:paraId="02F4CD74">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1DDE9522">
            <w:pPr>
              <w:pStyle w:val="26"/>
            </w:pPr>
            <w:r>
              <w:rPr>
                <w:b/>
                <w:color w:val="1F3864"/>
              </w:rPr>
              <w:t>PII</w:t>
            </w:r>
          </w:p>
        </w:tc>
        <w:tc>
          <w:tcPr>
            <w:tcW w:w="6960" w:type="dxa"/>
            <w:tcMar>
              <w:top w:w="80" w:type="dxa"/>
              <w:left w:w="120" w:type="dxa"/>
              <w:bottom w:w="80" w:type="dxa"/>
              <w:right w:w="120" w:type="dxa"/>
            </w:tcMar>
          </w:tcPr>
          <w:p w14:paraId="332C0C85">
            <w:pPr>
              <w:pStyle w:val="26"/>
            </w:pPr>
            <w:r>
              <w:t>Personally Identifiable Information</w:t>
            </w:r>
          </w:p>
        </w:tc>
      </w:tr>
      <w:tr w14:paraId="0A577B58">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shd w:val="clear" w:color="auto" w:fill="F5F7F7"/>
            <w:tcMar>
              <w:top w:w="80" w:type="dxa"/>
              <w:left w:w="120" w:type="dxa"/>
              <w:bottom w:w="80" w:type="dxa"/>
              <w:right w:w="120" w:type="dxa"/>
            </w:tcMar>
          </w:tcPr>
          <w:p w14:paraId="4E4905DF">
            <w:pPr>
              <w:pStyle w:val="26"/>
            </w:pPr>
            <w:r>
              <w:rPr>
                <w:b/>
                <w:color w:val="1F3864"/>
              </w:rPr>
              <w:t>PSI</w:t>
            </w:r>
          </w:p>
        </w:tc>
        <w:tc>
          <w:tcPr>
            <w:tcW w:w="6960" w:type="dxa"/>
            <w:shd w:val="clear" w:color="auto" w:fill="F5F7F7"/>
            <w:tcMar>
              <w:top w:w="80" w:type="dxa"/>
              <w:left w:w="120" w:type="dxa"/>
              <w:bottom w:w="80" w:type="dxa"/>
              <w:right w:w="120" w:type="dxa"/>
            </w:tcMar>
          </w:tcPr>
          <w:p w14:paraId="7B90DFE7">
            <w:pPr>
              <w:pStyle w:val="26"/>
            </w:pPr>
            <w:r>
              <w:t>Population Stability Index</w:t>
            </w:r>
          </w:p>
        </w:tc>
      </w:tr>
      <w:tr w14:paraId="4649850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239302FE">
            <w:pPr>
              <w:pStyle w:val="26"/>
            </w:pPr>
            <w:r>
              <w:rPr>
                <w:b/>
                <w:color w:val="1F3864"/>
              </w:rPr>
              <w:t>RAC</w:t>
            </w:r>
          </w:p>
        </w:tc>
        <w:tc>
          <w:tcPr>
            <w:tcW w:w="6960" w:type="dxa"/>
            <w:tcMar>
              <w:top w:w="80" w:type="dxa"/>
              <w:left w:w="120" w:type="dxa"/>
              <w:bottom w:w="80" w:type="dxa"/>
              <w:right w:w="120" w:type="dxa"/>
            </w:tcMar>
          </w:tcPr>
          <w:p w14:paraId="5F8D9A2C">
            <w:pPr>
              <w:pStyle w:val="26"/>
            </w:pPr>
            <w:r>
              <w:t>Room Air-Conditioner</w:t>
            </w:r>
          </w:p>
        </w:tc>
      </w:tr>
      <w:tr w14:paraId="5190283A">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shd w:val="clear" w:color="auto" w:fill="F5F7F7"/>
            <w:tcMar>
              <w:top w:w="80" w:type="dxa"/>
              <w:left w:w="120" w:type="dxa"/>
              <w:bottom w:w="80" w:type="dxa"/>
              <w:right w:w="120" w:type="dxa"/>
            </w:tcMar>
          </w:tcPr>
          <w:p w14:paraId="1AF01875">
            <w:pPr>
              <w:pStyle w:val="26"/>
            </w:pPr>
            <w:r>
              <w:rPr>
                <w:b/>
                <w:color w:val="1F3864"/>
              </w:rPr>
              <w:t>RF</w:t>
            </w:r>
          </w:p>
        </w:tc>
        <w:tc>
          <w:tcPr>
            <w:tcW w:w="6960" w:type="dxa"/>
            <w:shd w:val="clear" w:color="auto" w:fill="F5F7F7"/>
            <w:tcMar>
              <w:top w:w="80" w:type="dxa"/>
              <w:left w:w="120" w:type="dxa"/>
              <w:bottom w:w="80" w:type="dxa"/>
              <w:right w:w="120" w:type="dxa"/>
            </w:tcMar>
          </w:tcPr>
          <w:p w14:paraId="2C51F485">
            <w:pPr>
              <w:pStyle w:val="26"/>
            </w:pPr>
            <w:r>
              <w:t>Random Forest</w:t>
            </w:r>
          </w:p>
        </w:tc>
      </w:tr>
      <w:tr w14:paraId="111B794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5A902352">
            <w:pPr>
              <w:pStyle w:val="26"/>
            </w:pPr>
            <w:r>
              <w:rPr>
                <w:b/>
                <w:color w:val="1F3864"/>
              </w:rPr>
              <w:t>RMSE</w:t>
            </w:r>
          </w:p>
        </w:tc>
        <w:tc>
          <w:tcPr>
            <w:tcW w:w="6960" w:type="dxa"/>
            <w:tcMar>
              <w:top w:w="80" w:type="dxa"/>
              <w:left w:w="120" w:type="dxa"/>
              <w:bottom w:w="80" w:type="dxa"/>
              <w:right w:w="120" w:type="dxa"/>
            </w:tcMar>
          </w:tcPr>
          <w:p w14:paraId="2BFDAA92">
            <w:pPr>
              <w:pStyle w:val="26"/>
            </w:pPr>
            <w:r>
              <w:t>Root Mean Squared Error</w:t>
            </w:r>
          </w:p>
        </w:tc>
      </w:tr>
      <w:tr w14:paraId="26E9E606">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shd w:val="clear" w:color="auto" w:fill="F5F7F7"/>
            <w:tcMar>
              <w:top w:w="80" w:type="dxa"/>
              <w:left w:w="120" w:type="dxa"/>
              <w:bottom w:w="80" w:type="dxa"/>
              <w:right w:w="120" w:type="dxa"/>
            </w:tcMar>
          </w:tcPr>
          <w:p w14:paraId="58E1D066">
            <w:pPr>
              <w:pStyle w:val="26"/>
            </w:pPr>
            <w:r>
              <w:rPr>
                <w:b/>
                <w:color w:val="1F3864"/>
              </w:rPr>
              <w:t>ROP</w:t>
            </w:r>
          </w:p>
        </w:tc>
        <w:tc>
          <w:tcPr>
            <w:tcW w:w="6960" w:type="dxa"/>
            <w:shd w:val="clear" w:color="auto" w:fill="F5F7F7"/>
            <w:tcMar>
              <w:top w:w="80" w:type="dxa"/>
              <w:left w:w="120" w:type="dxa"/>
              <w:bottom w:w="80" w:type="dxa"/>
              <w:right w:w="120" w:type="dxa"/>
            </w:tcMar>
          </w:tcPr>
          <w:p w14:paraId="68226DB5">
            <w:pPr>
              <w:pStyle w:val="26"/>
            </w:pPr>
            <w:r>
              <w:t>Reorder Point</w:t>
            </w:r>
          </w:p>
        </w:tc>
      </w:tr>
      <w:tr w14:paraId="6EC047F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116F5B0C">
            <w:pPr>
              <w:pStyle w:val="26"/>
            </w:pPr>
            <w:r>
              <w:rPr>
                <w:b/>
                <w:color w:val="1F3864"/>
              </w:rPr>
              <w:t>SBA</w:t>
            </w:r>
          </w:p>
        </w:tc>
        <w:tc>
          <w:tcPr>
            <w:tcW w:w="6960" w:type="dxa"/>
            <w:tcMar>
              <w:top w:w="80" w:type="dxa"/>
              <w:left w:w="120" w:type="dxa"/>
              <w:bottom w:w="80" w:type="dxa"/>
              <w:right w:w="120" w:type="dxa"/>
            </w:tcMar>
          </w:tcPr>
          <w:p w14:paraId="56198365">
            <w:pPr>
              <w:pStyle w:val="26"/>
            </w:pPr>
            <w:r>
              <w:t>Syntetos-Boylan Approximation</w:t>
            </w:r>
          </w:p>
        </w:tc>
      </w:tr>
      <w:tr w14:paraId="4B51763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shd w:val="clear" w:color="auto" w:fill="F5F7F7"/>
            <w:tcMar>
              <w:top w:w="80" w:type="dxa"/>
              <w:left w:w="120" w:type="dxa"/>
              <w:bottom w:w="80" w:type="dxa"/>
              <w:right w:w="120" w:type="dxa"/>
            </w:tcMar>
          </w:tcPr>
          <w:p w14:paraId="1B8AF5F0">
            <w:pPr>
              <w:pStyle w:val="26"/>
            </w:pPr>
            <w:r>
              <w:rPr>
                <w:b/>
                <w:color w:val="1F3864"/>
              </w:rPr>
              <w:t>SES</w:t>
            </w:r>
          </w:p>
        </w:tc>
        <w:tc>
          <w:tcPr>
            <w:tcW w:w="6960" w:type="dxa"/>
            <w:shd w:val="clear" w:color="auto" w:fill="F5F7F7"/>
            <w:tcMar>
              <w:top w:w="80" w:type="dxa"/>
              <w:left w:w="120" w:type="dxa"/>
              <w:bottom w:w="80" w:type="dxa"/>
              <w:right w:w="120" w:type="dxa"/>
            </w:tcMar>
          </w:tcPr>
          <w:p w14:paraId="3F1035A6">
            <w:pPr>
              <w:pStyle w:val="26"/>
            </w:pPr>
            <w:r>
              <w:t>Simple Exponential Smoothing</w:t>
            </w:r>
          </w:p>
        </w:tc>
      </w:tr>
      <w:tr w14:paraId="6D161E5F">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2EBFA8E9">
            <w:pPr>
              <w:pStyle w:val="26"/>
            </w:pPr>
            <w:r>
              <w:rPr>
                <w:b/>
                <w:color w:val="1F3864"/>
              </w:rPr>
              <w:t>SKU</w:t>
            </w:r>
          </w:p>
        </w:tc>
        <w:tc>
          <w:tcPr>
            <w:tcW w:w="6960" w:type="dxa"/>
            <w:tcMar>
              <w:top w:w="80" w:type="dxa"/>
              <w:left w:w="120" w:type="dxa"/>
              <w:bottom w:w="80" w:type="dxa"/>
              <w:right w:w="120" w:type="dxa"/>
            </w:tcMar>
          </w:tcPr>
          <w:p w14:paraId="5C08E560">
            <w:pPr>
              <w:pStyle w:val="26"/>
            </w:pPr>
            <w:r>
              <w:t>Stock-Keeping Unit</w:t>
            </w:r>
          </w:p>
        </w:tc>
      </w:tr>
      <w:tr w14:paraId="2DD4527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shd w:val="clear" w:color="auto" w:fill="F5F7F7"/>
            <w:tcMar>
              <w:top w:w="80" w:type="dxa"/>
              <w:left w:w="120" w:type="dxa"/>
              <w:bottom w:w="80" w:type="dxa"/>
              <w:right w:w="120" w:type="dxa"/>
            </w:tcMar>
          </w:tcPr>
          <w:p w14:paraId="7E2CD01A">
            <w:pPr>
              <w:pStyle w:val="26"/>
            </w:pPr>
            <w:r>
              <w:rPr>
                <w:b/>
                <w:color w:val="1F3864"/>
              </w:rPr>
              <w:t>SS</w:t>
            </w:r>
          </w:p>
        </w:tc>
        <w:tc>
          <w:tcPr>
            <w:tcW w:w="6960" w:type="dxa"/>
            <w:shd w:val="clear" w:color="auto" w:fill="F5F7F7"/>
            <w:tcMar>
              <w:top w:w="80" w:type="dxa"/>
              <w:left w:w="120" w:type="dxa"/>
              <w:bottom w:w="80" w:type="dxa"/>
              <w:right w:w="120" w:type="dxa"/>
            </w:tcMar>
          </w:tcPr>
          <w:p w14:paraId="75E5BF74">
            <w:pPr>
              <w:pStyle w:val="26"/>
            </w:pPr>
            <w:r>
              <w:t>Safety Stock</w:t>
            </w:r>
          </w:p>
        </w:tc>
      </w:tr>
      <w:tr w14:paraId="4ADBE23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6DB83B6F">
            <w:pPr>
              <w:pStyle w:val="26"/>
            </w:pPr>
            <w:r>
              <w:rPr>
                <w:b/>
                <w:color w:val="1F3864"/>
              </w:rPr>
              <w:t>TR</w:t>
            </w:r>
          </w:p>
        </w:tc>
        <w:tc>
          <w:tcPr>
            <w:tcW w:w="6960" w:type="dxa"/>
            <w:tcMar>
              <w:top w:w="80" w:type="dxa"/>
              <w:left w:w="120" w:type="dxa"/>
              <w:bottom w:w="80" w:type="dxa"/>
              <w:right w:w="120" w:type="dxa"/>
            </w:tcMar>
          </w:tcPr>
          <w:p w14:paraId="1173FB7F">
            <w:pPr>
              <w:pStyle w:val="26"/>
            </w:pPr>
            <w:r>
              <w:t>Ton of Refrigeration (cooling capacity)</w:t>
            </w:r>
          </w:p>
        </w:tc>
      </w:tr>
      <w:tr w14:paraId="2B56F1C9">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shd w:val="clear" w:color="auto" w:fill="F5F7F7"/>
            <w:tcMar>
              <w:top w:w="80" w:type="dxa"/>
              <w:left w:w="120" w:type="dxa"/>
              <w:bottom w:w="80" w:type="dxa"/>
              <w:right w:w="120" w:type="dxa"/>
            </w:tcMar>
          </w:tcPr>
          <w:p w14:paraId="277735FE">
            <w:pPr>
              <w:pStyle w:val="26"/>
            </w:pPr>
            <w:r>
              <w:rPr>
                <w:b/>
                <w:color w:val="1F3864"/>
              </w:rPr>
              <w:t>TSB</w:t>
            </w:r>
          </w:p>
        </w:tc>
        <w:tc>
          <w:tcPr>
            <w:tcW w:w="6960" w:type="dxa"/>
            <w:shd w:val="clear" w:color="auto" w:fill="F5F7F7"/>
            <w:tcMar>
              <w:top w:w="80" w:type="dxa"/>
              <w:left w:w="120" w:type="dxa"/>
              <w:bottom w:w="80" w:type="dxa"/>
              <w:right w:w="120" w:type="dxa"/>
            </w:tcMar>
          </w:tcPr>
          <w:p w14:paraId="42556777">
            <w:pPr>
              <w:pStyle w:val="26"/>
            </w:pPr>
            <w:r>
              <w:t>Teunter-Syntetos-Babai method</w:t>
            </w:r>
          </w:p>
        </w:tc>
      </w:tr>
      <w:tr w14:paraId="24E1339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5B98B753">
            <w:pPr>
              <w:pStyle w:val="26"/>
            </w:pPr>
            <w:r>
              <w:rPr>
                <w:b/>
                <w:color w:val="1F3864"/>
              </w:rPr>
              <w:t>WAPE</w:t>
            </w:r>
          </w:p>
        </w:tc>
        <w:tc>
          <w:tcPr>
            <w:tcW w:w="6960" w:type="dxa"/>
            <w:tcMar>
              <w:top w:w="80" w:type="dxa"/>
              <w:left w:w="120" w:type="dxa"/>
              <w:bottom w:w="80" w:type="dxa"/>
              <w:right w:w="120" w:type="dxa"/>
            </w:tcMar>
          </w:tcPr>
          <w:p w14:paraId="7D495B62">
            <w:pPr>
              <w:pStyle w:val="26"/>
            </w:pPr>
            <w:r>
              <w:t>Weighted Absolute Percentage Error</w:t>
            </w:r>
          </w:p>
        </w:tc>
      </w:tr>
    </w:tbl>
    <w:p w14:paraId="4A8E8534"/>
    <w:p w14:paraId="1D54129A">
      <w:pPr>
        <w:pStyle w:val="2"/>
      </w:pPr>
      <w:bookmarkStart w:id="7" w:name="_Toc6893"/>
      <w:r>
        <w:t>Abstract</w:t>
      </w:r>
      <w:bookmarkEnd w:id="7"/>
    </w:p>
    <w:p w14:paraId="7C130AA7">
      <w:r>
        <w:t>Demand for room air-conditioners (RACs) in South India is strongly seasonal and, at the level at which depots replenish, sparse and volatile. Sponsored by Deloitte for a RAC manufacturer, this project asked whether SKU-level forecasting can improve weekly depot replenishment across five branches. We audited 82,034 ERP billing lines from July 2022 to June 2024, corrected a structural change in how indoor units were recorded, and built 273 weekly SKU × branch demand series for 70 outdoor-unit models. Syntetos-Boylan classification placed 75% of series in the lumpy or intermittent classes, although erratic high-volume series carry 60% of volume. We compared twelve statistical, intermittent-demand and machine-learning methods in an eight-fold rolling-origin backtest covering December 2023 to June 2024. A single global LightGBM model was the most accurate, reducing weighted absolute percentage error (WAPE) against an eight-week moving average from 104.8% to 84.7% at the weekly SKU × branch level and from 81.9% to 62.7% over four-week planning buckets. Converted into safety stock, it matched the moving average's fill rate with 19% less excess cover. The evidence favours a global machine-learning forecaster with error-based buffers, piloted in shadow mode before planners rely on it.</w:t>
      </w:r>
    </w:p>
    <w:p w14:paraId="033DB3E4">
      <w:r>
        <w:rPr>
          <w:b/>
          <w:bCs/>
        </w:rPr>
        <w:t>Keywords:</w:t>
      </w:r>
      <w:r>
        <w:t xml:space="preserve"> SKU-level demand forecasting; intermittent demand; room air-conditioners; gradient boosting (LightGBM); rolling-origin evaluation; safety stock</w:t>
      </w:r>
    </w:p>
    <w:p w14:paraId="626FC008">
      <w:pPr>
        <w:pStyle w:val="2"/>
      </w:pPr>
      <w:bookmarkStart w:id="8" w:name="_Toc24814"/>
      <w:r>
        <w:t>Executive Summary</w:t>
      </w:r>
      <w:bookmarkEnd w:id="8"/>
    </w:p>
    <w:p w14:paraId="221E00DD">
      <w:r>
        <w:rPr>
          <w:b/>
          <w:bCs/>
        </w:rPr>
        <w:t>The problem.</w:t>
      </w:r>
      <w:r>
        <w:t xml:space="preserve"> Our sponsor's client sells room air-conditioners through five South Indian branches. More than half of the year's volume is billed in four months, February to May, and a further spike arrives every December. Branch planners must decide each week how many units of each model to hold, two weeks before they know what dealers will order. Order too little and peak-season sales are lost; order too much and expensive stock sits in the wrong depot when the season ends. Today these decisions rest largely on recent sales averages and judgement.</w:t>
      </w:r>
    </w:p>
    <w:p w14:paraId="6C3CBA5C">
      <w:r>
        <w:rPr>
          <w:b/>
          <w:bCs/>
        </w:rPr>
        <w:t>What we set out to do.</w:t>
      </w:r>
      <w:r>
        <w:t xml:space="preserve"> We asked whether forecasting demand for each model at each branch, every week, could make replenishment more accurate and reduce the stock needed to protect service. We used two years of billing records (July 2022 to June 2024), cleaned them, and tested twelve forecasting methods by replaying the past: each method forecast four weeks ahead from eight different starting points between late November 2023 and June 2024, using only the data that would have been available at the time.</w:t>
      </w:r>
    </w:p>
    <w:p w14:paraId="2CB505F5">
      <w:r>
        <w:rPr>
          <w:b/>
          <w:bCs/>
        </w:rPr>
        <w:t>What we found.</w:t>
      </w:r>
    </w:p>
    <w:p w14:paraId="67A8133D">
      <w:pPr>
        <w:pStyle w:val="22"/>
        <w:numPr>
          <w:ilvl w:val="0"/>
          <w:numId w:val="1"/>
        </w:numPr>
        <w:spacing w:after="80"/>
      </w:pPr>
      <w:r>
        <w:rPr>
          <w:b/>
          <w:bCs/>
        </w:rPr>
        <w:t>The data needed repair before any model could be trusted.</w:t>
      </w:r>
      <w:r>
        <w:t xml:space="preserve"> The final quarter of the extract (April to June 2024) was recorded differently: indoor units appear as separate lines for the first time, and 4,463 exact duplicate rows (about a fifth of that quarter) cannot be checked because their invoice numbers are missing. Counting both indoor and outdoor lines, as earlier work did, would have doubled apparent demand in the busiest quarter.</w:t>
      </w:r>
    </w:p>
    <w:p w14:paraId="3EBB8C4A">
      <w:pPr>
        <w:pStyle w:val="22"/>
        <w:numPr>
          <w:ilvl w:val="0"/>
          <w:numId w:val="1"/>
        </w:numPr>
        <w:spacing w:after="80"/>
      </w:pPr>
      <w:r>
        <w:rPr>
          <w:b/>
          <w:bCs/>
        </w:rPr>
        <w:t>Demand is genuinely hard to predict at the level planners work.</w:t>
      </w:r>
      <w:r>
        <w:t xml:space="preserve"> Of 273 model-branch combinations, three in four sell in fewer than three weeks out of four, and a typical combination records no sale in 64% of weeks. Sixteen of 70 models produce 80% of the volume.</w:t>
      </w:r>
    </w:p>
    <w:p w14:paraId="64AE0DEF">
      <w:pPr>
        <w:pStyle w:val="22"/>
        <w:numPr>
          <w:ilvl w:val="0"/>
          <w:numId w:val="1"/>
        </w:numPr>
        <w:spacing w:after="80"/>
      </w:pPr>
      <w:r>
        <w:rPr>
          <w:b/>
          <w:bCs/>
        </w:rPr>
        <w:t>One machine-learning model, trained across all products and branches together, beat every simpler rule.</w:t>
      </w:r>
      <w:r>
        <w:t xml:space="preserve"> Its weekly error was 19% lower than an eight-week moving average and 24% lower over four-week planning buckets. Its largest advantage came at the end of the season, when simple averages kept projecting peak-season volumes.</w:t>
      </w:r>
    </w:p>
    <w:p w14:paraId="488B492E">
      <w:pPr>
        <w:pStyle w:val="22"/>
        <w:numPr>
          <w:ilvl w:val="0"/>
          <w:numId w:val="1"/>
        </w:numPr>
        <w:spacing w:after="80"/>
      </w:pPr>
      <w:r>
        <w:rPr>
          <w:b/>
          <w:bCs/>
        </w:rPr>
        <w:t>Picking a different method for each product did not help.</w:t>
      </w:r>
      <w:r>
        <w:t xml:space="preserve"> Choosing each product's best method on past months and applying it to later months produced a 99% error, worse than simply using the single global model (85%).</w:t>
      </w:r>
    </w:p>
    <w:p w14:paraId="207D7B15">
      <w:pPr>
        <w:pStyle w:val="22"/>
        <w:numPr>
          <w:ilvl w:val="0"/>
          <w:numId w:val="1"/>
        </w:numPr>
        <w:spacing w:after="80"/>
      </w:pPr>
      <w:r>
        <w:rPr>
          <w:b/>
          <w:bCs/>
        </w:rPr>
        <w:t>Better forecasts translate into leaner, not fuller, buffers.</w:t>
      </w:r>
      <w:r>
        <w:t xml:space="preserve"> Setting safety stock from each method's own measured error, the global model delivered the same unit fill rate as the moving average (87.8%) while carrying 19% less excess stock at the end of each replenishment cycle. No method reached the 95% service target in the volatile March to June 2024 period, a sign that buffers must be recalibrated as the season turns.</w:t>
      </w:r>
    </w:p>
    <w:p w14:paraId="26A4271D">
      <w:r>
        <w:rPr>
          <w:b/>
          <w:bCs/>
        </w:rPr>
        <w:t>What we recommend.</w:t>
      </w:r>
    </w:p>
    <w:p w14:paraId="7E9B3AA3">
      <w:pPr>
        <w:pStyle w:val="22"/>
        <w:numPr>
          <w:ilvl w:val="0"/>
          <w:numId w:val="2"/>
        </w:numPr>
        <w:spacing w:after="80"/>
      </w:pPr>
      <w:r>
        <w:rPr>
          <w:b/>
          <w:bCs/>
        </w:rPr>
        <w:t>Repair the data foundation first (next 4 weeks).</w:t>
      </w:r>
      <w:r>
        <w:t xml:space="preserve"> Recover invoice numbers for April to June 2024, agree that one outdoor unit equals one unit of demand, and remove test records from planning files.</w:t>
      </w:r>
    </w:p>
    <w:p w14:paraId="7A5C3B0C">
      <w:pPr>
        <w:pStyle w:val="22"/>
        <w:numPr>
          <w:ilvl w:val="0"/>
          <w:numId w:val="2"/>
        </w:numPr>
        <w:spacing w:after="80"/>
      </w:pPr>
      <w:r>
        <w:rPr>
          <w:b/>
          <w:bCs/>
        </w:rPr>
        <w:t>Adopt the global model as the weekly baseline forecast (within one quarter).</w:t>
      </w:r>
      <w:r>
        <w:t xml:space="preserve"> Plan in four-week buckets, with a simple fallback for models that have fewer than eight weeks of sales history.</w:t>
      </w:r>
    </w:p>
    <w:p w14:paraId="5D1B4257">
      <w:pPr>
        <w:pStyle w:val="22"/>
        <w:numPr>
          <w:ilvl w:val="0"/>
          <w:numId w:val="2"/>
        </w:numPr>
        <w:spacing w:after="80"/>
      </w:pPr>
      <w:r>
        <w:rPr>
          <w:b/>
          <w:bCs/>
        </w:rPr>
        <w:t>Set safety stock from measured forecast error, recalibrated monthly.</w:t>
      </w:r>
      <w:r>
        <w:t xml:space="preserve"> This targets buffers where uncertainty is real and releases working capital elsewhere.</w:t>
      </w:r>
    </w:p>
    <w:p w14:paraId="2A284A24">
      <w:pPr>
        <w:pStyle w:val="22"/>
        <w:numPr>
          <w:ilvl w:val="0"/>
          <w:numId w:val="2"/>
        </w:numPr>
        <w:spacing w:after="80"/>
      </w:pPr>
      <w:r>
        <w:rPr>
          <w:b/>
          <w:bCs/>
        </w:rPr>
        <w:t>Pilot in shadow mode through the next peak season</w:t>
      </w:r>
      <w:r>
        <w:t xml:space="preserve"> at the largest branch (Chennai) and the fastest-growing branch (Kochi) before planners rely on the model.</w:t>
      </w:r>
    </w:p>
    <w:p w14:paraId="42DD2844">
      <w:pPr>
        <w:pStyle w:val="22"/>
        <w:numPr>
          <w:ilvl w:val="0"/>
          <w:numId w:val="2"/>
        </w:numPr>
        <w:spacing w:after="80"/>
      </w:pPr>
      <w:r>
        <w:rPr>
          <w:b/>
          <w:bCs/>
        </w:rPr>
        <w:t>Focus planner attention on the sixteen models that drive 80% of volume,</w:t>
      </w:r>
      <w:r>
        <w:t xml:space="preserve"> and manage the long tail with simple rules.</w:t>
      </w:r>
    </w:p>
    <w:p w14:paraId="12B716B5">
      <w:r>
        <w:rPr>
          <w:b/>
          <w:bCs/>
        </w:rPr>
        <w:t>Expected impact.</w:t>
      </w:r>
      <w:r>
        <w:t xml:space="preserve"> At the measured error levels, the global model would hold roughly 5,336 fewer units of excess cover across the network at any time than the moving-average rule, at the same service. Under our indicative assumptions of ₹25,000 per unit and a 15% annual holding cost, that is about ₹2.0 crore a year in carrying cost, before counting fewer emergency transfers between depots. These figures should be confirmed in the pilot with the manufacturer's actual costs.</w:t>
      </w:r>
    </w:p>
    <w:p w14:paraId="505C1107">
      <w:pPr>
        <w:sectPr>
          <w:headerReference r:id="rId7" w:type="default"/>
          <w:footerReference r:id="rId8" w:type="default"/>
          <w:pgSz w:w="12240" w:h="15840"/>
          <w:pgMar w:top="1440" w:right="1440" w:bottom="1440" w:left="1440" w:header="600" w:footer="600" w:gutter="0"/>
          <w:pgNumType w:fmt="lowerRoman" w:start="1"/>
          <w:cols w:space="720" w:num="1"/>
          <w:docGrid w:linePitch="360" w:charSpace="0"/>
        </w:sectPr>
      </w:pPr>
    </w:p>
    <w:p w14:paraId="539550F8">
      <w:pPr>
        <w:pStyle w:val="2"/>
      </w:pPr>
      <w:bookmarkStart w:id="9" w:name="_Toc32739"/>
      <w:r>
        <w:t>Chapter 1: Introduction</w:t>
      </w:r>
      <w:bookmarkEnd w:id="9"/>
    </w:p>
    <w:p w14:paraId="186C8C46">
      <w:r>
        <w:t>Every February, a branch planner at a South Indian air-conditioner depot faces the same bet. Within weeks, dealer orders will triple; the factory needs two weeks to deliver; and each unit of the wrong model left over in June is capital that earns nothing until the next summer. Our data show the size of that bet: in the year to June 2024, billings in the peak month (March) were seven times those of the quietest month (July), and the busiest week shipped 24,938 outdoor units against an average of 6,786.</w:t>
      </w:r>
    </w:p>
    <w:p w14:paraId="68A3FEF0">
      <w:pPr>
        <w:pStyle w:val="3"/>
      </w:pPr>
      <w:bookmarkStart w:id="10" w:name="_Toc22347"/>
      <w:r>
        <w:t>1.1  Background and Context</w:t>
      </w:r>
      <w:bookmarkEnd w:id="10"/>
    </w:p>
    <w:p w14:paraId="297C226A">
      <w:r>
        <w:t>India's room air-conditioner market is growing quickly as incomes rise and summers grow hotter, and cooling is expected to be one of the largest drivers of the country's future electricity demand (International Energy Agency [IEA], 2018). For manufacturers, growth comes with a planning burden. Demand is concentrated in a short pre-summer window, varies sharply across cities, and is spread across many models that differ by capacity, energy rating and inverter technology.</w:t>
      </w:r>
    </w:p>
    <w:p w14:paraId="6CE76542">
      <w:r>
        <w:t>The manufacturer in this project sells through a network of dealers served by five branches in South India. Each branch replenishes from the factory on a short lead time and must decide, week by week, how much of each model to hold. Deloitte, advising the manufacturer, asked our team to examine whether a data-driven, SKU-level demand forecast could support these decisions. The project ran from August to October 2026 and used historical billing data from July 2022 to June 2024.</w:t>
      </w:r>
    </w:p>
    <w:p w14:paraId="783187FE">
      <w:pPr>
        <w:pStyle w:val="3"/>
      </w:pPr>
      <w:bookmarkStart w:id="11" w:name="_Toc24236"/>
      <w:r>
        <w:t>1.2  Problem Statement, Objectives and Significance</w:t>
      </w:r>
      <w:bookmarkEnd w:id="11"/>
    </w:p>
    <w:p w14:paraId="3E3A04F4">
      <w:r>
        <w:rPr>
          <w:b/>
          <w:bCs/>
        </w:rPr>
        <w:t>Problem statement.</w:t>
      </w:r>
      <w:r>
        <w:t xml:space="preserve"> Branch planners currently replenish largely on recent sales and judgement, without a validated forecast at the model-and-branch level. In a market where most models sell sporadically, this leads to stock in the wrong place: shortages of fast movers at the peak and surplus of slow movers after it. The question we address is: </w:t>
      </w:r>
      <w:r>
        <w:rPr>
          <w:i/>
          <w:iCs/>
        </w:rPr>
        <w:t>can a SKU-level weekly forecast, evaluated honestly on unseen data, predict branch demand materially better than simple rules, and does that accuracy translate into leaner safety stocks at the same service level?</w:t>
      </w:r>
    </w:p>
    <w:p w14:paraId="0B24645D">
      <w:r>
        <w:t>Our objectives were to:</w:t>
      </w:r>
    </w:p>
    <w:p w14:paraId="67BA5AFB">
      <w:pPr>
        <w:pStyle w:val="22"/>
        <w:numPr>
          <w:ilvl w:val="0"/>
          <w:numId w:val="3"/>
        </w:numPr>
        <w:spacing w:after="80"/>
      </w:pPr>
      <w:r>
        <w:t>audit and clean the ERP billing extract into a reliable weekly demand history for each model at each branch;</w:t>
      </w:r>
    </w:p>
    <w:p w14:paraId="54A84971">
      <w:pPr>
        <w:pStyle w:val="22"/>
        <w:numPr>
          <w:ilvl w:val="0"/>
          <w:numId w:val="3"/>
        </w:numPr>
        <w:spacing w:after="80"/>
      </w:pPr>
      <w:r>
        <w:t>characterise the demand patterns, including seasonality, concentration and intermittency, that any method must handle;</w:t>
      </w:r>
    </w:p>
    <w:p w14:paraId="4AA66F35">
      <w:pPr>
        <w:pStyle w:val="22"/>
        <w:numPr>
          <w:ilvl w:val="0"/>
          <w:numId w:val="3"/>
        </w:numPr>
        <w:spacing w:after="80"/>
      </w:pPr>
      <w:r>
        <w:t>compare statistical, intermittent-demand and machine-learning forecasters in a leakage-free rolling-origin backtest; and</w:t>
      </w:r>
    </w:p>
    <w:p w14:paraId="28089559">
      <w:pPr>
        <w:pStyle w:val="22"/>
        <w:numPr>
          <w:ilvl w:val="0"/>
          <w:numId w:val="3"/>
        </w:numPr>
        <w:spacing w:after="80"/>
      </w:pPr>
      <w:r>
        <w:t>translate forecast error into safety-stock requirements and recommend a deployable approach.</w:t>
      </w:r>
    </w:p>
    <w:p w14:paraId="431FFD84">
      <w:r>
        <w:rPr>
          <w:b/>
          <w:bCs/>
        </w:rPr>
        <w:t>Significance.</w:t>
      </w:r>
      <w:r>
        <w:t xml:space="preserve"> For a seasonal, capital-intensive product, forecast error is paid for twice: in lost sales when stock runs short at the peak, and in carrying and transfer costs when it does not. A method that is demonstrably better than current rules, and honest about where it is not, gives the manufacturer a basis for setting buffers and for prioritising planner effort.</w:t>
      </w:r>
    </w:p>
    <w:p w14:paraId="211ED53A">
      <w:pPr>
        <w:pStyle w:val="3"/>
      </w:pPr>
      <w:bookmarkStart w:id="12" w:name="_Toc24688"/>
      <w:r>
        <w:t>1.3  Scope and Limitations</w:t>
      </w:r>
      <w:bookmarkEnd w:id="12"/>
    </w:p>
    <w:p w14:paraId="13C00035">
      <w:r>
        <w:rPr>
          <w:b/>
          <w:bCs/>
        </w:rPr>
        <w:t>In scope:</w:t>
      </w:r>
      <w:r>
        <w:t xml:space="preserve"> outdoor units (ODUs) of split room air-conditioners billed by five branches (BLR, COK, MAA, SBD and SBD1); weekly forecasts one to four weeks ahead; and safety-stock implications for a two-week lead time.</w:t>
      </w:r>
    </w:p>
    <w:p w14:paraId="07FF7158">
      <w:r>
        <w:rPr>
          <w:b/>
          <w:bCs/>
        </w:rPr>
        <w:t>Out of scope:</w:t>
      </w:r>
      <w:r>
        <w:t xml:space="preserve"> factory production planning, pricing and promotion decisions, indoor units as a separate demand stream (they are paired one-to-one with outdoor units), and products outside the room air-conditioner range.</w:t>
      </w:r>
    </w:p>
    <w:p w14:paraId="74D6D060">
      <w:r>
        <w:rPr>
          <w:b/>
          <w:bCs/>
        </w:rPr>
        <w:t>Limitations.</w:t>
      </w:r>
      <w:r>
        <w:t xml:space="preserve"> Billings record what was shipped to dealers, not what consumers wanted, so stock-outs and dealer stocking decisions are embedded in the history. Only 103 weeks of data were available, barely two seasonal cycles, and the last quarter was recorded in a different structure. Costs used to value inventory are indicative assumptions, not the manufacturer's figures. Chapter 10 discusses each limitation in detail.</w:t>
      </w:r>
    </w:p>
    <w:p w14:paraId="4907E883">
      <w:pPr>
        <w:pStyle w:val="3"/>
      </w:pPr>
      <w:bookmarkStart w:id="13" w:name="_Toc4448"/>
      <w:r>
        <w:t>1.4  Key Terminology</w:t>
      </w:r>
      <w:bookmarkEnd w:id="13"/>
    </w:p>
    <w:p w14:paraId="27E998CE">
      <w:pPr>
        <w:pStyle w:val="4"/>
      </w:pPr>
      <w:bookmarkStart w:id="14" w:name="_Toc8716"/>
      <w:r>
        <w:t>1.4.1  Intermittent and lumpy demand</w:t>
      </w:r>
      <w:bookmarkEnd w:id="14"/>
    </w:p>
    <w:p w14:paraId="0547F013">
      <w:r>
        <w:t xml:space="preserve">Demand is </w:t>
      </w:r>
      <w:r>
        <w:rPr>
          <w:i/>
          <w:iCs/>
        </w:rPr>
        <w:t>intermittent</w:t>
      </w:r>
      <w:r>
        <w:t xml:space="preserve"> when many periods record no sales, and </w:t>
      </w:r>
      <w:r>
        <w:rPr>
          <w:i/>
          <w:iCs/>
        </w:rPr>
        <w:t>lumpy</w:t>
      </w:r>
      <w:r>
        <w:t xml:space="preserve"> when, in addition, the quantities that do occur vary widely. Syntetos et al. (2005) classify series using the average interval between non-zero demands (ADI) and the squared coefficient of variation of their sizes (CV²), with cut-offs of 1.32 and 0.49.</w:t>
      </w:r>
    </w:p>
    <w:p w14:paraId="766B9C81">
      <w:pPr>
        <w:pStyle w:val="4"/>
      </w:pPr>
      <w:bookmarkStart w:id="15" w:name="_Toc29441"/>
      <w:r>
        <w:t>1.4.2  Weighted absolute percentage error (WAPE)</w:t>
      </w:r>
      <w:bookmarkEnd w:id="15"/>
    </w:p>
    <w:p w14:paraId="784A4E6E">
      <w:r>
        <w:t>WAPE is the sum of absolute forecast errors divided by the sum of actual demand. Unlike the mean absolute percentage error, it remains defined when actual demand is zero, which matters for sparse series (Hyndman &amp; Koehler, 2006).</w:t>
      </w:r>
    </w:p>
    <w:p w14:paraId="4807B269">
      <w:pPr>
        <w:pStyle w:val="4"/>
      </w:pPr>
      <w:bookmarkStart w:id="16" w:name="_Toc28387"/>
      <w:r>
        <w:t>1.4.3  Rolling-origin evaluation</w:t>
      </w:r>
      <w:bookmarkEnd w:id="16"/>
    </w:p>
    <w:p w14:paraId="204C6BC5">
      <w:r>
        <w:t>A rolling-origin evaluation repeatedly fits a method on data up to a cut-off date and scores it on the weeks that follow, then moves the cut-off forward. It mimics how a forecast is used in practice and prevents future information from leaking into training (Tashman, 2000).</w:t>
      </w:r>
    </w:p>
    <w:p w14:paraId="0D8F681D">
      <w:pPr>
        <w:pStyle w:val="4"/>
      </w:pPr>
      <w:bookmarkStart w:id="17" w:name="_Toc2026"/>
      <w:r>
        <w:t>1.4.4  Safety stock and service level</w:t>
      </w:r>
      <w:bookmarkEnd w:id="17"/>
    </w:p>
    <w:p w14:paraId="283717DF">
      <w:r>
        <w:t>Safety stock is inventory held above expected lead-time demand to absorb forecast error. The cycle service level is the probability of not running out during a replenishment cycle; the fill rate is the share of demanded units served from stock (Silver et al., 2017).</w:t>
      </w:r>
    </w:p>
    <w:p w14:paraId="7878E519">
      <w:pPr>
        <w:spacing w:after="60"/>
      </w:pPr>
    </w:p>
    <w:tbl>
      <w:tblPr>
        <w:tblStyle w:val="9"/>
        <w:tblW w:w="9360" w:type="dxa"/>
        <w:tblInd w:w="0" w:type="dxa"/>
        <w:tblBorders>
          <w:top w:val="none" w:color="auto" w:sz="0" w:space="0"/>
          <w:left w:val="single" w:color="0F6B72" w:sz="24"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360"/>
      </w:tblGrid>
      <w:tr w14:paraId="3BE4F343">
        <w:tblPrEx>
          <w:tblBorders>
            <w:top w:val="none" w:color="auto" w:sz="0" w:space="0"/>
            <w:left w:val="single" w:color="0F6B72" w:sz="24"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9360" w:type="dxa"/>
            <w:shd w:val="clear" w:color="auto" w:fill="EAF1F1"/>
            <w:tcMar>
              <w:top w:w="120" w:type="dxa"/>
              <w:left w:w="200" w:type="dxa"/>
              <w:bottom w:w="120" w:type="dxa"/>
              <w:right w:w="200" w:type="dxa"/>
            </w:tcMar>
          </w:tcPr>
          <w:p w14:paraId="1FDA7889">
            <w:pPr>
              <w:pStyle w:val="28"/>
            </w:pPr>
            <w:r>
              <w:t>Key Takeaways</w:t>
            </w:r>
          </w:p>
          <w:p w14:paraId="6B9AE3DD">
            <w:pPr>
              <w:pStyle w:val="29"/>
              <w:numPr>
                <w:ilvl w:val="0"/>
                <w:numId w:val="4"/>
              </w:numPr>
            </w:pPr>
            <w:r>
              <w:t>Peak-season concentration and a two-week lead time make weekly branch replenishment a high-stakes bet on model-level demand.</w:t>
            </w:r>
          </w:p>
          <w:p w14:paraId="5CE05459">
            <w:pPr>
              <w:pStyle w:val="29"/>
              <w:numPr>
                <w:ilvl w:val="0"/>
                <w:numId w:val="4"/>
              </w:numPr>
            </w:pPr>
            <w:r>
              <w:t>Success means a forecast that is measurably better than simple rules on unseen weeks, and safety stocks that protect service with less capital.</w:t>
            </w:r>
          </w:p>
        </w:tc>
      </w:tr>
    </w:tbl>
    <w:p w14:paraId="07AAA561">
      <w:pPr>
        <w:pStyle w:val="2"/>
      </w:pPr>
      <w:bookmarkStart w:id="18" w:name="_Toc19456"/>
      <w:r>
        <w:t>Chapter 2: Review of Related Literature</w:t>
      </w:r>
      <w:bookmarkEnd w:id="18"/>
    </w:p>
    <w:p w14:paraId="5A0C6971">
      <w:r>
        <w:t>The question of how to forecast sparse, seasonal product demand has a long history in operations research, and recent forecasting competitions have reshaped it. We organise the literature into five streams: how demand patterns are classified, which estimators suit intermittent demand, what machine learning adds, how accuracy should be measured, and how forecasts connect to inventory decisions. For each, we state what it implies for this project.</w:t>
      </w:r>
    </w:p>
    <w:p w14:paraId="10E9ADC1">
      <w:pPr>
        <w:pStyle w:val="3"/>
      </w:pPr>
      <w:bookmarkStart w:id="19" w:name="_Toc29351"/>
      <w:r>
        <w:t>2.1  Classifying Demand Patterns</w:t>
      </w:r>
      <w:bookmarkEnd w:id="19"/>
    </w:p>
    <w:p w14:paraId="380E8E9E">
      <w:r>
        <w:t>Early inventory systems treated all items alike, smoothing past demand with exponential smoothing. Croston (1972) showed that this approach is biased for items that sell infrequently, because the forecast is updated only in a way that over-reacts to the occasional sale. The practical response was to classify items first and then choose a method. Syntetos et al. (2005) proposed a two-dimensional scheme based on the average inter-demand interval (ADI) and the squared coefficient of variation of non-zero demand sizes (CV²), deriving cut-offs of 1.32 and 0.49 from the conditions under which competing estimators perform best. The resulting four classes, smooth, erratic, intermittent and lumpy, have become a standard diagnostic. Kostenko and Hyndman (2006) later argued that the boundaries can be simplified into a single rule for choosing between Croston's method and its corrected variant, reminding practitioners that the cut-offs are heuristics rather than natural laws.</w:t>
      </w:r>
    </w:p>
    <w:p w14:paraId="2599624E">
      <w:r>
        <w:t>For this project, the classification serves two purposes. It tells us how much of the portfolio violates the assumptions of conventional smoothing, and it gives a lens for checking whether a method's accuracy holds across very different series. We do not, however, use the class to hard-wire the choice of model, a choice we test empirically in Chapter 7.</w:t>
      </w:r>
    </w:p>
    <w:p w14:paraId="0B45C7ED">
      <w:pPr>
        <w:pStyle w:val="3"/>
      </w:pPr>
      <w:bookmarkStart w:id="20" w:name="_Toc1196"/>
      <w:r>
        <w:t>2.2  Estimators for Intermittent Demand</w:t>
      </w:r>
      <w:bookmarkEnd w:id="20"/>
    </w:p>
    <w:p w14:paraId="3ADAA877">
      <w:r>
        <w:t>Croston (1972) proposed smoothing two quantities separately: the size of non-zero demands and the interval between them, and forecasting their ratio. Syntetos and Boylan (2005) showed that Croston's estimator is itself positively biased and proposed multiplying it by (1 − α/2), where α is the smoothing constant; this Syntetos-Boylan Approximation (SBA) was more accurate on a large sample of automotive spare-parts series. Teunter et al. (2011) noted that both methods update only when a sale occurs, so a product that stops selling keeps its old forecast indefinitely. Their TSB method updates the probability of demand in every period, allowing the forecast to decay when sales dry up, which is useful for products near the end of their life. Comparing these methods on industrial data, Babai et al. (2014) found that the best choice depended on whether obsolescence was present.</w:t>
      </w:r>
    </w:p>
    <w:p w14:paraId="59B002CB">
      <w:r>
        <w:t>These estimators share a structural weakness for our setting: they produce a flat forecast with no seasonal shape. Room air-conditioners are both intermittent and intensely seasonal, so we test the classical estimators and also a seasonally adjusted SBA that rescales the flat level with a calendar-month index. Exponential smoothing and ARIMA models, the workhorses of statistical forecasting (Box et al., 2015; Gardner, 2006), remain natural benchmarks for the smoother, higher-volume series.</w:t>
      </w:r>
    </w:p>
    <w:p w14:paraId="0F31A6F2">
      <w:pPr>
        <w:pStyle w:val="3"/>
      </w:pPr>
      <w:bookmarkStart w:id="21" w:name="_Toc24739"/>
      <w:r>
        <w:t>2.3  Machine Learning and Global Models</w:t>
      </w:r>
      <w:bookmarkEnd w:id="21"/>
    </w:p>
    <w:p w14:paraId="09081767">
      <w:r>
        <w:t>Tree-based ensembles such as random forests (Breiman, 2001) and gradient-boosted trees model non-linear interactions among many predictors without assuming a distribution for demand. LightGBM (Ke et al., 2017) made gradient boosting fast enough to train on hundreds of thousands of rows by binning features into histograms. Its practical significance for retail forecasting was demonstrated in the M5 competition, in which the task was to forecast daily unit sales for 42,840 hierarchical Walmart series, many of them intermittent; most of the top-performing entries relied on LightGBM models trained across many series at once (Makridakis et al., 2022).</w:t>
      </w:r>
    </w:p>
    <w:p w14:paraId="0AE21FA6">
      <w:r>
        <w:t xml:space="preserve">A key idea behind these results is the </w:t>
      </w:r>
      <w:r>
        <w:rPr>
          <w:i/>
          <w:iCs/>
        </w:rPr>
        <w:t>global</w:t>
      </w:r>
      <w:r>
        <w:t xml:space="preserve"> model: one model fitted to all series, rather than one model per series. Montero-Manso and Hyndman (2021) showed formally and empirically that global models can match or beat local models even when the series are heterogeneous, because they learn shared patterns, such as seasonality and the response to recent momentum, from far more data than any single series provides. Neural networks have also been applied to intermittent demand, with Kourentzes (2013) finding that they can improve inventory outcomes even when conventional accuracy measures do not favour them.</w:t>
      </w:r>
    </w:p>
    <w:p w14:paraId="13F6AE81">
      <w:r>
        <w:t>For our sponsor, with only 103 weeks of history per series, the global argument is decisive: a model that sees all 273 model-branch series together has thousands of examples of what happens in March, while a per-series model has at most two.</w:t>
      </w:r>
    </w:p>
    <w:p w14:paraId="1D91CD2D">
      <w:pPr>
        <w:pStyle w:val="3"/>
      </w:pPr>
      <w:bookmarkStart w:id="22" w:name="_Toc27352"/>
      <w:r>
        <w:t>2.4  Measuring Forecast Accuracy</w:t>
      </w:r>
      <w:bookmarkEnd w:id="22"/>
    </w:p>
    <w:p w14:paraId="4FA626B2">
      <w:r>
        <w:t>Choosing an error measure is not a technicality when a series contains many zeros. Hyndman and Koehler (2006) showed that percentage errors such as MAPE become infinite or undefined when actual demand is zero, and proposed the mean absolute scaled error (MASE), which divides a method's error by that of a naive forecast. Volume-weighted measures such as WAPE are also widely used in supply chains because they weight errors by commercial importance. Kolassa (2016) cautioned that for count data, point-forecast measures can reward biased forecasts; for example, the mean absolute error favours a forecast of zero for any item that sells in fewer than half of the periods, so bias should always be reported alongside accuracy.</w:t>
      </w:r>
    </w:p>
    <w:p w14:paraId="02184B89">
      <w:r>
        <w:t>How a measure is computed matters as much as which measure is used. Tashman (2000) recommended rolling-origin, out-of-sample evaluation over a single hold-out period, because results from one origin can be dominated by whatever happened in that window. Bergmeir and Benítez (2012) compared evaluation designs for time-series predictors and recommended schemes that respect the temporal ordering of the data. We follow both: WAPE as the primary measure, MASE and bias as secondary measures, and eight rolling origins rather than one.</w:t>
      </w:r>
    </w:p>
    <w:p w14:paraId="2D1F3576">
      <w:pPr>
        <w:pStyle w:val="3"/>
      </w:pPr>
      <w:bookmarkStart w:id="23" w:name="_Toc13660"/>
      <w:r>
        <w:t>2.5  From Forecasts to Inventory Decisions</w:t>
      </w:r>
      <w:bookmarkEnd w:id="23"/>
    </w:p>
    <w:p w14:paraId="34FCD93E">
      <w:r>
        <w:t>A forecast creates value only through the decisions it changes. Classical inventory theory sets safety stock in proportion to the standard deviation of forecast error over the replenishment lead time, scaled by a factor that reflects the target service level (Silver et al., 2017). Syntetos et al. (2016) argued that the forecasting and inventory literatures have drifted apart, and that methods should be judged on the stock and service they deliver, not on accuracy alone. Two further results shape how billing data should be read. Lee et al. (1997) showed that order streams are more variable than end-consumer demand because of batching, promotions and rationing, the "bullwhip effect"; dealer billings are therefore an amplified signal of retail demand. Fildes et al. (2009) found that planners frequently adjust statistical forecasts, and that large adjustments tend to help while small, optimistic ones tend to harm, which argues for a forecast that planners can review rather than one that replaces them.</w:t>
      </w:r>
    </w:p>
    <w:p w14:paraId="1D3C0D2C">
      <w:r>
        <w:t>Finally, when forecasts are produced at several levels of a hierarchy (SKU, branch, region), they should add up. Wickramasuriya et al. (2019) proposed the minimum-trace (MinT) method for reconciling forecasts optimally across levels; we note it as an extension rather than a core part of our evaluation.</w:t>
      </w:r>
    </w:p>
    <w:p w14:paraId="3AF34160">
      <w:pPr>
        <w:pStyle w:val="10"/>
        <w:keepNext/>
      </w:pPr>
      <w:r>
        <w:t>Table 2.</w:t>
      </w:r>
      <w:r>
        <w:fldChar w:fldCharType="begin"/>
      </w:r>
      <w:r>
        <w:instrText xml:space="preserve">SEQ Table \* ARABIC \s 1</w:instrText>
      </w:r>
      <w:r>
        <w:fldChar w:fldCharType="separate"/>
      </w:r>
      <w:r>
        <w:t>1</w:t>
      </w:r>
      <w:r>
        <w:fldChar w:fldCharType="end"/>
      </w:r>
      <w:bookmarkStart w:id="24" w:name="_Toc22383"/>
      <w:r>
        <w:t>: Synthesis of the literature and implications for this project</w:t>
      </w:r>
      <w:bookmarkEnd w:id="24"/>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1500"/>
        <w:gridCol w:w="2300"/>
        <w:gridCol w:w="2700"/>
        <w:gridCol w:w="2860"/>
      </w:tblGrid>
      <w:tr w14:paraId="09895286">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1500" w:type="dxa"/>
            <w:shd w:val="clear" w:color="auto" w:fill="1F3864"/>
            <w:tcMar>
              <w:top w:w="80" w:type="dxa"/>
              <w:left w:w="120" w:type="dxa"/>
              <w:bottom w:w="80" w:type="dxa"/>
              <w:right w:w="120" w:type="dxa"/>
            </w:tcMar>
            <w:vAlign w:val="center"/>
          </w:tcPr>
          <w:p w14:paraId="08123721">
            <w:pPr>
              <w:pStyle w:val="27"/>
            </w:pPr>
            <w:r>
              <w:t>Stream</w:t>
            </w:r>
          </w:p>
        </w:tc>
        <w:tc>
          <w:tcPr>
            <w:tcW w:w="2300" w:type="dxa"/>
            <w:shd w:val="clear" w:color="auto" w:fill="1F3864"/>
            <w:tcMar>
              <w:top w:w="80" w:type="dxa"/>
              <w:left w:w="120" w:type="dxa"/>
              <w:bottom w:w="80" w:type="dxa"/>
              <w:right w:w="120" w:type="dxa"/>
            </w:tcMar>
            <w:vAlign w:val="center"/>
          </w:tcPr>
          <w:p w14:paraId="4A59891C">
            <w:pPr>
              <w:pStyle w:val="27"/>
            </w:pPr>
            <w:r>
              <w:t>Key works</w:t>
            </w:r>
          </w:p>
        </w:tc>
        <w:tc>
          <w:tcPr>
            <w:tcW w:w="2700" w:type="dxa"/>
            <w:shd w:val="clear" w:color="auto" w:fill="1F3864"/>
            <w:tcMar>
              <w:top w:w="80" w:type="dxa"/>
              <w:left w:w="120" w:type="dxa"/>
              <w:bottom w:w="80" w:type="dxa"/>
              <w:right w:w="120" w:type="dxa"/>
            </w:tcMar>
            <w:vAlign w:val="center"/>
          </w:tcPr>
          <w:p w14:paraId="5F2DD56D">
            <w:pPr>
              <w:pStyle w:val="27"/>
            </w:pPr>
            <w:r>
              <w:t>What the evidence says</w:t>
            </w:r>
          </w:p>
        </w:tc>
        <w:tc>
          <w:tcPr>
            <w:tcW w:w="2860" w:type="dxa"/>
            <w:shd w:val="clear" w:color="auto" w:fill="1F3864"/>
            <w:tcMar>
              <w:top w:w="80" w:type="dxa"/>
              <w:left w:w="120" w:type="dxa"/>
              <w:bottom w:w="80" w:type="dxa"/>
              <w:right w:w="120" w:type="dxa"/>
            </w:tcMar>
            <w:vAlign w:val="center"/>
          </w:tcPr>
          <w:p w14:paraId="28969357">
            <w:pPr>
              <w:pStyle w:val="27"/>
            </w:pPr>
            <w:r>
              <w:t>Implication for this project</w:t>
            </w:r>
          </w:p>
        </w:tc>
      </w:tr>
      <w:tr w14:paraId="56641D29">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500" w:type="dxa"/>
            <w:tcMar>
              <w:top w:w="80" w:type="dxa"/>
              <w:left w:w="120" w:type="dxa"/>
              <w:bottom w:w="80" w:type="dxa"/>
              <w:right w:w="120" w:type="dxa"/>
            </w:tcMar>
          </w:tcPr>
          <w:p w14:paraId="6E4A15D7">
            <w:pPr>
              <w:pStyle w:val="26"/>
            </w:pPr>
            <w:r>
              <w:t>Demand classification</w:t>
            </w:r>
          </w:p>
        </w:tc>
        <w:tc>
          <w:tcPr>
            <w:tcW w:w="2300" w:type="dxa"/>
            <w:tcMar>
              <w:top w:w="80" w:type="dxa"/>
              <w:left w:w="120" w:type="dxa"/>
              <w:bottom w:w="80" w:type="dxa"/>
              <w:right w:w="120" w:type="dxa"/>
            </w:tcMar>
          </w:tcPr>
          <w:p w14:paraId="712807E4">
            <w:pPr>
              <w:pStyle w:val="26"/>
            </w:pPr>
            <w:r>
              <w:t>Syntetos et al. (2005); Kostenko &amp; Hyndman (2006)</w:t>
            </w:r>
          </w:p>
        </w:tc>
        <w:tc>
          <w:tcPr>
            <w:tcW w:w="2700" w:type="dxa"/>
            <w:tcMar>
              <w:top w:w="80" w:type="dxa"/>
              <w:left w:w="120" w:type="dxa"/>
              <w:bottom w:w="80" w:type="dxa"/>
              <w:right w:w="120" w:type="dxa"/>
            </w:tcMar>
          </w:tcPr>
          <w:p w14:paraId="624F6EAE">
            <w:pPr>
              <w:pStyle w:val="26"/>
            </w:pPr>
            <w:r>
              <w:t>ADI and CV² separate smooth, erratic, intermittent and lumpy demand; cut-offs are heuristics.</w:t>
            </w:r>
          </w:p>
        </w:tc>
        <w:tc>
          <w:tcPr>
            <w:tcW w:w="2860" w:type="dxa"/>
            <w:tcMar>
              <w:top w:w="80" w:type="dxa"/>
              <w:left w:w="120" w:type="dxa"/>
              <w:bottom w:w="80" w:type="dxa"/>
              <w:right w:w="120" w:type="dxa"/>
            </w:tcMar>
          </w:tcPr>
          <w:p w14:paraId="7A58F819">
            <w:pPr>
              <w:pStyle w:val="26"/>
            </w:pPr>
            <w:r>
              <w:t>Use classes to diagnose the portfolio and to report accuracy by class, not to hard-wire model choice.</w:t>
            </w:r>
          </w:p>
        </w:tc>
      </w:tr>
      <w:tr w14:paraId="4879700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500" w:type="dxa"/>
            <w:shd w:val="clear" w:color="auto" w:fill="F5F7F7"/>
            <w:tcMar>
              <w:top w:w="80" w:type="dxa"/>
              <w:left w:w="120" w:type="dxa"/>
              <w:bottom w:w="80" w:type="dxa"/>
              <w:right w:w="120" w:type="dxa"/>
            </w:tcMar>
          </w:tcPr>
          <w:p w14:paraId="2512B5C8">
            <w:pPr>
              <w:pStyle w:val="26"/>
            </w:pPr>
            <w:r>
              <w:t>Intermittent estimators</w:t>
            </w:r>
          </w:p>
        </w:tc>
        <w:tc>
          <w:tcPr>
            <w:tcW w:w="2300" w:type="dxa"/>
            <w:shd w:val="clear" w:color="auto" w:fill="F5F7F7"/>
            <w:tcMar>
              <w:top w:w="80" w:type="dxa"/>
              <w:left w:w="120" w:type="dxa"/>
              <w:bottom w:w="80" w:type="dxa"/>
              <w:right w:w="120" w:type="dxa"/>
            </w:tcMar>
          </w:tcPr>
          <w:p w14:paraId="74B5694B">
            <w:pPr>
              <w:pStyle w:val="26"/>
            </w:pPr>
            <w:r>
              <w:t>Croston (1972); Syntetos &amp; Boylan (2005); Teunter et al. (2011); Babai et al. (2014)</w:t>
            </w:r>
          </w:p>
        </w:tc>
        <w:tc>
          <w:tcPr>
            <w:tcW w:w="2700" w:type="dxa"/>
            <w:shd w:val="clear" w:color="auto" w:fill="F5F7F7"/>
            <w:tcMar>
              <w:top w:w="80" w:type="dxa"/>
              <w:left w:w="120" w:type="dxa"/>
              <w:bottom w:w="80" w:type="dxa"/>
              <w:right w:w="120" w:type="dxa"/>
            </w:tcMar>
          </w:tcPr>
          <w:p w14:paraId="7EFB8027">
            <w:pPr>
              <w:pStyle w:val="26"/>
            </w:pPr>
            <w:r>
              <w:t>SBA corrects Croston's bias; TSB handles obsolescence; none model seasonality.</w:t>
            </w:r>
          </w:p>
        </w:tc>
        <w:tc>
          <w:tcPr>
            <w:tcW w:w="2860" w:type="dxa"/>
            <w:shd w:val="clear" w:color="auto" w:fill="F5F7F7"/>
            <w:tcMar>
              <w:top w:w="80" w:type="dxa"/>
              <w:left w:w="120" w:type="dxa"/>
              <w:bottom w:w="80" w:type="dxa"/>
              <w:right w:w="120" w:type="dxa"/>
            </w:tcMar>
          </w:tcPr>
          <w:p w14:paraId="168EED71">
            <w:pPr>
              <w:pStyle w:val="26"/>
            </w:pPr>
            <w:r>
              <w:t>Benchmark Croston, SBA and TSB, plus a seasonally adjusted SBA.</w:t>
            </w:r>
          </w:p>
        </w:tc>
      </w:tr>
      <w:tr w14:paraId="2D85EE8D">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500" w:type="dxa"/>
            <w:tcMar>
              <w:top w:w="80" w:type="dxa"/>
              <w:left w:w="120" w:type="dxa"/>
              <w:bottom w:w="80" w:type="dxa"/>
              <w:right w:w="120" w:type="dxa"/>
            </w:tcMar>
          </w:tcPr>
          <w:p w14:paraId="1B926512">
            <w:pPr>
              <w:pStyle w:val="26"/>
            </w:pPr>
            <w:r>
              <w:t>Machine learning</w:t>
            </w:r>
          </w:p>
        </w:tc>
        <w:tc>
          <w:tcPr>
            <w:tcW w:w="2300" w:type="dxa"/>
            <w:tcMar>
              <w:top w:w="80" w:type="dxa"/>
              <w:left w:w="120" w:type="dxa"/>
              <w:bottom w:w="80" w:type="dxa"/>
              <w:right w:w="120" w:type="dxa"/>
            </w:tcMar>
          </w:tcPr>
          <w:p w14:paraId="49915026">
            <w:pPr>
              <w:pStyle w:val="26"/>
            </w:pPr>
            <w:r>
              <w:t>Breiman (2001); Ke et al. (2017); Makridakis et al. (2022); Montero-Manso &amp; Hyndman (2021)</w:t>
            </w:r>
          </w:p>
        </w:tc>
        <w:tc>
          <w:tcPr>
            <w:tcW w:w="2700" w:type="dxa"/>
            <w:tcMar>
              <w:top w:w="80" w:type="dxa"/>
              <w:left w:w="120" w:type="dxa"/>
              <w:bottom w:w="80" w:type="dxa"/>
              <w:right w:w="120" w:type="dxa"/>
            </w:tcMar>
          </w:tcPr>
          <w:p w14:paraId="6D77ACDE">
            <w:pPr>
              <w:pStyle w:val="26"/>
            </w:pPr>
            <w:r>
              <w:t>Global gradient-boosted models led the M5 competition on intermittent retail data.</w:t>
            </w:r>
          </w:p>
        </w:tc>
        <w:tc>
          <w:tcPr>
            <w:tcW w:w="2860" w:type="dxa"/>
            <w:tcMar>
              <w:top w:w="80" w:type="dxa"/>
              <w:left w:w="120" w:type="dxa"/>
              <w:bottom w:w="80" w:type="dxa"/>
              <w:right w:w="120" w:type="dxa"/>
            </w:tcMar>
          </w:tcPr>
          <w:p w14:paraId="629A2C9D">
            <w:pPr>
              <w:pStyle w:val="26"/>
            </w:pPr>
            <w:r>
              <w:t>Train one global model across all series to share seasonal patterns.</w:t>
            </w:r>
          </w:p>
        </w:tc>
      </w:tr>
      <w:tr w14:paraId="138A1DA7">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500" w:type="dxa"/>
            <w:shd w:val="clear" w:color="auto" w:fill="F5F7F7"/>
            <w:tcMar>
              <w:top w:w="80" w:type="dxa"/>
              <w:left w:w="120" w:type="dxa"/>
              <w:bottom w:w="80" w:type="dxa"/>
              <w:right w:w="120" w:type="dxa"/>
            </w:tcMar>
          </w:tcPr>
          <w:p w14:paraId="09C06E91">
            <w:pPr>
              <w:pStyle w:val="26"/>
            </w:pPr>
            <w:r>
              <w:t>Accuracy measurement</w:t>
            </w:r>
          </w:p>
        </w:tc>
        <w:tc>
          <w:tcPr>
            <w:tcW w:w="2300" w:type="dxa"/>
            <w:shd w:val="clear" w:color="auto" w:fill="F5F7F7"/>
            <w:tcMar>
              <w:top w:w="80" w:type="dxa"/>
              <w:left w:w="120" w:type="dxa"/>
              <w:bottom w:w="80" w:type="dxa"/>
              <w:right w:w="120" w:type="dxa"/>
            </w:tcMar>
          </w:tcPr>
          <w:p w14:paraId="147339E0">
            <w:pPr>
              <w:pStyle w:val="26"/>
            </w:pPr>
            <w:r>
              <w:t>Hyndman &amp; Koehler (2006); Kolassa (2016); Tashman (2000); Bergmeir &amp; Benítez (2012)</w:t>
            </w:r>
          </w:p>
        </w:tc>
        <w:tc>
          <w:tcPr>
            <w:tcW w:w="2700" w:type="dxa"/>
            <w:shd w:val="clear" w:color="auto" w:fill="F5F7F7"/>
            <w:tcMar>
              <w:top w:w="80" w:type="dxa"/>
              <w:left w:w="120" w:type="dxa"/>
              <w:bottom w:w="80" w:type="dxa"/>
              <w:right w:w="120" w:type="dxa"/>
            </w:tcMar>
          </w:tcPr>
          <w:p w14:paraId="4DAE9A42">
            <w:pPr>
              <w:pStyle w:val="26"/>
            </w:pPr>
            <w:r>
              <w:t>Avoid MAPE with zeros; report bias; evaluate over rolling origins.</w:t>
            </w:r>
          </w:p>
        </w:tc>
        <w:tc>
          <w:tcPr>
            <w:tcW w:w="2860" w:type="dxa"/>
            <w:shd w:val="clear" w:color="auto" w:fill="F5F7F7"/>
            <w:tcMar>
              <w:top w:w="80" w:type="dxa"/>
              <w:left w:w="120" w:type="dxa"/>
              <w:bottom w:w="80" w:type="dxa"/>
              <w:right w:w="120" w:type="dxa"/>
            </w:tcMar>
          </w:tcPr>
          <w:p w14:paraId="37C7CA03">
            <w:pPr>
              <w:pStyle w:val="26"/>
            </w:pPr>
            <w:r>
              <w:t>WAPE primary, MASE and bias secondary; eight rolling origins.</w:t>
            </w:r>
          </w:p>
        </w:tc>
      </w:tr>
      <w:tr w14:paraId="4C5E1229">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500" w:type="dxa"/>
            <w:tcMar>
              <w:top w:w="80" w:type="dxa"/>
              <w:left w:w="120" w:type="dxa"/>
              <w:bottom w:w="80" w:type="dxa"/>
              <w:right w:w="120" w:type="dxa"/>
            </w:tcMar>
          </w:tcPr>
          <w:p w14:paraId="23DCD107">
            <w:pPr>
              <w:pStyle w:val="26"/>
            </w:pPr>
            <w:r>
              <w:t>Forecast to inventory</w:t>
            </w:r>
          </w:p>
        </w:tc>
        <w:tc>
          <w:tcPr>
            <w:tcW w:w="2300" w:type="dxa"/>
            <w:tcMar>
              <w:top w:w="80" w:type="dxa"/>
              <w:left w:w="120" w:type="dxa"/>
              <w:bottom w:w="80" w:type="dxa"/>
              <w:right w:w="120" w:type="dxa"/>
            </w:tcMar>
          </w:tcPr>
          <w:p w14:paraId="7FCEFF9F">
            <w:pPr>
              <w:pStyle w:val="26"/>
            </w:pPr>
            <w:r>
              <w:t>Silver et al. (2017); Syntetos et al. (2016); Lee et al. (1997); Fildes et al. (2009)</w:t>
            </w:r>
          </w:p>
        </w:tc>
        <w:tc>
          <w:tcPr>
            <w:tcW w:w="2700" w:type="dxa"/>
            <w:tcMar>
              <w:top w:w="80" w:type="dxa"/>
              <w:left w:w="120" w:type="dxa"/>
              <w:bottom w:w="80" w:type="dxa"/>
              <w:right w:w="120" w:type="dxa"/>
            </w:tcMar>
          </w:tcPr>
          <w:p w14:paraId="6F98462E">
            <w:pPr>
              <w:pStyle w:val="26"/>
            </w:pPr>
            <w:r>
              <w:t>Judge forecasts by stock and service; order data amplify demand; planners adjust forecasts.</w:t>
            </w:r>
          </w:p>
        </w:tc>
        <w:tc>
          <w:tcPr>
            <w:tcW w:w="2860" w:type="dxa"/>
            <w:tcMar>
              <w:top w:w="80" w:type="dxa"/>
              <w:left w:w="120" w:type="dxa"/>
              <w:bottom w:w="80" w:type="dxa"/>
              <w:right w:w="120" w:type="dxa"/>
            </w:tcMar>
          </w:tcPr>
          <w:p w14:paraId="3CEE7729">
            <w:pPr>
              <w:pStyle w:val="26"/>
            </w:pPr>
            <w:r>
              <w:t>Convert errors into safety stock; treat billings as a noisy proxy; design for planner review.</w:t>
            </w:r>
          </w:p>
        </w:tc>
      </w:tr>
    </w:tbl>
    <w:p w14:paraId="5D3FDFB0">
      <w:pPr>
        <w:pStyle w:val="25"/>
      </w:pPr>
      <w:r>
        <w:t>Source: Team synthesis of the cited literature.</w:t>
      </w:r>
    </w:p>
    <w:p w14:paraId="76BBA492">
      <w:r>
        <w:rPr>
          <w:b/>
          <w:bCs/>
        </w:rPr>
        <w:t>The gap this project addresses.</w:t>
      </w:r>
      <w:r>
        <w:t xml:space="preserve"> The literature establishes how to classify intermittent demand, which estimators suit it, and that global machine-learning models can excel on large retail datasets. Far less evidence exists for durable goods that are simultaneously intermittent, intensely seasonal and short in history, and billed through dealers rather than sold at a till. Our contribution is an honest, decision-oriented comparison in exactly that setting, tied through to the safety stock a planner would hold.</w:t>
      </w:r>
    </w:p>
    <w:p w14:paraId="337B81C2">
      <w:pPr>
        <w:spacing w:after="60"/>
      </w:pPr>
    </w:p>
    <w:tbl>
      <w:tblPr>
        <w:tblStyle w:val="9"/>
        <w:tblW w:w="9360" w:type="dxa"/>
        <w:tblInd w:w="0" w:type="dxa"/>
        <w:tblBorders>
          <w:top w:val="none" w:color="auto" w:sz="0" w:space="0"/>
          <w:left w:val="single" w:color="0F6B72" w:sz="24"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360"/>
      </w:tblGrid>
      <w:tr w14:paraId="610324EE">
        <w:tblPrEx>
          <w:tblBorders>
            <w:top w:val="none" w:color="auto" w:sz="0" w:space="0"/>
            <w:left w:val="single" w:color="0F6B72" w:sz="24"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9360" w:type="dxa"/>
            <w:shd w:val="clear" w:color="auto" w:fill="EAF1F1"/>
            <w:tcMar>
              <w:top w:w="120" w:type="dxa"/>
              <w:left w:w="200" w:type="dxa"/>
              <w:bottom w:w="120" w:type="dxa"/>
              <w:right w:w="200" w:type="dxa"/>
            </w:tcMar>
          </w:tcPr>
          <w:p w14:paraId="5B724C78">
            <w:pPr>
              <w:pStyle w:val="28"/>
            </w:pPr>
            <w:r>
              <w:t>Key Takeaways</w:t>
            </w:r>
          </w:p>
          <w:p w14:paraId="3EB1695F">
            <w:pPr>
              <w:pStyle w:val="29"/>
              <w:numPr>
                <w:ilvl w:val="0"/>
                <w:numId w:val="4"/>
              </w:numPr>
            </w:pPr>
            <w:r>
              <w:t>Intermittent-demand estimators fix the bias of naive smoothing but ignore seasonality; global gradient-boosted models learn shared seasonal patterns across many short series.</w:t>
            </w:r>
          </w:p>
          <w:p w14:paraId="5B5A2B61">
            <w:pPr>
              <w:pStyle w:val="29"/>
              <w:numPr>
                <w:ilvl w:val="0"/>
                <w:numId w:val="4"/>
              </w:numPr>
            </w:pPr>
            <w:r>
              <w:t>Accuracy must be measured with zero-safe, volume-weighted metrics over rolling origins, and judged ultimately by its effect on stock and service.</w:t>
            </w:r>
          </w:p>
          <w:p w14:paraId="7EE16C0E">
            <w:pPr>
              <w:pStyle w:val="29"/>
              <w:numPr>
                <w:ilvl w:val="0"/>
                <w:numId w:val="4"/>
              </w:numPr>
            </w:pPr>
            <w:r>
              <w:t>Evidence for seasonal, intermittent durable goods with short histories is thin; this project fills that gap for one manufacturer's network.</w:t>
            </w:r>
          </w:p>
        </w:tc>
      </w:tr>
    </w:tbl>
    <w:p w14:paraId="6296A960">
      <w:pPr>
        <w:pStyle w:val="2"/>
      </w:pPr>
      <w:bookmarkStart w:id="25" w:name="_Toc4123"/>
      <w:r>
        <w:t>Chapter 3: Business Context and Data</w:t>
      </w:r>
      <w:bookmarkEnd w:id="25"/>
    </w:p>
    <w:p w14:paraId="356DA547">
      <w:r>
        <w:t>Before choosing a method, we needed to understand the decision the forecast must support and the data it must be built from. In short, the decision is weekly, local and capital-intensive, and the data are richer than they first appear but less consistent.</w:t>
      </w:r>
    </w:p>
    <w:p w14:paraId="406BA223">
      <w:pPr>
        <w:pStyle w:val="3"/>
      </w:pPr>
      <w:bookmarkStart w:id="26" w:name="_Toc12267"/>
      <w:r>
        <w:t>3.1  Business / Research Problem</w:t>
      </w:r>
      <w:bookmarkEnd w:id="26"/>
    </w:p>
    <w:p w14:paraId="608D89B6">
      <w:r>
        <w:rPr>
          <w:b/>
          <w:bCs/>
        </w:rPr>
        <w:t>Who is affected.</w:t>
      </w:r>
      <w:r>
        <w:t xml:space="preserve"> Five branch offices, identified in the data as MAA (Chennai), SBD, SBD1, COK (Kochi) and BLR (Bengaluru), sell to 510 registered dealers and around 2,352 billed customers. Branch planners place replenishment requests on the factory, central supply planners allocate scarce peak-season output across branches, and finance carries the cost of stock that does not sell. The project configuration maps SBD and SBD1 to the Secunderabad and Vijayawada sales offices; we refer to all branches by code.</w:t>
      </w:r>
    </w:p>
    <w:p w14:paraId="080BA655">
      <w:r>
        <w:rPr>
          <w:b/>
          <w:bCs/>
        </w:rPr>
        <w:t>The decision the forecast informs.</w:t>
      </w:r>
      <w:r>
        <w:t xml:space="preserve"> Every week, for each model at each branch, a planner decides how many units to request so that stock on hand plus stock in transit covers demand until the next delivery. With a lead time of about two weeks, the forecast that matters most is demand over the next two to four weeks, and the quantity that matters most is the buffer held against error in that forecast.</w:t>
      </w:r>
    </w:p>
    <w:p w14:paraId="04EC9458">
      <w:r>
        <w:rPr>
          <w:b/>
          <w:bCs/>
        </w:rPr>
        <w:t>What success looks like.</w:t>
      </w:r>
      <w:r>
        <w:t xml:space="preserve"> In discussions with the sponsor, success was framed in three ways: a forecast that is demonstrably more accurate than the simple rules planners use today, evaluated on weeks the model has not seen; a buffer policy that protects service during the peak without inflating stock afterwards; and a tool planners can use and question. Because the extract does not contain planners' own historical forecasts, we use simple rules (last week's sales, and moving and smoothed averages of recent weeks) as transparent proxies for current practice.</w:t>
      </w:r>
    </w:p>
    <w:p w14:paraId="382E04AA">
      <w:pPr>
        <w:pStyle w:val="3"/>
      </w:pPr>
      <w:bookmarkStart w:id="27" w:name="_Toc25471"/>
      <w:r>
        <w:t>3.2  Data Available</w:t>
      </w:r>
      <w:bookmarkEnd w:id="27"/>
    </w:p>
    <w:p w14:paraId="0D552B47">
      <w:r>
        <w:t>The sponsor provided a single extract from the manufacturer's ERP billing system: 82,034 invoice lines and 24 fields, covering billing dates from 16 July 2022 to 30 June 2024. Each line records one material billed to one customer on one date by one branch, with its quantity, capacity (tonnage), energy rating and segment. The extract spans 103 complete weeks, just over two summer peaks. Access was granted for the capstone only, under the sponsor's confidentiality terms. Table 3.1 profiles the extract by fiscal-year block, and it reveals the single most important fact about the data.</w:t>
      </w:r>
    </w:p>
    <w:p w14:paraId="29D72F8D">
      <w:pPr>
        <w:pStyle w:val="10"/>
        <w:keepNext/>
      </w:pPr>
      <w:r>
        <w:t>Table 3.</w:t>
      </w:r>
      <w:r>
        <w:fldChar w:fldCharType="begin"/>
      </w:r>
      <w:r>
        <w:instrText xml:space="preserve">SEQ Table \* ARABIC \s 1</w:instrText>
      </w:r>
      <w:r>
        <w:fldChar w:fldCharType="separate"/>
      </w:r>
      <w:r>
        <w:t>1</w:t>
      </w:r>
      <w:r>
        <w:fldChar w:fldCharType="end"/>
      </w:r>
      <w:bookmarkStart w:id="28" w:name="_Toc6470"/>
      <w:r>
        <w:t>: Profile of the raw billing extract by fiscal-year block</w:t>
      </w:r>
      <w:bookmarkEnd w:id="28"/>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1600"/>
        <w:gridCol w:w="2150"/>
        <w:gridCol w:w="1000"/>
        <w:gridCol w:w="1050"/>
        <w:gridCol w:w="1000"/>
        <w:gridCol w:w="1360"/>
        <w:gridCol w:w="1200"/>
      </w:tblGrid>
      <w:tr w14:paraId="444097BB">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1600" w:type="dxa"/>
            <w:shd w:val="clear" w:color="auto" w:fill="1F3864"/>
            <w:tcMar>
              <w:top w:w="80" w:type="dxa"/>
              <w:left w:w="120" w:type="dxa"/>
              <w:bottom w:w="80" w:type="dxa"/>
              <w:right w:w="120" w:type="dxa"/>
            </w:tcMar>
            <w:vAlign w:val="center"/>
          </w:tcPr>
          <w:p w14:paraId="3456C452">
            <w:pPr>
              <w:pStyle w:val="27"/>
            </w:pPr>
            <w:r>
              <w:t>Fiscal block</w:t>
            </w:r>
          </w:p>
        </w:tc>
        <w:tc>
          <w:tcPr>
            <w:tcW w:w="2150" w:type="dxa"/>
            <w:shd w:val="clear" w:color="auto" w:fill="1F3864"/>
            <w:tcMar>
              <w:top w:w="80" w:type="dxa"/>
              <w:left w:w="120" w:type="dxa"/>
              <w:bottom w:w="80" w:type="dxa"/>
              <w:right w:w="120" w:type="dxa"/>
            </w:tcMar>
            <w:vAlign w:val="center"/>
          </w:tcPr>
          <w:p w14:paraId="78150221">
            <w:pPr>
              <w:pStyle w:val="27"/>
            </w:pPr>
            <w:r>
              <w:t>Billing dates</w:t>
            </w:r>
          </w:p>
        </w:tc>
        <w:tc>
          <w:tcPr>
            <w:tcW w:w="1000" w:type="dxa"/>
            <w:shd w:val="clear" w:color="auto" w:fill="1F3864"/>
            <w:tcMar>
              <w:top w:w="80" w:type="dxa"/>
              <w:left w:w="120" w:type="dxa"/>
              <w:bottom w:w="80" w:type="dxa"/>
              <w:right w:w="120" w:type="dxa"/>
            </w:tcMar>
            <w:vAlign w:val="center"/>
          </w:tcPr>
          <w:p w14:paraId="22FCCB0D">
            <w:pPr>
              <w:pStyle w:val="27"/>
            </w:pPr>
            <w:r>
              <w:t>Rows</w:t>
            </w:r>
          </w:p>
        </w:tc>
        <w:tc>
          <w:tcPr>
            <w:tcW w:w="1050" w:type="dxa"/>
            <w:shd w:val="clear" w:color="auto" w:fill="1F3864"/>
            <w:tcMar>
              <w:top w:w="80" w:type="dxa"/>
              <w:left w:w="120" w:type="dxa"/>
              <w:bottom w:w="80" w:type="dxa"/>
              <w:right w:w="120" w:type="dxa"/>
            </w:tcMar>
            <w:vAlign w:val="center"/>
          </w:tcPr>
          <w:p w14:paraId="30832FAF">
            <w:pPr>
              <w:pStyle w:val="27"/>
            </w:pPr>
            <w:r>
              <w:t>ODU lines</w:t>
            </w:r>
          </w:p>
        </w:tc>
        <w:tc>
          <w:tcPr>
            <w:tcW w:w="1000" w:type="dxa"/>
            <w:shd w:val="clear" w:color="auto" w:fill="1F3864"/>
            <w:tcMar>
              <w:top w:w="80" w:type="dxa"/>
              <w:left w:w="120" w:type="dxa"/>
              <w:bottom w:w="80" w:type="dxa"/>
              <w:right w:w="120" w:type="dxa"/>
            </w:tcMar>
            <w:vAlign w:val="center"/>
          </w:tcPr>
          <w:p w14:paraId="1B494432">
            <w:pPr>
              <w:pStyle w:val="27"/>
            </w:pPr>
            <w:r>
              <w:t>IDU lines</w:t>
            </w:r>
          </w:p>
        </w:tc>
        <w:tc>
          <w:tcPr>
            <w:tcW w:w="1360" w:type="dxa"/>
            <w:shd w:val="clear" w:color="auto" w:fill="1F3864"/>
            <w:tcMar>
              <w:top w:w="80" w:type="dxa"/>
              <w:left w:w="120" w:type="dxa"/>
              <w:bottom w:w="80" w:type="dxa"/>
              <w:right w:w="120" w:type="dxa"/>
            </w:tcMar>
            <w:vAlign w:val="center"/>
          </w:tcPr>
          <w:p w14:paraId="16790D70">
            <w:pPr>
              <w:pStyle w:val="27"/>
            </w:pPr>
            <w:r>
              <w:t>Rows without invoice no.</w:t>
            </w:r>
          </w:p>
        </w:tc>
        <w:tc>
          <w:tcPr>
            <w:tcW w:w="1200" w:type="dxa"/>
            <w:shd w:val="clear" w:color="auto" w:fill="1F3864"/>
            <w:tcMar>
              <w:top w:w="80" w:type="dxa"/>
              <w:left w:w="120" w:type="dxa"/>
              <w:bottom w:w="80" w:type="dxa"/>
              <w:right w:w="120" w:type="dxa"/>
            </w:tcMar>
            <w:vAlign w:val="center"/>
          </w:tcPr>
          <w:p w14:paraId="74C3123B">
            <w:pPr>
              <w:pStyle w:val="27"/>
            </w:pPr>
            <w:r>
              <w:t>Exact duplicates</w:t>
            </w:r>
          </w:p>
        </w:tc>
      </w:tr>
      <w:tr w14:paraId="133E97AC">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600" w:type="dxa"/>
            <w:tcMar>
              <w:top w:w="80" w:type="dxa"/>
              <w:left w:w="120" w:type="dxa"/>
              <w:bottom w:w="80" w:type="dxa"/>
              <w:right w:w="120" w:type="dxa"/>
            </w:tcMar>
          </w:tcPr>
          <w:p w14:paraId="646E554D">
            <w:pPr>
              <w:pStyle w:val="26"/>
            </w:pPr>
            <w:r>
              <w:rPr>
                <w:b/>
                <w:bCs/>
                <w:color w:val="1F3864"/>
              </w:rPr>
              <w:t>FY 2022-23 (part)</w:t>
            </w:r>
          </w:p>
        </w:tc>
        <w:tc>
          <w:tcPr>
            <w:tcW w:w="2150" w:type="dxa"/>
            <w:tcMar>
              <w:top w:w="80" w:type="dxa"/>
              <w:left w:w="120" w:type="dxa"/>
              <w:bottom w:w="80" w:type="dxa"/>
              <w:right w:w="120" w:type="dxa"/>
            </w:tcMar>
          </w:tcPr>
          <w:p w14:paraId="59D9BDAE">
            <w:pPr>
              <w:pStyle w:val="26"/>
            </w:pPr>
            <w:r>
              <w:t>16 Jul 2022 - 31 Mar 2023</w:t>
            </w:r>
          </w:p>
        </w:tc>
        <w:tc>
          <w:tcPr>
            <w:tcW w:w="1000" w:type="dxa"/>
            <w:tcMar>
              <w:top w:w="80" w:type="dxa"/>
              <w:left w:w="120" w:type="dxa"/>
              <w:bottom w:w="80" w:type="dxa"/>
              <w:right w:w="120" w:type="dxa"/>
            </w:tcMar>
          </w:tcPr>
          <w:p w14:paraId="7C26AFBF">
            <w:pPr>
              <w:pStyle w:val="26"/>
            </w:pPr>
            <w:r>
              <w:t>17,879</w:t>
            </w:r>
          </w:p>
        </w:tc>
        <w:tc>
          <w:tcPr>
            <w:tcW w:w="1050" w:type="dxa"/>
            <w:tcMar>
              <w:top w:w="80" w:type="dxa"/>
              <w:left w:w="120" w:type="dxa"/>
              <w:bottom w:w="80" w:type="dxa"/>
              <w:right w:w="120" w:type="dxa"/>
            </w:tcMar>
          </w:tcPr>
          <w:p w14:paraId="4F98F8BD">
            <w:pPr>
              <w:pStyle w:val="26"/>
            </w:pPr>
            <w:r>
              <w:t>17,879</w:t>
            </w:r>
          </w:p>
        </w:tc>
        <w:tc>
          <w:tcPr>
            <w:tcW w:w="1000" w:type="dxa"/>
            <w:tcMar>
              <w:top w:w="80" w:type="dxa"/>
              <w:left w:w="120" w:type="dxa"/>
              <w:bottom w:w="80" w:type="dxa"/>
              <w:right w:w="120" w:type="dxa"/>
            </w:tcMar>
          </w:tcPr>
          <w:p w14:paraId="14892ABB">
            <w:pPr>
              <w:pStyle w:val="26"/>
            </w:pPr>
            <w:r>
              <w:t>0</w:t>
            </w:r>
          </w:p>
        </w:tc>
        <w:tc>
          <w:tcPr>
            <w:tcW w:w="1360" w:type="dxa"/>
            <w:tcMar>
              <w:top w:w="80" w:type="dxa"/>
              <w:left w:w="120" w:type="dxa"/>
              <w:bottom w:w="80" w:type="dxa"/>
              <w:right w:w="120" w:type="dxa"/>
            </w:tcMar>
          </w:tcPr>
          <w:p w14:paraId="6B0E103E">
            <w:pPr>
              <w:pStyle w:val="26"/>
            </w:pPr>
            <w:r>
              <w:t>0</w:t>
            </w:r>
          </w:p>
        </w:tc>
        <w:tc>
          <w:tcPr>
            <w:tcW w:w="1200" w:type="dxa"/>
            <w:tcMar>
              <w:top w:w="80" w:type="dxa"/>
              <w:left w:w="120" w:type="dxa"/>
              <w:bottom w:w="80" w:type="dxa"/>
              <w:right w:w="120" w:type="dxa"/>
            </w:tcMar>
          </w:tcPr>
          <w:p w14:paraId="6BF55ADC">
            <w:pPr>
              <w:pStyle w:val="26"/>
            </w:pPr>
            <w:r>
              <w:t>0</w:t>
            </w:r>
          </w:p>
        </w:tc>
      </w:tr>
      <w:tr w14:paraId="7F11403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600" w:type="dxa"/>
            <w:shd w:val="clear" w:color="auto" w:fill="F5F7F7"/>
            <w:tcMar>
              <w:top w:w="80" w:type="dxa"/>
              <w:left w:w="120" w:type="dxa"/>
              <w:bottom w:w="80" w:type="dxa"/>
              <w:right w:w="120" w:type="dxa"/>
            </w:tcMar>
          </w:tcPr>
          <w:p w14:paraId="68374E90">
            <w:pPr>
              <w:pStyle w:val="26"/>
            </w:pPr>
            <w:r>
              <w:rPr>
                <w:b/>
                <w:bCs/>
                <w:color w:val="1F3864"/>
              </w:rPr>
              <w:t>FY 2023-24</w:t>
            </w:r>
          </w:p>
        </w:tc>
        <w:tc>
          <w:tcPr>
            <w:tcW w:w="2150" w:type="dxa"/>
            <w:shd w:val="clear" w:color="auto" w:fill="F5F7F7"/>
            <w:tcMar>
              <w:top w:w="80" w:type="dxa"/>
              <w:left w:w="120" w:type="dxa"/>
              <w:bottom w:w="80" w:type="dxa"/>
              <w:right w:w="120" w:type="dxa"/>
            </w:tcMar>
          </w:tcPr>
          <w:p w14:paraId="435B37C8">
            <w:pPr>
              <w:pStyle w:val="26"/>
            </w:pPr>
            <w:r>
              <w:t>1 Apr 2023 - 31 Mar 2024</w:t>
            </w:r>
          </w:p>
        </w:tc>
        <w:tc>
          <w:tcPr>
            <w:tcW w:w="1000" w:type="dxa"/>
            <w:shd w:val="clear" w:color="auto" w:fill="F5F7F7"/>
            <w:tcMar>
              <w:top w:w="80" w:type="dxa"/>
              <w:left w:w="120" w:type="dxa"/>
              <w:bottom w:w="80" w:type="dxa"/>
              <w:right w:w="120" w:type="dxa"/>
            </w:tcMar>
          </w:tcPr>
          <w:p w14:paraId="0BF3B95D">
            <w:pPr>
              <w:pStyle w:val="26"/>
            </w:pPr>
            <w:r>
              <w:t>40,551</w:t>
            </w:r>
          </w:p>
        </w:tc>
        <w:tc>
          <w:tcPr>
            <w:tcW w:w="1050" w:type="dxa"/>
            <w:shd w:val="clear" w:color="auto" w:fill="F5F7F7"/>
            <w:tcMar>
              <w:top w:w="80" w:type="dxa"/>
              <w:left w:w="120" w:type="dxa"/>
              <w:bottom w:w="80" w:type="dxa"/>
              <w:right w:w="120" w:type="dxa"/>
            </w:tcMar>
          </w:tcPr>
          <w:p w14:paraId="13F0050B">
            <w:pPr>
              <w:pStyle w:val="26"/>
            </w:pPr>
            <w:r>
              <w:t>40,551</w:t>
            </w:r>
          </w:p>
        </w:tc>
        <w:tc>
          <w:tcPr>
            <w:tcW w:w="1000" w:type="dxa"/>
            <w:shd w:val="clear" w:color="auto" w:fill="F5F7F7"/>
            <w:tcMar>
              <w:top w:w="80" w:type="dxa"/>
              <w:left w:w="120" w:type="dxa"/>
              <w:bottom w:w="80" w:type="dxa"/>
              <w:right w:w="120" w:type="dxa"/>
            </w:tcMar>
          </w:tcPr>
          <w:p w14:paraId="6D8491CC">
            <w:pPr>
              <w:pStyle w:val="26"/>
            </w:pPr>
            <w:r>
              <w:t>0</w:t>
            </w:r>
          </w:p>
        </w:tc>
        <w:tc>
          <w:tcPr>
            <w:tcW w:w="1360" w:type="dxa"/>
            <w:shd w:val="clear" w:color="auto" w:fill="F5F7F7"/>
            <w:tcMar>
              <w:top w:w="80" w:type="dxa"/>
              <w:left w:w="120" w:type="dxa"/>
              <w:bottom w:w="80" w:type="dxa"/>
              <w:right w:w="120" w:type="dxa"/>
            </w:tcMar>
          </w:tcPr>
          <w:p w14:paraId="53FDD19A">
            <w:pPr>
              <w:pStyle w:val="26"/>
            </w:pPr>
            <w:r>
              <w:t>0</w:t>
            </w:r>
          </w:p>
        </w:tc>
        <w:tc>
          <w:tcPr>
            <w:tcW w:w="1200" w:type="dxa"/>
            <w:shd w:val="clear" w:color="auto" w:fill="F5F7F7"/>
            <w:tcMar>
              <w:top w:w="80" w:type="dxa"/>
              <w:left w:w="120" w:type="dxa"/>
              <w:bottom w:w="80" w:type="dxa"/>
              <w:right w:w="120" w:type="dxa"/>
            </w:tcMar>
          </w:tcPr>
          <w:p w14:paraId="76BE08F6">
            <w:pPr>
              <w:pStyle w:val="26"/>
            </w:pPr>
            <w:r>
              <w:t>0</w:t>
            </w:r>
          </w:p>
        </w:tc>
      </w:tr>
      <w:tr w14:paraId="48897A16">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600" w:type="dxa"/>
            <w:tcMar>
              <w:top w:w="80" w:type="dxa"/>
              <w:left w:w="120" w:type="dxa"/>
              <w:bottom w:w="80" w:type="dxa"/>
              <w:right w:w="120" w:type="dxa"/>
            </w:tcMar>
          </w:tcPr>
          <w:p w14:paraId="1AD94539">
            <w:pPr>
              <w:pStyle w:val="26"/>
            </w:pPr>
            <w:r>
              <w:rPr>
                <w:b/>
                <w:bCs/>
                <w:color w:val="1F3864"/>
              </w:rPr>
              <w:t>FY 2024-25 Q1</w:t>
            </w:r>
          </w:p>
        </w:tc>
        <w:tc>
          <w:tcPr>
            <w:tcW w:w="2150" w:type="dxa"/>
            <w:tcMar>
              <w:top w:w="80" w:type="dxa"/>
              <w:left w:w="120" w:type="dxa"/>
              <w:bottom w:w="80" w:type="dxa"/>
              <w:right w:w="120" w:type="dxa"/>
            </w:tcMar>
          </w:tcPr>
          <w:p w14:paraId="27F7E277">
            <w:pPr>
              <w:pStyle w:val="26"/>
            </w:pPr>
            <w:r>
              <w:t>3 Apr 2024 - 30 Jun 2024</w:t>
            </w:r>
          </w:p>
        </w:tc>
        <w:tc>
          <w:tcPr>
            <w:tcW w:w="1000" w:type="dxa"/>
            <w:tcMar>
              <w:top w:w="80" w:type="dxa"/>
              <w:left w:w="120" w:type="dxa"/>
              <w:bottom w:w="80" w:type="dxa"/>
              <w:right w:w="120" w:type="dxa"/>
            </w:tcMar>
          </w:tcPr>
          <w:p w14:paraId="4C544A00">
            <w:pPr>
              <w:pStyle w:val="26"/>
            </w:pPr>
            <w:r>
              <w:t>23,603</w:t>
            </w:r>
          </w:p>
        </w:tc>
        <w:tc>
          <w:tcPr>
            <w:tcW w:w="1050" w:type="dxa"/>
            <w:tcMar>
              <w:top w:w="80" w:type="dxa"/>
              <w:left w:w="120" w:type="dxa"/>
              <w:bottom w:w="80" w:type="dxa"/>
              <w:right w:w="120" w:type="dxa"/>
            </w:tcMar>
          </w:tcPr>
          <w:p w14:paraId="4CDE194D">
            <w:pPr>
              <w:pStyle w:val="26"/>
            </w:pPr>
            <w:r>
              <w:t>11,799</w:t>
            </w:r>
          </w:p>
        </w:tc>
        <w:tc>
          <w:tcPr>
            <w:tcW w:w="1000" w:type="dxa"/>
            <w:tcMar>
              <w:top w:w="80" w:type="dxa"/>
              <w:left w:w="120" w:type="dxa"/>
              <w:bottom w:w="80" w:type="dxa"/>
              <w:right w:w="120" w:type="dxa"/>
            </w:tcMar>
          </w:tcPr>
          <w:p w14:paraId="105EF6C9">
            <w:pPr>
              <w:pStyle w:val="26"/>
            </w:pPr>
            <w:r>
              <w:t>11,804</w:t>
            </w:r>
          </w:p>
        </w:tc>
        <w:tc>
          <w:tcPr>
            <w:tcW w:w="1360" w:type="dxa"/>
            <w:tcMar>
              <w:top w:w="80" w:type="dxa"/>
              <w:left w:w="120" w:type="dxa"/>
              <w:bottom w:w="80" w:type="dxa"/>
              <w:right w:w="120" w:type="dxa"/>
            </w:tcMar>
          </w:tcPr>
          <w:p w14:paraId="212B5578">
            <w:pPr>
              <w:pStyle w:val="26"/>
            </w:pPr>
            <w:r>
              <w:t>23,603</w:t>
            </w:r>
          </w:p>
        </w:tc>
        <w:tc>
          <w:tcPr>
            <w:tcW w:w="1200" w:type="dxa"/>
            <w:tcMar>
              <w:top w:w="80" w:type="dxa"/>
              <w:left w:w="120" w:type="dxa"/>
              <w:bottom w:w="80" w:type="dxa"/>
              <w:right w:w="120" w:type="dxa"/>
            </w:tcMar>
          </w:tcPr>
          <w:p w14:paraId="6EEEDF84">
            <w:pPr>
              <w:pStyle w:val="26"/>
            </w:pPr>
            <w:r>
              <w:t>4,463</w:t>
            </w:r>
          </w:p>
        </w:tc>
      </w:tr>
      <w:tr w14:paraId="5D887A2F">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600" w:type="dxa"/>
            <w:shd w:val="clear" w:color="auto" w:fill="F5F7F7"/>
            <w:tcMar>
              <w:top w:w="80" w:type="dxa"/>
              <w:left w:w="120" w:type="dxa"/>
              <w:bottom w:w="80" w:type="dxa"/>
              <w:right w:w="120" w:type="dxa"/>
            </w:tcMar>
          </w:tcPr>
          <w:p w14:paraId="46CA5A64">
            <w:pPr>
              <w:pStyle w:val="26"/>
            </w:pPr>
            <w:r>
              <w:rPr>
                <w:b/>
                <w:bCs/>
                <w:color w:val="1F3864"/>
              </w:rPr>
              <w:t>Total</w:t>
            </w:r>
          </w:p>
        </w:tc>
        <w:tc>
          <w:tcPr>
            <w:tcW w:w="2150" w:type="dxa"/>
            <w:shd w:val="clear" w:color="auto" w:fill="F5F7F7"/>
            <w:tcMar>
              <w:top w:w="80" w:type="dxa"/>
              <w:left w:w="120" w:type="dxa"/>
              <w:bottom w:w="80" w:type="dxa"/>
              <w:right w:w="120" w:type="dxa"/>
            </w:tcMar>
          </w:tcPr>
          <w:p w14:paraId="10AE8040">
            <w:pPr>
              <w:pStyle w:val="26"/>
            </w:pPr>
            <w:r>
              <w:t>16 Jul 2022 - 30 Jun 2024</w:t>
            </w:r>
          </w:p>
        </w:tc>
        <w:tc>
          <w:tcPr>
            <w:tcW w:w="1000" w:type="dxa"/>
            <w:shd w:val="clear" w:color="auto" w:fill="F5F7F7"/>
            <w:tcMar>
              <w:top w:w="80" w:type="dxa"/>
              <w:left w:w="120" w:type="dxa"/>
              <w:bottom w:w="80" w:type="dxa"/>
              <w:right w:w="120" w:type="dxa"/>
            </w:tcMar>
          </w:tcPr>
          <w:p w14:paraId="0FE61458">
            <w:pPr>
              <w:pStyle w:val="26"/>
            </w:pPr>
            <w:r>
              <w:t>82,033</w:t>
            </w:r>
          </w:p>
        </w:tc>
        <w:tc>
          <w:tcPr>
            <w:tcW w:w="1050" w:type="dxa"/>
            <w:shd w:val="clear" w:color="auto" w:fill="F5F7F7"/>
            <w:tcMar>
              <w:top w:w="80" w:type="dxa"/>
              <w:left w:w="120" w:type="dxa"/>
              <w:bottom w:w="80" w:type="dxa"/>
              <w:right w:w="120" w:type="dxa"/>
            </w:tcMar>
          </w:tcPr>
          <w:p w14:paraId="2B345DEE">
            <w:pPr>
              <w:pStyle w:val="26"/>
            </w:pPr>
            <w:r>
              <w:t>70,229</w:t>
            </w:r>
          </w:p>
        </w:tc>
        <w:tc>
          <w:tcPr>
            <w:tcW w:w="1000" w:type="dxa"/>
            <w:shd w:val="clear" w:color="auto" w:fill="F5F7F7"/>
            <w:tcMar>
              <w:top w:w="80" w:type="dxa"/>
              <w:left w:w="120" w:type="dxa"/>
              <w:bottom w:w="80" w:type="dxa"/>
              <w:right w:w="120" w:type="dxa"/>
            </w:tcMar>
          </w:tcPr>
          <w:p w14:paraId="179C76A1">
            <w:pPr>
              <w:pStyle w:val="26"/>
            </w:pPr>
            <w:r>
              <w:t>11,804</w:t>
            </w:r>
          </w:p>
        </w:tc>
        <w:tc>
          <w:tcPr>
            <w:tcW w:w="1360" w:type="dxa"/>
            <w:shd w:val="clear" w:color="auto" w:fill="F5F7F7"/>
            <w:tcMar>
              <w:top w:w="80" w:type="dxa"/>
              <w:left w:w="120" w:type="dxa"/>
              <w:bottom w:w="80" w:type="dxa"/>
              <w:right w:w="120" w:type="dxa"/>
            </w:tcMar>
          </w:tcPr>
          <w:p w14:paraId="73CD9104">
            <w:pPr>
              <w:pStyle w:val="26"/>
            </w:pPr>
            <w:r>
              <w:t>23,603</w:t>
            </w:r>
          </w:p>
        </w:tc>
        <w:tc>
          <w:tcPr>
            <w:tcW w:w="1200" w:type="dxa"/>
            <w:shd w:val="clear" w:color="auto" w:fill="F5F7F7"/>
            <w:tcMar>
              <w:top w:w="80" w:type="dxa"/>
              <w:left w:w="120" w:type="dxa"/>
              <w:bottom w:w="80" w:type="dxa"/>
              <w:right w:w="120" w:type="dxa"/>
            </w:tcMar>
          </w:tcPr>
          <w:p w14:paraId="69D272CB">
            <w:pPr>
              <w:pStyle w:val="26"/>
            </w:pPr>
            <w:r>
              <w:t>4,463</w:t>
            </w:r>
          </w:p>
        </w:tc>
      </w:tr>
    </w:tbl>
    <w:p w14:paraId="4593CA52">
      <w:pPr>
        <w:pStyle w:val="25"/>
      </w:pPr>
      <w:r>
        <w:t>Source: Sponsor ERP billing extract, July 2022 - June 2024; team analysis. One fully blank row is excluded from the counts.</w:t>
      </w:r>
    </w:p>
    <w:p w14:paraId="2B4D1043">
      <w:r>
        <w:t>Until March 2024, the extract contains only outdoor-unit (ODU) lines; the indoor-unit quantity field is zero on every row. From April 2024, every outdoor unit is accompanied by a separate indoor-unit (IDU) line for the matching indoor model; the invoice number, line item, storage location and dealer fields are blank; and 4,463 rows (5.44% of the extract, all in this quarter) are exact copies of another row. The final quarter, 28.77% of all rows, is therefore a structurally different extract appended to the first two years. Figure 3.1 shows that the volume pattern is nonetheless continuous once the indoor lines are set aside and the duplicates removed.</w:t>
      </w:r>
    </w:p>
    <w:p w14:paraId="1C69B139">
      <w:pPr>
        <w:keepNext/>
        <w:spacing w:before="120" w:after="40" w:line="240" w:lineRule="auto"/>
        <w:jc w:val="center"/>
      </w:pPr>
      <w:r>
        <w:drawing>
          <wp:inline distT="0" distB="0" distL="114300" distR="114300">
            <wp:extent cx="5760720" cy="2661285"/>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760720" cy="2661361"/>
                    </a:xfrm>
                    <a:prstGeom prst="rect">
                      <a:avLst/>
                    </a:prstGeom>
                  </pic:spPr>
                </pic:pic>
              </a:graphicData>
            </a:graphic>
          </wp:inline>
        </w:drawing>
      </w:r>
    </w:p>
    <w:p w14:paraId="388BF2D8">
      <w:pPr>
        <w:pStyle w:val="10"/>
        <w:jc w:val="center"/>
      </w:pPr>
      <w:r>
        <w:t>Figure 3.</w:t>
      </w:r>
      <w:r>
        <w:fldChar w:fldCharType="begin"/>
      </w:r>
      <w:r>
        <w:instrText xml:space="preserve">SEQ Figure \* ARABIC \s 1</w:instrText>
      </w:r>
      <w:r>
        <w:fldChar w:fldCharType="separate"/>
      </w:r>
      <w:r>
        <w:t>1</w:t>
      </w:r>
      <w:r>
        <w:fldChar w:fldCharType="end"/>
      </w:r>
      <w:bookmarkStart w:id="29" w:name="_Toc2493"/>
      <w:r>
        <w:t>: Monthly outdoor-unit billings after cleaning</w:t>
      </w:r>
      <w:bookmarkEnd w:id="29"/>
    </w:p>
    <w:p w14:paraId="1C4DF574">
      <w:pPr>
        <w:pStyle w:val="25"/>
        <w:jc w:val="center"/>
      </w:pPr>
      <w:r>
        <w:t>Source: Sponsor ERP billing extract, July 2022 - June 2024; team analysis.</w:t>
      </w:r>
    </w:p>
    <w:p w14:paraId="1D3F7ED6">
      <w:pPr>
        <w:pStyle w:val="4"/>
      </w:pPr>
      <w:bookmarkStart w:id="30" w:name="_Toc26156"/>
      <w:r>
        <w:t>Notable features in the data</w:t>
      </w:r>
      <w:bookmarkEnd w:id="30"/>
    </w:p>
    <w:p w14:paraId="3E23DE10">
      <w:r>
        <w:t>The extract describes 154 material codes, but these are two different things: 70 outdoor-unit models and 84 indoor-unit models. A split air-conditioner is sold as one outdoor and one indoor unit, so the outdoor unit is the natural unit of demand, and we model the 70 outdoor models that recorded positive sales. Table 3.2 lists the fields we used and how; the full data dictionary appears in Appendix B (Table B.1).</w:t>
      </w:r>
    </w:p>
    <w:p w14:paraId="6B8AFB7B">
      <w:pPr>
        <w:pStyle w:val="10"/>
        <w:keepNext/>
      </w:pPr>
      <w:r>
        <w:t>Table 3.</w:t>
      </w:r>
      <w:r>
        <w:fldChar w:fldCharType="begin"/>
      </w:r>
      <w:r>
        <w:instrText xml:space="preserve">SEQ Table \* ARABIC \s 1</w:instrText>
      </w:r>
      <w:r>
        <w:fldChar w:fldCharType="separate"/>
      </w:r>
      <w:r>
        <w:t>2</w:t>
      </w:r>
      <w:r>
        <w:fldChar w:fldCharType="end"/>
      </w:r>
      <w:bookmarkStart w:id="31" w:name="_Toc7645"/>
      <w:r>
        <w:t>: Fields used in the analysis and their role</w:t>
      </w:r>
      <w:bookmarkEnd w:id="31"/>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2300"/>
        <w:gridCol w:w="3500"/>
        <w:gridCol w:w="3560"/>
      </w:tblGrid>
      <w:tr w14:paraId="4832A326">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2300" w:type="dxa"/>
            <w:shd w:val="clear" w:color="auto" w:fill="1F3864"/>
            <w:tcMar>
              <w:top w:w="80" w:type="dxa"/>
              <w:left w:w="120" w:type="dxa"/>
              <w:bottom w:w="80" w:type="dxa"/>
              <w:right w:w="120" w:type="dxa"/>
            </w:tcMar>
            <w:vAlign w:val="center"/>
          </w:tcPr>
          <w:p w14:paraId="16F9A2F4">
            <w:pPr>
              <w:pStyle w:val="27"/>
            </w:pPr>
            <w:r>
              <w:t>Field</w:t>
            </w:r>
          </w:p>
        </w:tc>
        <w:tc>
          <w:tcPr>
            <w:tcW w:w="3500" w:type="dxa"/>
            <w:shd w:val="clear" w:color="auto" w:fill="1F3864"/>
            <w:tcMar>
              <w:top w:w="80" w:type="dxa"/>
              <w:left w:w="120" w:type="dxa"/>
              <w:bottom w:w="80" w:type="dxa"/>
              <w:right w:w="120" w:type="dxa"/>
            </w:tcMar>
            <w:vAlign w:val="center"/>
          </w:tcPr>
          <w:p w14:paraId="3E6FA8A2">
            <w:pPr>
              <w:pStyle w:val="27"/>
            </w:pPr>
            <w:r>
              <w:t>Content</w:t>
            </w:r>
          </w:p>
        </w:tc>
        <w:tc>
          <w:tcPr>
            <w:tcW w:w="3560" w:type="dxa"/>
            <w:shd w:val="clear" w:color="auto" w:fill="1F3864"/>
            <w:tcMar>
              <w:top w:w="80" w:type="dxa"/>
              <w:left w:w="120" w:type="dxa"/>
              <w:bottom w:w="80" w:type="dxa"/>
              <w:right w:w="120" w:type="dxa"/>
            </w:tcMar>
            <w:vAlign w:val="center"/>
          </w:tcPr>
          <w:p w14:paraId="47F5F106">
            <w:pPr>
              <w:pStyle w:val="27"/>
            </w:pPr>
            <w:r>
              <w:t>Role in the analysis</w:t>
            </w:r>
          </w:p>
        </w:tc>
      </w:tr>
      <w:tr w14:paraId="618CE4EA">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300" w:type="dxa"/>
            <w:tcMar>
              <w:top w:w="80" w:type="dxa"/>
              <w:left w:w="120" w:type="dxa"/>
              <w:bottom w:w="80" w:type="dxa"/>
              <w:right w:w="120" w:type="dxa"/>
            </w:tcMar>
          </w:tcPr>
          <w:p w14:paraId="25A5AE54">
            <w:pPr>
              <w:pStyle w:val="26"/>
            </w:pPr>
            <w:r>
              <w:rPr>
                <w:b/>
                <w:bCs/>
                <w:color w:val="1F3864"/>
              </w:rPr>
              <w:t>Material</w:t>
            </w:r>
          </w:p>
        </w:tc>
        <w:tc>
          <w:tcPr>
            <w:tcW w:w="3500" w:type="dxa"/>
            <w:tcMar>
              <w:top w:w="80" w:type="dxa"/>
              <w:left w:w="120" w:type="dxa"/>
              <w:bottom w:w="80" w:type="dxa"/>
              <w:right w:w="120" w:type="dxa"/>
            </w:tcMar>
          </w:tcPr>
          <w:p w14:paraId="2FFF722D">
            <w:pPr>
              <w:pStyle w:val="26"/>
            </w:pPr>
            <w:r>
              <w:t>Product code; 70 ODU and 84 IDU codes</w:t>
            </w:r>
          </w:p>
        </w:tc>
        <w:tc>
          <w:tcPr>
            <w:tcW w:w="3560" w:type="dxa"/>
            <w:tcMar>
              <w:top w:w="80" w:type="dxa"/>
              <w:left w:w="120" w:type="dxa"/>
              <w:bottom w:w="80" w:type="dxa"/>
              <w:right w:w="120" w:type="dxa"/>
            </w:tcMar>
          </w:tcPr>
          <w:p w14:paraId="594BE7E4">
            <w:pPr>
              <w:pStyle w:val="26"/>
            </w:pPr>
            <w:r>
              <w:t>SKU key (ODU codes only)</w:t>
            </w:r>
          </w:p>
        </w:tc>
      </w:tr>
      <w:tr w14:paraId="2E0D5C6A">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300" w:type="dxa"/>
            <w:shd w:val="clear" w:color="auto" w:fill="F5F7F7"/>
            <w:tcMar>
              <w:top w:w="80" w:type="dxa"/>
              <w:left w:w="120" w:type="dxa"/>
              <w:bottom w:w="80" w:type="dxa"/>
              <w:right w:w="120" w:type="dxa"/>
            </w:tcMar>
          </w:tcPr>
          <w:p w14:paraId="023B690C">
            <w:pPr>
              <w:pStyle w:val="26"/>
            </w:pPr>
            <w:r>
              <w:rPr>
                <w:b/>
                <w:bCs/>
                <w:color w:val="1F3864"/>
              </w:rPr>
              <w:t>SALES OFFICE CODE</w:t>
            </w:r>
          </w:p>
        </w:tc>
        <w:tc>
          <w:tcPr>
            <w:tcW w:w="3500" w:type="dxa"/>
            <w:shd w:val="clear" w:color="auto" w:fill="F5F7F7"/>
            <w:tcMar>
              <w:top w:w="80" w:type="dxa"/>
              <w:left w:w="120" w:type="dxa"/>
              <w:bottom w:w="80" w:type="dxa"/>
              <w:right w:w="120" w:type="dxa"/>
            </w:tcMar>
          </w:tcPr>
          <w:p w14:paraId="5C7323C9">
            <w:pPr>
              <w:pStyle w:val="26"/>
            </w:pPr>
            <w:r>
              <w:t>Branch: BLR, COK, MAA, SBD, SBD1</w:t>
            </w:r>
          </w:p>
        </w:tc>
        <w:tc>
          <w:tcPr>
            <w:tcW w:w="3560" w:type="dxa"/>
            <w:shd w:val="clear" w:color="auto" w:fill="F5F7F7"/>
            <w:tcMar>
              <w:top w:w="80" w:type="dxa"/>
              <w:left w:w="120" w:type="dxa"/>
              <w:bottom w:w="80" w:type="dxa"/>
              <w:right w:w="120" w:type="dxa"/>
            </w:tcMar>
          </w:tcPr>
          <w:p w14:paraId="602DB0B7">
            <w:pPr>
              <w:pStyle w:val="26"/>
            </w:pPr>
            <w:r>
              <w:t>Branch key</w:t>
            </w:r>
          </w:p>
        </w:tc>
      </w:tr>
      <w:tr w14:paraId="0A69ACC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300" w:type="dxa"/>
            <w:tcMar>
              <w:top w:w="80" w:type="dxa"/>
              <w:left w:w="120" w:type="dxa"/>
              <w:bottom w:w="80" w:type="dxa"/>
              <w:right w:w="120" w:type="dxa"/>
            </w:tcMar>
          </w:tcPr>
          <w:p w14:paraId="11804410">
            <w:pPr>
              <w:pStyle w:val="26"/>
            </w:pPr>
            <w:r>
              <w:rPr>
                <w:b/>
                <w:bCs/>
                <w:color w:val="1F3864"/>
              </w:rPr>
              <w:t>Billing Date</w:t>
            </w:r>
          </w:p>
        </w:tc>
        <w:tc>
          <w:tcPr>
            <w:tcW w:w="3500" w:type="dxa"/>
            <w:tcMar>
              <w:top w:w="80" w:type="dxa"/>
              <w:left w:w="120" w:type="dxa"/>
              <w:bottom w:w="80" w:type="dxa"/>
              <w:right w:w="120" w:type="dxa"/>
            </w:tcMar>
          </w:tcPr>
          <w:p w14:paraId="49F350D4">
            <w:pPr>
              <w:pStyle w:val="26"/>
            </w:pPr>
            <w:r>
              <w:t>Invoice date</w:t>
            </w:r>
          </w:p>
        </w:tc>
        <w:tc>
          <w:tcPr>
            <w:tcW w:w="3560" w:type="dxa"/>
            <w:tcMar>
              <w:top w:w="80" w:type="dxa"/>
              <w:left w:w="120" w:type="dxa"/>
              <w:bottom w:w="80" w:type="dxa"/>
              <w:right w:w="120" w:type="dxa"/>
            </w:tcMar>
          </w:tcPr>
          <w:p w14:paraId="699E696B">
            <w:pPr>
              <w:pStyle w:val="26"/>
            </w:pPr>
            <w:r>
              <w:t>Aggregated to weeks ending Sunday</w:t>
            </w:r>
          </w:p>
        </w:tc>
      </w:tr>
      <w:tr w14:paraId="7F9B72D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300" w:type="dxa"/>
            <w:shd w:val="clear" w:color="auto" w:fill="F5F7F7"/>
            <w:tcMar>
              <w:top w:w="80" w:type="dxa"/>
              <w:left w:w="120" w:type="dxa"/>
              <w:bottom w:w="80" w:type="dxa"/>
              <w:right w:w="120" w:type="dxa"/>
            </w:tcMar>
          </w:tcPr>
          <w:p w14:paraId="2027F895">
            <w:pPr>
              <w:pStyle w:val="26"/>
            </w:pPr>
            <w:r>
              <w:rPr>
                <w:b/>
                <w:bCs/>
                <w:color w:val="1F3864"/>
              </w:rPr>
              <w:t>Billing Quantity ODU</w:t>
            </w:r>
          </w:p>
        </w:tc>
        <w:tc>
          <w:tcPr>
            <w:tcW w:w="3500" w:type="dxa"/>
            <w:shd w:val="clear" w:color="auto" w:fill="F5F7F7"/>
            <w:tcMar>
              <w:top w:w="80" w:type="dxa"/>
              <w:left w:w="120" w:type="dxa"/>
              <w:bottom w:w="80" w:type="dxa"/>
              <w:right w:w="120" w:type="dxa"/>
            </w:tcMar>
          </w:tcPr>
          <w:p w14:paraId="24B19698">
            <w:pPr>
              <w:pStyle w:val="26"/>
            </w:pPr>
            <w:r>
              <w:t>Units billed; negative for returns</w:t>
            </w:r>
          </w:p>
        </w:tc>
        <w:tc>
          <w:tcPr>
            <w:tcW w:w="3560" w:type="dxa"/>
            <w:shd w:val="clear" w:color="auto" w:fill="F5F7F7"/>
            <w:tcMar>
              <w:top w:w="80" w:type="dxa"/>
              <w:left w:w="120" w:type="dxa"/>
              <w:bottom w:w="80" w:type="dxa"/>
              <w:right w:w="120" w:type="dxa"/>
            </w:tcMar>
          </w:tcPr>
          <w:p w14:paraId="2BF517A4">
            <w:pPr>
              <w:pStyle w:val="26"/>
            </w:pPr>
            <w:r>
              <w:t>Demand target (positive lines)</w:t>
            </w:r>
          </w:p>
        </w:tc>
      </w:tr>
      <w:tr w14:paraId="6BEFC1EC">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300" w:type="dxa"/>
            <w:tcMar>
              <w:top w:w="80" w:type="dxa"/>
              <w:left w:w="120" w:type="dxa"/>
              <w:bottom w:w="80" w:type="dxa"/>
              <w:right w:w="120" w:type="dxa"/>
            </w:tcMar>
          </w:tcPr>
          <w:p w14:paraId="13E3078B">
            <w:pPr>
              <w:pStyle w:val="26"/>
            </w:pPr>
            <w:r>
              <w:rPr>
                <w:b/>
                <w:bCs/>
                <w:color w:val="1F3864"/>
              </w:rPr>
              <w:t>EXT MAT GROUP</w:t>
            </w:r>
          </w:p>
        </w:tc>
        <w:tc>
          <w:tcPr>
            <w:tcW w:w="3500" w:type="dxa"/>
            <w:tcMar>
              <w:top w:w="80" w:type="dxa"/>
              <w:left w:w="120" w:type="dxa"/>
              <w:bottom w:w="80" w:type="dxa"/>
              <w:right w:w="120" w:type="dxa"/>
            </w:tcMar>
          </w:tcPr>
          <w:p w14:paraId="39212D6A">
            <w:pPr>
              <w:pStyle w:val="26"/>
            </w:pPr>
            <w:r>
              <w:t>RA-ODU or RA-IDU</w:t>
            </w:r>
          </w:p>
        </w:tc>
        <w:tc>
          <w:tcPr>
            <w:tcW w:w="3560" w:type="dxa"/>
            <w:tcMar>
              <w:top w:w="80" w:type="dxa"/>
              <w:left w:w="120" w:type="dxa"/>
              <w:bottom w:w="80" w:type="dxa"/>
              <w:right w:w="120" w:type="dxa"/>
            </w:tcMar>
          </w:tcPr>
          <w:p w14:paraId="358B6BF8">
            <w:pPr>
              <w:pStyle w:val="26"/>
            </w:pPr>
            <w:r>
              <w:t>Separates outdoor and indoor lines</w:t>
            </w:r>
          </w:p>
        </w:tc>
      </w:tr>
      <w:tr w14:paraId="48274A5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300" w:type="dxa"/>
            <w:shd w:val="clear" w:color="auto" w:fill="F5F7F7"/>
            <w:tcMar>
              <w:top w:w="80" w:type="dxa"/>
              <w:left w:w="120" w:type="dxa"/>
              <w:bottom w:w="80" w:type="dxa"/>
              <w:right w:w="120" w:type="dxa"/>
            </w:tcMar>
          </w:tcPr>
          <w:p w14:paraId="33C404E9">
            <w:pPr>
              <w:pStyle w:val="26"/>
            </w:pPr>
            <w:r>
              <w:rPr>
                <w:b/>
                <w:bCs/>
                <w:color w:val="1F3864"/>
              </w:rPr>
              <w:t>Segment, Star Rating, Tonnage</w:t>
            </w:r>
          </w:p>
        </w:tc>
        <w:tc>
          <w:tcPr>
            <w:tcW w:w="3500" w:type="dxa"/>
            <w:shd w:val="clear" w:color="auto" w:fill="F5F7F7"/>
            <w:tcMar>
              <w:top w:w="80" w:type="dxa"/>
              <w:left w:w="120" w:type="dxa"/>
              <w:bottom w:w="80" w:type="dxa"/>
              <w:right w:w="120" w:type="dxa"/>
            </w:tcMar>
          </w:tcPr>
          <w:p w14:paraId="607D7FB8">
            <w:pPr>
              <w:pStyle w:val="26"/>
            </w:pPr>
            <w:r>
              <w:t>Inverter / non-inverter; energy rating; capacity</w:t>
            </w:r>
          </w:p>
        </w:tc>
        <w:tc>
          <w:tcPr>
            <w:tcW w:w="3560" w:type="dxa"/>
            <w:shd w:val="clear" w:color="auto" w:fill="F5F7F7"/>
            <w:tcMar>
              <w:top w:w="80" w:type="dxa"/>
              <w:left w:w="120" w:type="dxa"/>
              <w:bottom w:w="80" w:type="dxa"/>
              <w:right w:w="120" w:type="dxa"/>
            </w:tcMar>
          </w:tcPr>
          <w:p w14:paraId="4D31C1ED">
            <w:pPr>
              <w:pStyle w:val="26"/>
            </w:pPr>
            <w:r>
              <w:t>Product attributes and model features</w:t>
            </w:r>
          </w:p>
        </w:tc>
      </w:tr>
      <w:tr w14:paraId="611371E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300" w:type="dxa"/>
            <w:tcMar>
              <w:top w:w="80" w:type="dxa"/>
              <w:left w:w="120" w:type="dxa"/>
              <w:bottom w:w="80" w:type="dxa"/>
              <w:right w:w="120" w:type="dxa"/>
            </w:tcMar>
          </w:tcPr>
          <w:p w14:paraId="6008366B">
            <w:pPr>
              <w:pStyle w:val="26"/>
            </w:pPr>
            <w:r>
              <w:rPr>
                <w:b/>
                <w:bCs/>
                <w:color w:val="1F3864"/>
              </w:rPr>
              <w:t>Billing Doc., Item</w:t>
            </w:r>
          </w:p>
        </w:tc>
        <w:tc>
          <w:tcPr>
            <w:tcW w:w="3500" w:type="dxa"/>
            <w:tcMar>
              <w:top w:w="80" w:type="dxa"/>
              <w:left w:w="120" w:type="dxa"/>
              <w:bottom w:w="80" w:type="dxa"/>
              <w:right w:w="120" w:type="dxa"/>
            </w:tcMar>
          </w:tcPr>
          <w:p w14:paraId="14FD1456">
            <w:pPr>
              <w:pStyle w:val="26"/>
            </w:pPr>
            <w:r>
              <w:t>Invoice number and line</w:t>
            </w:r>
          </w:p>
        </w:tc>
        <w:tc>
          <w:tcPr>
            <w:tcW w:w="3560" w:type="dxa"/>
            <w:tcMar>
              <w:top w:w="80" w:type="dxa"/>
              <w:left w:w="120" w:type="dxa"/>
              <w:bottom w:w="80" w:type="dxa"/>
              <w:right w:w="120" w:type="dxa"/>
            </w:tcMar>
          </w:tcPr>
          <w:p w14:paraId="40D6225E">
            <w:pPr>
              <w:pStyle w:val="26"/>
            </w:pPr>
            <w:r>
              <w:t>Duplicate diagnosis (blank in Apr-Jun 2024)</w:t>
            </w:r>
          </w:p>
        </w:tc>
      </w:tr>
      <w:tr w14:paraId="525DE914">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300" w:type="dxa"/>
            <w:shd w:val="clear" w:color="auto" w:fill="F5F7F7"/>
            <w:tcMar>
              <w:top w:w="80" w:type="dxa"/>
              <w:left w:w="120" w:type="dxa"/>
              <w:bottom w:w="80" w:type="dxa"/>
              <w:right w:w="120" w:type="dxa"/>
            </w:tcMar>
          </w:tcPr>
          <w:p w14:paraId="1FAC4F66">
            <w:pPr>
              <w:pStyle w:val="26"/>
            </w:pPr>
            <w:r>
              <w:rPr>
                <w:b/>
                <w:bCs/>
                <w:color w:val="1F3864"/>
              </w:rPr>
              <w:t>Customer, Dealer Name</w:t>
            </w:r>
          </w:p>
        </w:tc>
        <w:tc>
          <w:tcPr>
            <w:tcW w:w="3500" w:type="dxa"/>
            <w:shd w:val="clear" w:color="auto" w:fill="F5F7F7"/>
            <w:tcMar>
              <w:top w:w="80" w:type="dxa"/>
              <w:left w:w="120" w:type="dxa"/>
              <w:bottom w:w="80" w:type="dxa"/>
              <w:right w:w="120" w:type="dxa"/>
            </w:tcMar>
          </w:tcPr>
          <w:p w14:paraId="52067708">
            <w:pPr>
              <w:pStyle w:val="26"/>
            </w:pPr>
            <w:r>
              <w:t>Buyer and channel partner</w:t>
            </w:r>
          </w:p>
        </w:tc>
        <w:tc>
          <w:tcPr>
            <w:tcW w:w="3560" w:type="dxa"/>
            <w:shd w:val="clear" w:color="auto" w:fill="F5F7F7"/>
            <w:tcMar>
              <w:top w:w="80" w:type="dxa"/>
              <w:left w:w="120" w:type="dxa"/>
              <w:bottom w:w="80" w:type="dxa"/>
              <w:right w:w="120" w:type="dxa"/>
            </w:tcMar>
          </w:tcPr>
          <w:p w14:paraId="033515B8">
            <w:pPr>
              <w:pStyle w:val="26"/>
            </w:pPr>
            <w:r>
              <w:t>Concentration statistics only; excluded from models and outputs</w:t>
            </w:r>
          </w:p>
        </w:tc>
      </w:tr>
    </w:tbl>
    <w:p w14:paraId="555A3DF4">
      <w:pPr>
        <w:pStyle w:val="25"/>
      </w:pPr>
      <w:r>
        <w:t>Source: Sponsor ERP billing extract, July 2022 - June 2024; team analysis.</w:t>
      </w:r>
    </w:p>
    <w:p w14:paraId="06C45040">
      <w:r>
        <w:t>Three further features shaped our choices. First, 1,436 outdoor lines carry negative quantities, which are returns or credit notes rather than demand. Second, three fields (Material.1, SALES OFFICE CODE.1 and Tonnage.1) are exact copies of others, and one unlabelled column is almost entirely empty; together with the blank fields of the final quarter, these explain why the extract is only 91.04% complete overall but 94.99% complete once the empty column is excluded. Third, minor inconsistencies such as "3 star" alongside "3 Star" (41 rows) indicate manual entry in places, which we standardised.</w:t>
      </w:r>
    </w:p>
    <w:p w14:paraId="705FD2E6">
      <w:pPr>
        <w:pStyle w:val="3"/>
      </w:pPr>
      <w:bookmarkStart w:id="32" w:name="_Toc17054"/>
      <w:r>
        <w:t>3.3  Data Governance and Ethics</w:t>
      </w:r>
      <w:bookmarkEnd w:id="32"/>
    </w:p>
    <w:p w14:paraId="63F9DDCF">
      <w:r>
        <w:rPr>
          <w:b/>
          <w:bCs/>
        </w:rPr>
        <w:t>Personal data.</w:t>
      </w:r>
      <w:r>
        <w:t xml:space="preserve"> The customer field contains the names of individual buyers as well as companies. We treated the field as personally identifiable information: it was used only to compute anonymous concentration statistics, was excluded from every model, and appears in no table, figure or output file. All exhibits in this report are aggregated to SKU, branch or portfolio level, and the manufacturer is not named.</w:t>
      </w:r>
    </w:p>
    <w:p w14:paraId="76031A80">
      <w:r>
        <w:rPr>
          <w:b/>
          <w:bCs/>
        </w:rPr>
        <w:t>Approvals and handling.</w:t>
      </w:r>
      <w:r>
        <w:t xml:space="preserve"> The extract was shared through Deloitte for the capstone and handled only by team members. The code repository described in Appendix C contains the analysis scripts; the raw data file must not be published with it. [Team to confirm: the date of the sponsor's data-handling approval and that the repository is private or excludes the data files.]</w:t>
      </w:r>
    </w:p>
    <w:p w14:paraId="6D0D0241">
      <w:r>
        <w:rPr>
          <w:b/>
          <w:bCs/>
        </w:rPr>
        <w:t>Known biases.</w:t>
      </w:r>
      <w:r>
        <w:t xml:space="preserve"> Billing data record shipments to dealers, not consumer purchases. When a branch ran out of a model, the lost demand is invisible, so history understates true peak demand for the models most likely to stock out. Dealer ordering also amplifies consumer demand (Lee et al., 1997): the December spike visible in Figure 3.1, outside any weather-driven season, is most plausibly year-end channel stocking. Finally, the change in extract structure in April 2024 means that the most recent, and most relevant, quarter is also the least verifiable.</w:t>
      </w:r>
    </w:p>
    <w:p w14:paraId="4D3B4F30">
      <w:r>
        <w:rPr>
          <w:b/>
          <w:bCs/>
        </w:rPr>
        <w:t>Synthetic test records.</w:t>
      </w:r>
      <w:r>
        <w:t xml:space="preserve"> During our final audit we found that a working copy of the data used by the project dashboard ("Filtered.xlsx") contains a second sheet of 5,100 synthetic rows for ten artificial evaluation SKUs, generated with a fixed random seed to test the dashboard. These rows were never part of the sponsor's data, and we excluded them from all analysis in this report. Any planning use of the dashboard must exclude them too.</w:t>
      </w:r>
    </w:p>
    <w:p w14:paraId="254FB523">
      <w:pPr>
        <w:spacing w:after="60"/>
      </w:pPr>
    </w:p>
    <w:tbl>
      <w:tblPr>
        <w:tblStyle w:val="9"/>
        <w:tblW w:w="9360" w:type="dxa"/>
        <w:tblInd w:w="0" w:type="dxa"/>
        <w:tblBorders>
          <w:top w:val="none" w:color="auto" w:sz="0" w:space="0"/>
          <w:left w:val="single" w:color="0F6B72" w:sz="24"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360"/>
      </w:tblGrid>
      <w:tr w14:paraId="33589A3F">
        <w:tblPrEx>
          <w:tblBorders>
            <w:top w:val="none" w:color="auto" w:sz="0" w:space="0"/>
            <w:left w:val="single" w:color="0F6B72" w:sz="24"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9360" w:type="dxa"/>
            <w:shd w:val="clear" w:color="auto" w:fill="EAF1F1"/>
            <w:tcMar>
              <w:top w:w="120" w:type="dxa"/>
              <w:left w:w="200" w:type="dxa"/>
              <w:bottom w:w="120" w:type="dxa"/>
              <w:right w:w="200" w:type="dxa"/>
            </w:tcMar>
          </w:tcPr>
          <w:p w14:paraId="29FEC01F">
            <w:pPr>
              <w:pStyle w:val="28"/>
            </w:pPr>
            <w:r>
              <w:t>Key Takeaways</w:t>
            </w:r>
          </w:p>
          <w:p w14:paraId="3C52253E">
            <w:pPr>
              <w:pStyle w:val="29"/>
              <w:numPr>
                <w:ilvl w:val="0"/>
                <w:numId w:val="4"/>
              </w:numPr>
            </w:pPr>
            <w:r>
              <w:t>The forecast informs one weekly decision: how much of each model each branch should request against a two-week lead time, and how large a buffer to hold.</w:t>
            </w:r>
          </w:p>
          <w:p w14:paraId="014428B0">
            <w:pPr>
              <w:pStyle w:val="29"/>
              <w:numPr>
                <w:ilvl w:val="0"/>
                <w:numId w:val="4"/>
              </w:numPr>
            </w:pPr>
            <w:r>
              <w:t>The outdoor unit is the true unit of demand; the April to June 2024 quarter is structurally different and must be repaired before it is fully trusted.</w:t>
            </w:r>
          </w:p>
        </w:tc>
      </w:tr>
    </w:tbl>
    <w:p w14:paraId="60FEA8F7">
      <w:pPr>
        <w:pStyle w:val="2"/>
      </w:pPr>
      <w:bookmarkStart w:id="33" w:name="_Toc2505"/>
      <w:r>
        <w:t>Chapter 4: Methodology: Assumptions and Approach</w:t>
      </w:r>
      <w:bookmarkEnd w:id="33"/>
    </w:p>
    <w:p w14:paraId="11FB78CD">
      <w:r>
        <w:t>Our methodology rests on a small number of explicit assumptions and a single principle: every method is judged in exactly the way it would be used, forecasting weeks it has not seen from information available at the time. This chapter states the assumptions, explains why each is reasonable, and then sets out the analytical approach and tools.</w:t>
      </w:r>
    </w:p>
    <w:p w14:paraId="56667D24">
      <w:pPr>
        <w:pStyle w:val="3"/>
      </w:pPr>
      <w:bookmarkStart w:id="34" w:name="_Toc16625"/>
      <w:r>
        <w:t>4.1  Assumptions</w:t>
      </w:r>
      <w:bookmarkEnd w:id="34"/>
    </w:p>
    <w:p w14:paraId="7EC1A16E">
      <w:pPr>
        <w:pStyle w:val="10"/>
        <w:keepNext/>
      </w:pPr>
      <w:r>
        <w:t>Table 4.</w:t>
      </w:r>
      <w:r>
        <w:fldChar w:fldCharType="begin"/>
      </w:r>
      <w:r>
        <w:instrText xml:space="preserve">SEQ Table \* ARABIC \s 1</w:instrText>
      </w:r>
      <w:r>
        <w:fldChar w:fldCharType="separate"/>
      </w:r>
      <w:r>
        <w:t>1</w:t>
      </w:r>
      <w:r>
        <w:fldChar w:fldCharType="end"/>
      </w:r>
      <w:bookmarkStart w:id="35" w:name="_Toc29193"/>
      <w:r>
        <w:t>: Material assumptions, treatment and justification</w:t>
      </w:r>
      <w:bookmarkEnd w:id="35"/>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1650"/>
        <w:gridCol w:w="3700"/>
        <w:gridCol w:w="4010"/>
      </w:tblGrid>
      <w:tr w14:paraId="3BCFDF14">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1650" w:type="dxa"/>
            <w:shd w:val="clear" w:color="auto" w:fill="1F3864"/>
            <w:tcMar>
              <w:top w:w="80" w:type="dxa"/>
              <w:left w:w="120" w:type="dxa"/>
              <w:bottom w:w="80" w:type="dxa"/>
              <w:right w:w="120" w:type="dxa"/>
            </w:tcMar>
            <w:vAlign w:val="center"/>
          </w:tcPr>
          <w:p w14:paraId="733E905D">
            <w:pPr>
              <w:pStyle w:val="27"/>
            </w:pPr>
            <w:r>
              <w:t>Area</w:t>
            </w:r>
          </w:p>
        </w:tc>
        <w:tc>
          <w:tcPr>
            <w:tcW w:w="3700" w:type="dxa"/>
            <w:shd w:val="clear" w:color="auto" w:fill="1F3864"/>
            <w:tcMar>
              <w:top w:w="80" w:type="dxa"/>
              <w:left w:w="120" w:type="dxa"/>
              <w:bottom w:w="80" w:type="dxa"/>
              <w:right w:w="120" w:type="dxa"/>
            </w:tcMar>
            <w:vAlign w:val="center"/>
          </w:tcPr>
          <w:p w14:paraId="562A4362">
            <w:pPr>
              <w:pStyle w:val="27"/>
            </w:pPr>
            <w:r>
              <w:t>Assumption / treatment</w:t>
            </w:r>
          </w:p>
        </w:tc>
        <w:tc>
          <w:tcPr>
            <w:tcW w:w="4010" w:type="dxa"/>
            <w:shd w:val="clear" w:color="auto" w:fill="1F3864"/>
            <w:tcMar>
              <w:top w:w="80" w:type="dxa"/>
              <w:left w:w="120" w:type="dxa"/>
              <w:bottom w:w="80" w:type="dxa"/>
              <w:right w:w="120" w:type="dxa"/>
            </w:tcMar>
            <w:vAlign w:val="center"/>
          </w:tcPr>
          <w:p w14:paraId="4533CE83">
            <w:pPr>
              <w:pStyle w:val="27"/>
            </w:pPr>
            <w:r>
              <w:t>Justification</w:t>
            </w:r>
          </w:p>
        </w:tc>
      </w:tr>
      <w:tr w14:paraId="6155C88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650" w:type="dxa"/>
            <w:tcMar>
              <w:top w:w="80" w:type="dxa"/>
              <w:left w:w="120" w:type="dxa"/>
              <w:bottom w:w="80" w:type="dxa"/>
              <w:right w:w="120" w:type="dxa"/>
            </w:tcMar>
          </w:tcPr>
          <w:p w14:paraId="1195986A">
            <w:pPr>
              <w:pStyle w:val="26"/>
            </w:pPr>
            <w:r>
              <w:rPr>
                <w:b/>
                <w:bCs/>
                <w:color w:val="1F3864"/>
              </w:rPr>
              <w:t>Demand definition</w:t>
            </w:r>
          </w:p>
        </w:tc>
        <w:tc>
          <w:tcPr>
            <w:tcW w:w="3700" w:type="dxa"/>
            <w:tcMar>
              <w:top w:w="80" w:type="dxa"/>
              <w:left w:w="120" w:type="dxa"/>
              <w:bottom w:w="80" w:type="dxa"/>
              <w:right w:w="120" w:type="dxa"/>
            </w:tcMar>
          </w:tcPr>
          <w:p w14:paraId="3C32A218">
            <w:pPr>
              <w:pStyle w:val="26"/>
            </w:pPr>
            <w:r>
              <w:t>Positive ODU billing quantity per SKU, branch and week is the demand to forecast.</w:t>
            </w:r>
          </w:p>
        </w:tc>
        <w:tc>
          <w:tcPr>
            <w:tcW w:w="4010" w:type="dxa"/>
            <w:tcMar>
              <w:top w:w="80" w:type="dxa"/>
              <w:left w:w="120" w:type="dxa"/>
              <w:bottom w:w="80" w:type="dxa"/>
              <w:right w:w="120" w:type="dxa"/>
            </w:tcMar>
          </w:tcPr>
          <w:p w14:paraId="36BAD419">
            <w:pPr>
              <w:pStyle w:val="26"/>
            </w:pPr>
            <w:r>
              <w:t>Each split system ships one ODU and one IDU; IDU lines exist only from April 2024, so adding them would double-count the latest quarter.</w:t>
            </w:r>
          </w:p>
        </w:tc>
      </w:tr>
      <w:tr w14:paraId="233C5687">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650" w:type="dxa"/>
            <w:shd w:val="clear" w:color="auto" w:fill="F5F7F7"/>
            <w:tcMar>
              <w:top w:w="80" w:type="dxa"/>
              <w:left w:w="120" w:type="dxa"/>
              <w:bottom w:w="80" w:type="dxa"/>
              <w:right w:w="120" w:type="dxa"/>
            </w:tcMar>
          </w:tcPr>
          <w:p w14:paraId="4D453140">
            <w:pPr>
              <w:pStyle w:val="26"/>
            </w:pPr>
            <w:r>
              <w:rPr>
                <w:b/>
                <w:bCs/>
                <w:color w:val="1F3864"/>
              </w:rPr>
              <w:t>Billings as demand</w:t>
            </w:r>
          </w:p>
        </w:tc>
        <w:tc>
          <w:tcPr>
            <w:tcW w:w="3700" w:type="dxa"/>
            <w:shd w:val="clear" w:color="auto" w:fill="F5F7F7"/>
            <w:tcMar>
              <w:top w:w="80" w:type="dxa"/>
              <w:left w:w="120" w:type="dxa"/>
              <w:bottom w:w="80" w:type="dxa"/>
              <w:right w:w="120" w:type="dxa"/>
            </w:tcMar>
          </w:tcPr>
          <w:p w14:paraId="65DB6564">
            <w:pPr>
              <w:pStyle w:val="26"/>
            </w:pPr>
            <w:r>
              <w:t>Shipments to dealers are treated as demand.</w:t>
            </w:r>
          </w:p>
        </w:tc>
        <w:tc>
          <w:tcPr>
            <w:tcW w:w="4010" w:type="dxa"/>
            <w:shd w:val="clear" w:color="auto" w:fill="F5F7F7"/>
            <w:tcMar>
              <w:top w:w="80" w:type="dxa"/>
              <w:left w:w="120" w:type="dxa"/>
              <w:bottom w:w="80" w:type="dxa"/>
              <w:right w:w="120" w:type="dxa"/>
            </w:tcMar>
          </w:tcPr>
          <w:p w14:paraId="2F975130">
            <w:pPr>
              <w:pStyle w:val="26"/>
            </w:pPr>
            <w:r>
              <w:t>The only signal available; its censoring and amplification biases are acknowledged (Sections 3.3 and 10.1).</w:t>
            </w:r>
          </w:p>
        </w:tc>
      </w:tr>
      <w:tr w14:paraId="30A35909">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650" w:type="dxa"/>
            <w:tcMar>
              <w:top w:w="80" w:type="dxa"/>
              <w:left w:w="120" w:type="dxa"/>
              <w:bottom w:w="80" w:type="dxa"/>
              <w:right w:w="120" w:type="dxa"/>
            </w:tcMar>
          </w:tcPr>
          <w:p w14:paraId="32A28EC8">
            <w:pPr>
              <w:pStyle w:val="26"/>
            </w:pPr>
            <w:r>
              <w:rPr>
                <w:b/>
                <w:bCs/>
                <w:color w:val="1F3864"/>
              </w:rPr>
              <w:t>Duplicates</w:t>
            </w:r>
          </w:p>
        </w:tc>
        <w:tc>
          <w:tcPr>
            <w:tcW w:w="3700" w:type="dxa"/>
            <w:tcMar>
              <w:top w:w="80" w:type="dxa"/>
              <w:left w:w="120" w:type="dxa"/>
              <w:bottom w:w="80" w:type="dxa"/>
              <w:right w:w="120" w:type="dxa"/>
            </w:tcMar>
          </w:tcPr>
          <w:p w14:paraId="6C91094A">
            <w:pPr>
              <w:pStyle w:val="26"/>
            </w:pPr>
            <w:r>
              <w:t>The 4,463 exact duplicate rows in Apr-Jun 2024 are removed.</w:t>
            </w:r>
          </w:p>
        </w:tc>
        <w:tc>
          <w:tcPr>
            <w:tcW w:w="4010" w:type="dxa"/>
            <w:tcMar>
              <w:top w:w="80" w:type="dxa"/>
              <w:left w:w="120" w:type="dxa"/>
              <w:bottom w:w="80" w:type="dxa"/>
              <w:right w:w="120" w:type="dxa"/>
            </w:tcMar>
          </w:tcPr>
          <w:p w14:paraId="17505AD4">
            <w:pPr>
              <w:pStyle w:val="26"/>
            </w:pPr>
            <w:r>
              <w:t>No earlier period contains a single exact duplicate; identical lines with blank invoice numbers are more plausibly extraction artefacts. A sensitivity figure is reported in Section 5.1.</w:t>
            </w:r>
          </w:p>
        </w:tc>
      </w:tr>
      <w:tr w14:paraId="7286E9A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650" w:type="dxa"/>
            <w:shd w:val="clear" w:color="auto" w:fill="F5F7F7"/>
            <w:tcMar>
              <w:top w:w="80" w:type="dxa"/>
              <w:left w:w="120" w:type="dxa"/>
              <w:bottom w:w="80" w:type="dxa"/>
              <w:right w:w="120" w:type="dxa"/>
            </w:tcMar>
          </w:tcPr>
          <w:p w14:paraId="331721CA">
            <w:pPr>
              <w:pStyle w:val="26"/>
            </w:pPr>
            <w:r>
              <w:rPr>
                <w:b/>
                <w:bCs/>
                <w:color w:val="1F3864"/>
              </w:rPr>
              <w:t>Returns</w:t>
            </w:r>
          </w:p>
        </w:tc>
        <w:tc>
          <w:tcPr>
            <w:tcW w:w="3700" w:type="dxa"/>
            <w:shd w:val="clear" w:color="auto" w:fill="F5F7F7"/>
            <w:tcMar>
              <w:top w:w="80" w:type="dxa"/>
              <w:left w:w="120" w:type="dxa"/>
              <w:bottom w:w="80" w:type="dxa"/>
              <w:right w:w="120" w:type="dxa"/>
            </w:tcMar>
          </w:tcPr>
          <w:p w14:paraId="1EC9EA0A">
            <w:pPr>
              <w:pStyle w:val="26"/>
            </w:pPr>
            <w:r>
              <w:t>Negative quantities are excluded from demand and reported separately.</w:t>
            </w:r>
          </w:p>
        </w:tc>
        <w:tc>
          <w:tcPr>
            <w:tcW w:w="4010" w:type="dxa"/>
            <w:shd w:val="clear" w:color="auto" w:fill="F5F7F7"/>
            <w:tcMar>
              <w:top w:w="80" w:type="dxa"/>
              <w:left w:w="120" w:type="dxa"/>
              <w:bottom w:w="80" w:type="dxa"/>
              <w:right w:w="120" w:type="dxa"/>
            </w:tcMar>
          </w:tcPr>
          <w:p w14:paraId="6054DE87">
            <w:pPr>
              <w:pStyle w:val="26"/>
            </w:pPr>
            <w:r>
              <w:t>Returns are 0.83% of units and relate to past sales, not future demand.</w:t>
            </w:r>
          </w:p>
        </w:tc>
      </w:tr>
      <w:tr w14:paraId="24FD7A0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650" w:type="dxa"/>
            <w:tcMar>
              <w:top w:w="80" w:type="dxa"/>
              <w:left w:w="120" w:type="dxa"/>
              <w:bottom w:w="80" w:type="dxa"/>
              <w:right w:w="120" w:type="dxa"/>
            </w:tcMar>
          </w:tcPr>
          <w:p w14:paraId="5B712E2C">
            <w:pPr>
              <w:pStyle w:val="26"/>
            </w:pPr>
            <w:r>
              <w:rPr>
                <w:b/>
                <w:bCs/>
                <w:color w:val="1F3864"/>
              </w:rPr>
              <w:t>Time grain</w:t>
            </w:r>
          </w:p>
        </w:tc>
        <w:tc>
          <w:tcPr>
            <w:tcW w:w="3700" w:type="dxa"/>
            <w:tcMar>
              <w:top w:w="80" w:type="dxa"/>
              <w:left w:w="120" w:type="dxa"/>
              <w:bottom w:w="80" w:type="dxa"/>
              <w:right w:w="120" w:type="dxa"/>
            </w:tcMar>
          </w:tcPr>
          <w:p w14:paraId="063327A7">
            <w:pPr>
              <w:pStyle w:val="26"/>
            </w:pPr>
            <w:r>
              <w:t>Weekly buckets ending Sunday; weeks with no sales are recorded as zero.</w:t>
            </w:r>
          </w:p>
        </w:tc>
        <w:tc>
          <w:tcPr>
            <w:tcW w:w="4010" w:type="dxa"/>
            <w:tcMar>
              <w:top w:w="80" w:type="dxa"/>
              <w:left w:w="120" w:type="dxa"/>
              <w:bottom w:w="80" w:type="dxa"/>
              <w:right w:w="120" w:type="dxa"/>
            </w:tcMar>
          </w:tcPr>
          <w:p w14:paraId="640F6EF3">
            <w:pPr>
              <w:pStyle w:val="26"/>
            </w:pPr>
            <w:r>
              <w:t>Matches the weekly replenishment cycle; daily data are too sparse and monthly data too coarse for a two-week lead time.</w:t>
            </w:r>
          </w:p>
        </w:tc>
      </w:tr>
      <w:tr w14:paraId="341B717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650" w:type="dxa"/>
            <w:shd w:val="clear" w:color="auto" w:fill="F5F7F7"/>
            <w:tcMar>
              <w:top w:w="80" w:type="dxa"/>
              <w:left w:w="120" w:type="dxa"/>
              <w:bottom w:w="80" w:type="dxa"/>
              <w:right w:w="120" w:type="dxa"/>
            </w:tcMar>
          </w:tcPr>
          <w:p w14:paraId="34466803">
            <w:pPr>
              <w:pStyle w:val="26"/>
            </w:pPr>
            <w:r>
              <w:rPr>
                <w:b/>
                <w:bCs/>
                <w:color w:val="1F3864"/>
              </w:rPr>
              <w:t>Series start</w:t>
            </w:r>
          </w:p>
        </w:tc>
        <w:tc>
          <w:tcPr>
            <w:tcW w:w="3700" w:type="dxa"/>
            <w:shd w:val="clear" w:color="auto" w:fill="F5F7F7"/>
            <w:tcMar>
              <w:top w:w="80" w:type="dxa"/>
              <w:left w:w="120" w:type="dxa"/>
              <w:bottom w:w="80" w:type="dxa"/>
              <w:right w:w="120" w:type="dxa"/>
            </w:tcMar>
          </w:tcPr>
          <w:p w14:paraId="2282B493">
            <w:pPr>
              <w:pStyle w:val="26"/>
            </w:pPr>
            <w:r>
              <w:t>A series begins at its first sale; earlier weeks are not counted as zero demand.</w:t>
            </w:r>
          </w:p>
        </w:tc>
        <w:tc>
          <w:tcPr>
            <w:tcW w:w="4010" w:type="dxa"/>
            <w:shd w:val="clear" w:color="auto" w:fill="F5F7F7"/>
            <w:tcMar>
              <w:top w:w="80" w:type="dxa"/>
              <w:left w:w="120" w:type="dxa"/>
              <w:bottom w:w="80" w:type="dxa"/>
              <w:right w:w="120" w:type="dxa"/>
            </w:tcMar>
          </w:tcPr>
          <w:p w14:paraId="57E7F030">
            <w:pPr>
              <w:pStyle w:val="26"/>
            </w:pPr>
            <w:r>
              <w:t>Models launched mid-period were not available before launch, so earlier zeros are not true zero demand.</w:t>
            </w:r>
          </w:p>
        </w:tc>
      </w:tr>
      <w:tr w14:paraId="717F94FB">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650" w:type="dxa"/>
            <w:tcMar>
              <w:top w:w="80" w:type="dxa"/>
              <w:left w:w="120" w:type="dxa"/>
              <w:bottom w:w="80" w:type="dxa"/>
              <w:right w:w="120" w:type="dxa"/>
            </w:tcMar>
          </w:tcPr>
          <w:p w14:paraId="1C07EDE8">
            <w:pPr>
              <w:pStyle w:val="26"/>
            </w:pPr>
            <w:r>
              <w:rPr>
                <w:b/>
                <w:bCs/>
                <w:color w:val="1F3864"/>
              </w:rPr>
              <w:t>Independence of errors</w:t>
            </w:r>
          </w:p>
        </w:tc>
        <w:tc>
          <w:tcPr>
            <w:tcW w:w="3700" w:type="dxa"/>
            <w:tcMar>
              <w:top w:w="80" w:type="dxa"/>
              <w:left w:w="120" w:type="dxa"/>
              <w:bottom w:w="80" w:type="dxa"/>
              <w:right w:w="120" w:type="dxa"/>
            </w:tcMar>
          </w:tcPr>
          <w:p w14:paraId="30A4FA1B">
            <w:pPr>
              <w:pStyle w:val="26"/>
            </w:pPr>
            <w:r>
              <w:t>Weekly forecast errors are treated as independent when scaled to the lead time.</w:t>
            </w:r>
          </w:p>
        </w:tc>
        <w:tc>
          <w:tcPr>
            <w:tcW w:w="4010" w:type="dxa"/>
            <w:tcMar>
              <w:top w:w="80" w:type="dxa"/>
              <w:left w:w="120" w:type="dxa"/>
              <w:bottom w:w="80" w:type="dxa"/>
              <w:right w:w="120" w:type="dxa"/>
            </w:tcMar>
          </w:tcPr>
          <w:p w14:paraId="495E1090">
            <w:pPr>
              <w:pStyle w:val="26"/>
            </w:pPr>
            <w:r>
              <w:t>Standard in safety-stock practice (Silver et al., 2017); error size is measured empirically, not assumed.</w:t>
            </w:r>
          </w:p>
        </w:tc>
      </w:tr>
      <w:tr w14:paraId="504839C4">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650" w:type="dxa"/>
            <w:shd w:val="clear" w:color="auto" w:fill="F5F7F7"/>
            <w:tcMar>
              <w:top w:w="80" w:type="dxa"/>
              <w:left w:w="120" w:type="dxa"/>
              <w:bottom w:w="80" w:type="dxa"/>
              <w:right w:w="120" w:type="dxa"/>
            </w:tcMar>
          </w:tcPr>
          <w:p w14:paraId="2B04809D">
            <w:pPr>
              <w:pStyle w:val="26"/>
            </w:pPr>
            <w:r>
              <w:rPr>
                <w:b/>
                <w:bCs/>
                <w:color w:val="1F3864"/>
              </w:rPr>
              <w:t>Lead time and costs</w:t>
            </w:r>
          </w:p>
        </w:tc>
        <w:tc>
          <w:tcPr>
            <w:tcW w:w="3700" w:type="dxa"/>
            <w:shd w:val="clear" w:color="auto" w:fill="F5F7F7"/>
            <w:tcMar>
              <w:top w:w="80" w:type="dxa"/>
              <w:left w:w="120" w:type="dxa"/>
              <w:bottom w:w="80" w:type="dxa"/>
              <w:right w:w="120" w:type="dxa"/>
            </w:tcMar>
          </w:tcPr>
          <w:p w14:paraId="40E9C91D">
            <w:pPr>
              <w:pStyle w:val="26"/>
            </w:pPr>
            <w:r>
              <w:t>Lead time 2 weeks; 95% target cycle service; ₹25,000 per unit; 15% annual holding cost.</w:t>
            </w:r>
          </w:p>
        </w:tc>
        <w:tc>
          <w:tcPr>
            <w:tcW w:w="4010" w:type="dxa"/>
            <w:shd w:val="clear" w:color="auto" w:fill="F5F7F7"/>
            <w:tcMar>
              <w:top w:w="80" w:type="dxa"/>
              <w:left w:w="120" w:type="dxa"/>
              <w:bottom w:w="80" w:type="dxa"/>
              <w:right w:w="120" w:type="dxa"/>
            </w:tcMar>
          </w:tcPr>
          <w:p w14:paraId="16275EB4">
            <w:pPr>
              <w:pStyle w:val="26"/>
            </w:pPr>
            <w:r>
              <w:t>Team configuration agreed for the project; indicative, to be replaced with the manufacturer's figures.</w:t>
            </w:r>
          </w:p>
        </w:tc>
      </w:tr>
    </w:tbl>
    <w:p w14:paraId="340AE9E9">
      <w:pPr>
        <w:pStyle w:val="25"/>
      </w:pPr>
      <w:r>
        <w:t>Source: Team analysis.</w:t>
      </w:r>
    </w:p>
    <w:p w14:paraId="58BD7A78">
      <w:r>
        <w:t>Of these, the demand definition and the duplicate treatment matter most, because they change the level of demand in the most recent quarter, which every model relies on most heavily when forecasting the 2024 peak. We return to their sensitivity in Chapter 5.</w:t>
      </w:r>
    </w:p>
    <w:p w14:paraId="7371CC3F">
      <w:pPr>
        <w:pStyle w:val="3"/>
      </w:pPr>
      <w:bookmarkStart w:id="36" w:name="_Toc20209"/>
      <w:r>
        <w:t>4.2  Approach and Tools</w:t>
      </w:r>
      <w:bookmarkEnd w:id="36"/>
    </w:p>
    <w:p w14:paraId="562CE5F1">
      <w:r>
        <w:t>Figure 4.1 summarises the analytical pipeline. Raw billing lines are audited and cleaned, aggregated into a weekly matrix of 273 SKU × branch series, and profiled using the Syntetos-Boylan classification. Twelve forecasting methods are then compared in a rolling-origin backtest, and the errors of the leading methods are converted into safety-stock requirements. The final step, delivery, is the project's planner dashboard, described in Chapter 8.</w:t>
      </w:r>
    </w:p>
    <w:p w14:paraId="6CF0646E">
      <w:pPr>
        <w:keepNext/>
        <w:spacing w:before="120" w:after="40" w:line="240" w:lineRule="auto"/>
        <w:jc w:val="center"/>
      </w:pPr>
      <w:r>
        <w:drawing>
          <wp:inline distT="0" distB="0" distL="114300" distR="114300">
            <wp:extent cx="5760720" cy="1654175"/>
            <wp:effectExtent l="0" t="0" r="508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760720" cy="1654337"/>
                    </a:xfrm>
                    <a:prstGeom prst="rect">
                      <a:avLst/>
                    </a:prstGeom>
                  </pic:spPr>
                </pic:pic>
              </a:graphicData>
            </a:graphic>
          </wp:inline>
        </w:drawing>
      </w:r>
    </w:p>
    <w:p w14:paraId="539CED05">
      <w:pPr>
        <w:pStyle w:val="10"/>
        <w:jc w:val="center"/>
      </w:pPr>
      <w:r>
        <w:t>Figure 4.</w:t>
      </w:r>
      <w:r>
        <w:fldChar w:fldCharType="begin"/>
      </w:r>
      <w:r>
        <w:instrText xml:space="preserve">SEQ Figure \* ARABIC \s 1</w:instrText>
      </w:r>
      <w:r>
        <w:fldChar w:fldCharType="separate"/>
      </w:r>
      <w:r>
        <w:t>1</w:t>
      </w:r>
      <w:r>
        <w:fldChar w:fldCharType="end"/>
      </w:r>
      <w:bookmarkStart w:id="37" w:name="_Toc13463"/>
      <w:r>
        <w:t>: Analytical pipeline from raw billing lines to replenishment policy</w:t>
      </w:r>
      <w:bookmarkEnd w:id="37"/>
    </w:p>
    <w:p w14:paraId="354097C3">
      <w:pPr>
        <w:pStyle w:val="25"/>
        <w:jc w:val="center"/>
      </w:pPr>
      <w:r>
        <w:t>Source: Team analysis.</w:t>
      </w:r>
    </w:p>
    <w:p w14:paraId="5E5E275E">
      <w:pPr>
        <w:pStyle w:val="4"/>
      </w:pPr>
      <w:bookmarkStart w:id="38" w:name="_Toc15925"/>
      <w:r>
        <w:t>Candidate methods</w:t>
      </w:r>
      <w:bookmarkEnd w:id="38"/>
    </w:p>
    <w:p w14:paraId="0F212B57">
      <w:r>
        <w:t>We selected candidates to span the families the literature recommends for this kind of demand (Chapter 2), from the simplest rules a planner might use to a global machine-learning model:</w:t>
      </w:r>
    </w:p>
    <w:p w14:paraId="1F4C8332">
      <w:pPr>
        <w:pStyle w:val="22"/>
        <w:numPr>
          <w:ilvl w:val="0"/>
          <w:numId w:val="5"/>
        </w:numPr>
        <w:spacing w:after="80"/>
      </w:pPr>
      <w:r>
        <w:rPr>
          <w:b/>
          <w:bCs/>
        </w:rPr>
        <w:t>Baselines:</w:t>
      </w:r>
      <w:r>
        <w:t xml:space="preserve"> naive (next week equals last week), seasonal naive (same week last year), an eight-week moving average, and simple exponential smoothing (SES) with a smoothing constant of 0.2.</w:t>
      </w:r>
    </w:p>
    <w:p w14:paraId="6C5A16E0">
      <w:pPr>
        <w:pStyle w:val="22"/>
        <w:numPr>
          <w:ilvl w:val="0"/>
          <w:numId w:val="5"/>
        </w:numPr>
        <w:spacing w:after="80"/>
      </w:pPr>
      <w:r>
        <w:rPr>
          <w:b/>
          <w:bCs/>
        </w:rPr>
        <w:t>Statistical:</w:t>
      </w:r>
      <w:r>
        <w:t xml:space="preserve"> ARIMA(1,1,1), fitted to each series separately (Box et al., 2015).</w:t>
      </w:r>
    </w:p>
    <w:p w14:paraId="643C42C2">
      <w:pPr>
        <w:pStyle w:val="22"/>
        <w:numPr>
          <w:ilvl w:val="0"/>
          <w:numId w:val="5"/>
        </w:numPr>
        <w:spacing w:after="80"/>
      </w:pPr>
      <w:r>
        <w:rPr>
          <w:b/>
          <w:bCs/>
        </w:rPr>
        <w:t>Intermittent-demand:</w:t>
      </w:r>
      <w:r>
        <w:t xml:space="preserve"> Croston's method, SBA and TSB, each with a smoothing constant of 0.1, plus a seasonal SBA that applies SBA to deseasonalised demand and rescales the result with a calendar-month index estimated from portfolio totals.</w:t>
      </w:r>
    </w:p>
    <w:p w14:paraId="598F2032">
      <w:pPr>
        <w:pStyle w:val="22"/>
        <w:numPr>
          <w:ilvl w:val="0"/>
          <w:numId w:val="5"/>
        </w:numPr>
        <w:spacing w:after="80"/>
      </w:pPr>
      <w:r>
        <w:rPr>
          <w:b/>
          <w:bCs/>
        </w:rPr>
        <w:t>Machine learning:</w:t>
      </w:r>
      <w:r>
        <w:t xml:space="preserve"> a global LightGBM model and a global random forest, each trained on all series at once using the features described in Chapter 6.</w:t>
      </w:r>
    </w:p>
    <w:p w14:paraId="667F3AD5">
      <w:pPr>
        <w:pStyle w:val="22"/>
        <w:numPr>
          <w:ilvl w:val="0"/>
          <w:numId w:val="5"/>
        </w:numPr>
        <w:spacing w:after="80"/>
      </w:pPr>
      <w:r>
        <w:rPr>
          <w:b/>
          <w:bCs/>
        </w:rPr>
        <w:t>Ensemble:</w:t>
      </w:r>
      <w:r>
        <w:t xml:space="preserve"> the simple average of LightGBM and the seasonal SBA, defined before any results were seen.</w:t>
      </w:r>
    </w:p>
    <w:p w14:paraId="6EBD77F7">
      <w:pPr>
        <w:pStyle w:val="4"/>
      </w:pPr>
      <w:bookmarkStart w:id="39" w:name="_Toc18828"/>
      <w:r>
        <w:t>Rolling-origin evaluation</w:t>
      </w:r>
      <w:bookmarkEnd w:id="39"/>
    </w:p>
    <w:p w14:paraId="71B757E2">
      <w:r>
        <w:t>Each method forecasts one to four weeks ahead from eight forecast origins spaced four weeks apart, the first in the week ending 26 November 2023 and the last in the week ending 09 June 2024 (Figure 4.2). At each origin, a method sees only data from earlier weeks: statistical models are refitted, and the machine-learning models are retrained on examples whose target weeks fall entirely before the origin; this is the time-series analogue of cross-validation (Hyndman &amp; Athanasopoulos, 2021). The test windows together cover 32 consecutive weeks spanning the December spike, the 2024 summer peak and the post-season decline, the periods in which forecasting matters most. A series is scored at an origin once it has at least eight weeks of sales history; newer series are handled by a fallback rule in deployment.</w:t>
      </w:r>
    </w:p>
    <w:p w14:paraId="1EAD0475">
      <w:pPr>
        <w:keepNext/>
        <w:spacing w:before="120" w:after="40" w:line="240" w:lineRule="auto"/>
        <w:jc w:val="center"/>
      </w:pPr>
      <w:r>
        <w:drawing>
          <wp:inline distT="0" distB="0" distL="114300" distR="114300">
            <wp:extent cx="5760720" cy="2291715"/>
            <wp:effectExtent l="0" t="0" r="508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760720" cy="2291855"/>
                    </a:xfrm>
                    <a:prstGeom prst="rect">
                      <a:avLst/>
                    </a:prstGeom>
                  </pic:spPr>
                </pic:pic>
              </a:graphicData>
            </a:graphic>
          </wp:inline>
        </w:drawing>
      </w:r>
    </w:p>
    <w:p w14:paraId="491C1FAD">
      <w:pPr>
        <w:pStyle w:val="10"/>
        <w:jc w:val="center"/>
      </w:pPr>
      <w:r>
        <w:t>Figure 4.</w:t>
      </w:r>
      <w:r>
        <w:fldChar w:fldCharType="begin"/>
      </w:r>
      <w:r>
        <w:instrText xml:space="preserve">SEQ Figure \* ARABIC \s 1</w:instrText>
      </w:r>
      <w:r>
        <w:fldChar w:fldCharType="separate"/>
      </w:r>
      <w:r>
        <w:t>2</w:t>
      </w:r>
      <w:r>
        <w:fldChar w:fldCharType="end"/>
      </w:r>
      <w:bookmarkStart w:id="40" w:name="_Toc18388"/>
      <w:r>
        <w:t>: Rolling-origin backtest design: eight expanding training windows, each followed by a four-week test window</w:t>
      </w:r>
      <w:bookmarkEnd w:id="40"/>
    </w:p>
    <w:p w14:paraId="3E5CC5A2">
      <w:pPr>
        <w:pStyle w:val="25"/>
        <w:jc w:val="center"/>
      </w:pPr>
      <w:r>
        <w:t>Source: Team analysis.</w:t>
      </w:r>
    </w:p>
    <w:p w14:paraId="04157E78">
      <w:pPr>
        <w:pStyle w:val="4"/>
      </w:pPr>
      <w:bookmarkStart w:id="41" w:name="_Toc27984"/>
      <w:r>
        <w:t>Metrics and selection</w:t>
      </w:r>
      <w:bookmarkEnd w:id="41"/>
    </w:p>
    <w:p w14:paraId="5C0693B7">
      <w:r>
        <w:t>Our primary metric is WAPE, computed across all scored series and weeks so that high-volume series carry proportionate weight. We also report bias (total forecast minus total actual, as a percentage of actual) to show whether a method systematically over- or under-forecasts, and MASE to compare errors on a scale-free basis (Hyndman &amp; Koehler, 2006). Because planners act on lead-time totals rather than single weeks, we also compute WAPE on four-week sums per series and on branch-week totals. We did not use MAPE, which is undefined whenever actual demand is zero. The overall winner is the method with the lowest WAPE across all folds; separately, we test whether choosing a method for each series on the first four folds beats a single method on the last four.</w:t>
      </w:r>
    </w:p>
    <w:p w14:paraId="0ED50672">
      <w:pPr>
        <w:pStyle w:val="4"/>
      </w:pPr>
      <w:bookmarkStart w:id="42" w:name="_Toc32027"/>
      <w:r>
        <w:t>From forecast error to safety stock</w:t>
      </w:r>
      <w:bookmarkEnd w:id="42"/>
    </w:p>
    <w:p w14:paraId="79535D16">
      <w:r>
        <w:t>For each leading method, we estimated each series' weekly forecast error from the first four folds and set a safety stock of z × σ × √L, where σ is the root-mean-square weekly error, L is the two-week lead time and z = 1.645 corresponds to a 95% cycle service level (Silver et al., 2017). We then tested these buffers on the last four folds, March to June 2024, recording how often two-week demand exceeded forecast plus buffer (the achieved cycle service level), the share of units served from cover (fill rate), and the stock left over at the end of each cycle. This calibrate-then-test design ensures that buffer performance is also measured out of sample.</w:t>
      </w:r>
    </w:p>
    <w:p w14:paraId="19C6E79D">
      <w:pPr>
        <w:pStyle w:val="4"/>
      </w:pPr>
      <w:bookmarkStart w:id="43" w:name="_Toc14118"/>
      <w:r>
        <w:t>Tools and technologies</w:t>
      </w:r>
      <w:bookmarkEnd w:id="43"/>
    </w:p>
    <w:p w14:paraId="7656B05E">
      <w:r>
        <w:t>All analysis was carried out in Python. We used pandas for data preparation, statsmodels for ARIMA (Seabold &amp; Perktold, 2010), scikit-learn for the random forest (Pedregosa et al., 2011), LightGBM for gradient boosting (Ke et al., 2017) and matplotlib for exhibits. The planner dashboard is built in Streamlit with Plotly charts. We chose this stack because it is open-source, widely supported and runs on a standard laptop: the full backtest of twelve methods across eight folds completes in about four minutes, short enough to rerun every week.</w:t>
      </w:r>
    </w:p>
    <w:p w14:paraId="239A02D4">
      <w:r>
        <w:t>We considered and set aside two alternatives. Deep-learning sequence models generally need far longer histories than 103 weeks to outperform tree ensembles, and are harder for planners to interrogate. Hierarchical reconciliation (for example, MinT; Wickramasuriya et al., 2019) is implemented in the project codebase but was not part of the final evaluation, because the immediate decision is at SKU × branch level, where bottom-up branch and regional totals are coherent by construction.</w:t>
      </w:r>
    </w:p>
    <w:p w14:paraId="6FFF3F48">
      <w:pPr>
        <w:spacing w:after="60"/>
      </w:pPr>
    </w:p>
    <w:tbl>
      <w:tblPr>
        <w:tblStyle w:val="9"/>
        <w:tblW w:w="9360" w:type="dxa"/>
        <w:tblInd w:w="0" w:type="dxa"/>
        <w:tblBorders>
          <w:top w:val="none" w:color="auto" w:sz="0" w:space="0"/>
          <w:left w:val="single" w:color="0F6B72" w:sz="24"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360"/>
      </w:tblGrid>
      <w:tr w14:paraId="5CE75E01">
        <w:tblPrEx>
          <w:tblBorders>
            <w:top w:val="none" w:color="auto" w:sz="0" w:space="0"/>
            <w:left w:val="single" w:color="0F6B72" w:sz="24"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9360" w:type="dxa"/>
            <w:shd w:val="clear" w:color="auto" w:fill="EAF1F1"/>
            <w:tcMar>
              <w:top w:w="120" w:type="dxa"/>
              <w:left w:w="200" w:type="dxa"/>
              <w:bottom w:w="120" w:type="dxa"/>
              <w:right w:w="200" w:type="dxa"/>
            </w:tcMar>
          </w:tcPr>
          <w:p w14:paraId="5D6A9A83">
            <w:pPr>
              <w:pStyle w:val="28"/>
            </w:pPr>
            <w:r>
              <w:t>Key Takeaways</w:t>
            </w:r>
          </w:p>
          <w:p w14:paraId="7BB2A7BC">
            <w:pPr>
              <w:pStyle w:val="29"/>
              <w:numPr>
                <w:ilvl w:val="0"/>
                <w:numId w:val="4"/>
              </w:numPr>
            </w:pPr>
            <w:r>
              <w:t>Every method was judged the way it would be used: forecasting four unseen weeks from eight successive origins spanning the 2023-24 season.</w:t>
            </w:r>
          </w:p>
          <w:p w14:paraId="5445F213">
            <w:pPr>
              <w:pStyle w:val="29"/>
              <w:numPr>
                <w:ilvl w:val="0"/>
                <w:numId w:val="4"/>
              </w:numPr>
            </w:pPr>
            <w:r>
              <w:t>The assumption most likely to move the results is the treatment of the April to June 2024 duplicates, which changes recent demand by about a quarter.</w:t>
            </w:r>
          </w:p>
        </w:tc>
      </w:tr>
    </w:tbl>
    <w:p w14:paraId="4AD9C079">
      <w:pPr>
        <w:pStyle w:val="2"/>
      </w:pPr>
      <w:bookmarkStart w:id="44" w:name="_Toc31922"/>
      <w:r>
        <w:t>Chapter 5: Exploratory Data Analysis</w:t>
      </w:r>
      <w:bookmarkEnd w:id="44"/>
    </w:p>
    <w:p w14:paraId="449B8DEB">
      <w:r>
        <w:t>Exploratory analysis answered one question for the rest of the project: what must a forecasting method cope with? The answer has four parts: a data structure that changes in the final quarter, a seasonal profile with two peaks, a demand base concentrated in a few models, branches and customers, and series so sparse that most weeks record no sale at all.</w:t>
      </w:r>
    </w:p>
    <w:p w14:paraId="70BC4C77">
      <w:pPr>
        <w:pStyle w:val="3"/>
      </w:pPr>
      <w:bookmarkStart w:id="45" w:name="_Toc309"/>
      <w:r>
        <w:t>5.1  Data Quality and Cleaning</w:t>
      </w:r>
      <w:bookmarkEnd w:id="45"/>
    </w:p>
    <w:p w14:paraId="2656ADD2">
      <w:r>
        <w:t>Table 5.1 lists the quality issues we found and how each was treated, and Figure 5.1 traces the resulting reduction from 82,034 raw rows to 66,336 positive outdoor-unit demand lines carrying 698,904 units.</w:t>
      </w:r>
    </w:p>
    <w:p w14:paraId="1C0D466C">
      <w:pPr>
        <w:pStyle w:val="10"/>
        <w:keepNext/>
      </w:pPr>
      <w:r>
        <w:t>Table 5.</w:t>
      </w:r>
      <w:r>
        <w:fldChar w:fldCharType="begin"/>
      </w:r>
      <w:r>
        <w:instrText xml:space="preserve">SEQ Table \* ARABIC \s 1</w:instrText>
      </w:r>
      <w:r>
        <w:fldChar w:fldCharType="separate"/>
      </w:r>
      <w:r>
        <w:t>1</w:t>
      </w:r>
      <w:r>
        <w:fldChar w:fldCharType="end"/>
      </w:r>
      <w:bookmarkStart w:id="46" w:name="_Toc29635"/>
      <w:r>
        <w:t>: Data quality issues and their treatment</w:t>
      </w:r>
      <w:bookmarkEnd w:id="46"/>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2700"/>
        <w:gridCol w:w="3700"/>
        <w:gridCol w:w="2960"/>
      </w:tblGrid>
      <w:tr w14:paraId="1FB3530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2700" w:type="dxa"/>
            <w:shd w:val="clear" w:color="auto" w:fill="1F3864"/>
            <w:tcMar>
              <w:top w:w="80" w:type="dxa"/>
              <w:left w:w="120" w:type="dxa"/>
              <w:bottom w:w="80" w:type="dxa"/>
              <w:right w:w="120" w:type="dxa"/>
            </w:tcMar>
            <w:vAlign w:val="center"/>
          </w:tcPr>
          <w:p w14:paraId="07929B26">
            <w:pPr>
              <w:pStyle w:val="27"/>
            </w:pPr>
            <w:r>
              <w:t>Issue</w:t>
            </w:r>
          </w:p>
        </w:tc>
        <w:tc>
          <w:tcPr>
            <w:tcW w:w="3700" w:type="dxa"/>
            <w:shd w:val="clear" w:color="auto" w:fill="1F3864"/>
            <w:tcMar>
              <w:top w:w="80" w:type="dxa"/>
              <w:left w:w="120" w:type="dxa"/>
              <w:bottom w:w="80" w:type="dxa"/>
              <w:right w:w="120" w:type="dxa"/>
            </w:tcMar>
            <w:vAlign w:val="center"/>
          </w:tcPr>
          <w:p w14:paraId="22D44E87">
            <w:pPr>
              <w:pStyle w:val="27"/>
            </w:pPr>
            <w:r>
              <w:t>Extent</w:t>
            </w:r>
          </w:p>
        </w:tc>
        <w:tc>
          <w:tcPr>
            <w:tcW w:w="2960" w:type="dxa"/>
            <w:shd w:val="clear" w:color="auto" w:fill="1F3864"/>
            <w:tcMar>
              <w:top w:w="80" w:type="dxa"/>
              <w:left w:w="120" w:type="dxa"/>
              <w:bottom w:w="80" w:type="dxa"/>
              <w:right w:w="120" w:type="dxa"/>
            </w:tcMar>
            <w:vAlign w:val="center"/>
          </w:tcPr>
          <w:p w14:paraId="53693D8E">
            <w:pPr>
              <w:pStyle w:val="27"/>
            </w:pPr>
            <w:r>
              <w:t>Treatment</w:t>
            </w:r>
          </w:p>
        </w:tc>
      </w:tr>
      <w:tr w14:paraId="0160FB8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700" w:type="dxa"/>
            <w:tcMar>
              <w:top w:w="80" w:type="dxa"/>
              <w:left w:w="120" w:type="dxa"/>
              <w:bottom w:w="80" w:type="dxa"/>
              <w:right w:w="120" w:type="dxa"/>
            </w:tcMar>
          </w:tcPr>
          <w:p w14:paraId="15FB72D7">
            <w:pPr>
              <w:pStyle w:val="26"/>
            </w:pPr>
            <w:r>
              <w:rPr>
                <w:b/>
                <w:bCs/>
                <w:color w:val="1F3864"/>
              </w:rPr>
              <w:t>Exact duplicate rows</w:t>
            </w:r>
          </w:p>
        </w:tc>
        <w:tc>
          <w:tcPr>
            <w:tcW w:w="3700" w:type="dxa"/>
            <w:tcMar>
              <w:top w:w="80" w:type="dxa"/>
              <w:left w:w="120" w:type="dxa"/>
              <w:bottom w:w="80" w:type="dxa"/>
              <w:right w:w="120" w:type="dxa"/>
            </w:tcMar>
          </w:tcPr>
          <w:p w14:paraId="40798170">
            <w:pPr>
              <w:pStyle w:val="26"/>
            </w:pPr>
            <w:r>
              <w:t>4,463 rows (5.44%), all Apr-Jun 2024, in groups of two to six or more identical lines</w:t>
            </w:r>
          </w:p>
        </w:tc>
        <w:tc>
          <w:tcPr>
            <w:tcW w:w="2960" w:type="dxa"/>
            <w:tcMar>
              <w:top w:w="80" w:type="dxa"/>
              <w:left w:w="120" w:type="dxa"/>
              <w:bottom w:w="80" w:type="dxa"/>
              <w:right w:w="120" w:type="dxa"/>
            </w:tcMar>
          </w:tcPr>
          <w:p w14:paraId="4ABFF69A">
            <w:pPr>
              <w:pStyle w:val="26"/>
            </w:pPr>
            <w:r>
              <w:t>Removed; sensitivity reported below</w:t>
            </w:r>
          </w:p>
        </w:tc>
      </w:tr>
      <w:tr w14:paraId="14C150B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700" w:type="dxa"/>
            <w:shd w:val="clear" w:color="auto" w:fill="F5F7F7"/>
            <w:tcMar>
              <w:top w:w="80" w:type="dxa"/>
              <w:left w:w="120" w:type="dxa"/>
              <w:bottom w:w="80" w:type="dxa"/>
              <w:right w:w="120" w:type="dxa"/>
            </w:tcMar>
          </w:tcPr>
          <w:p w14:paraId="0EA0D788">
            <w:pPr>
              <w:pStyle w:val="26"/>
            </w:pPr>
            <w:r>
              <w:rPr>
                <w:b/>
                <w:bCs/>
                <w:color w:val="1F3864"/>
              </w:rPr>
              <w:t>Indoor-unit lines</w:t>
            </w:r>
          </w:p>
        </w:tc>
        <w:tc>
          <w:tcPr>
            <w:tcW w:w="3700" w:type="dxa"/>
            <w:shd w:val="clear" w:color="auto" w:fill="F5F7F7"/>
            <w:tcMar>
              <w:top w:w="80" w:type="dxa"/>
              <w:left w:w="120" w:type="dxa"/>
              <w:bottom w:w="80" w:type="dxa"/>
              <w:right w:w="120" w:type="dxa"/>
            </w:tcMar>
          </w:tcPr>
          <w:p w14:paraId="0F5582D1">
            <w:pPr>
              <w:pStyle w:val="26"/>
            </w:pPr>
            <w:r>
              <w:t>9,585 lines after de-duplication, all Apr-Jun 2024</w:t>
            </w:r>
          </w:p>
        </w:tc>
        <w:tc>
          <w:tcPr>
            <w:tcW w:w="2960" w:type="dxa"/>
            <w:shd w:val="clear" w:color="auto" w:fill="F5F7F7"/>
            <w:tcMar>
              <w:top w:w="80" w:type="dxa"/>
              <w:left w:w="120" w:type="dxa"/>
              <w:bottom w:w="80" w:type="dxa"/>
              <w:right w:w="120" w:type="dxa"/>
            </w:tcMar>
          </w:tcPr>
          <w:p w14:paraId="37ECAFC2">
            <w:pPr>
              <w:pStyle w:val="26"/>
            </w:pPr>
            <w:r>
              <w:t>Set aside; IDU demand is paired with ODU demand</w:t>
            </w:r>
          </w:p>
        </w:tc>
      </w:tr>
      <w:tr w14:paraId="3D9D1317">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700" w:type="dxa"/>
            <w:tcMar>
              <w:top w:w="80" w:type="dxa"/>
              <w:left w:w="120" w:type="dxa"/>
              <w:bottom w:w="80" w:type="dxa"/>
              <w:right w:w="120" w:type="dxa"/>
            </w:tcMar>
          </w:tcPr>
          <w:p w14:paraId="74A76887">
            <w:pPr>
              <w:pStyle w:val="26"/>
            </w:pPr>
            <w:r>
              <w:rPr>
                <w:b/>
                <w:bCs/>
                <w:color w:val="1F3864"/>
              </w:rPr>
              <w:t>Returns and credit notes</w:t>
            </w:r>
          </w:p>
        </w:tc>
        <w:tc>
          <w:tcPr>
            <w:tcW w:w="3700" w:type="dxa"/>
            <w:tcMar>
              <w:top w:w="80" w:type="dxa"/>
              <w:left w:w="120" w:type="dxa"/>
              <w:bottom w:w="80" w:type="dxa"/>
              <w:right w:w="120" w:type="dxa"/>
            </w:tcMar>
          </w:tcPr>
          <w:p w14:paraId="00AC96AC">
            <w:pPr>
              <w:pStyle w:val="26"/>
            </w:pPr>
            <w:r>
              <w:t>1,406 ODU lines, 5,820 units (0.83% of units)</w:t>
            </w:r>
          </w:p>
        </w:tc>
        <w:tc>
          <w:tcPr>
            <w:tcW w:w="2960" w:type="dxa"/>
            <w:tcMar>
              <w:top w:w="80" w:type="dxa"/>
              <w:left w:w="120" w:type="dxa"/>
              <w:bottom w:w="80" w:type="dxa"/>
              <w:right w:w="120" w:type="dxa"/>
            </w:tcMar>
          </w:tcPr>
          <w:p w14:paraId="41A5856F">
            <w:pPr>
              <w:pStyle w:val="26"/>
            </w:pPr>
            <w:r>
              <w:t>Excluded from demand; reported separately</w:t>
            </w:r>
          </w:p>
        </w:tc>
      </w:tr>
      <w:tr w14:paraId="3D376CAA">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700" w:type="dxa"/>
            <w:shd w:val="clear" w:color="auto" w:fill="F5F7F7"/>
            <w:tcMar>
              <w:top w:w="80" w:type="dxa"/>
              <w:left w:w="120" w:type="dxa"/>
              <w:bottom w:w="80" w:type="dxa"/>
              <w:right w:w="120" w:type="dxa"/>
            </w:tcMar>
          </w:tcPr>
          <w:p w14:paraId="4BADEAE7">
            <w:pPr>
              <w:pStyle w:val="26"/>
            </w:pPr>
            <w:r>
              <w:rPr>
                <w:b/>
                <w:bCs/>
                <w:color w:val="1F3864"/>
              </w:rPr>
              <w:t>Zero-quantity lines</w:t>
            </w:r>
          </w:p>
        </w:tc>
        <w:tc>
          <w:tcPr>
            <w:tcW w:w="3700" w:type="dxa"/>
            <w:shd w:val="clear" w:color="auto" w:fill="F5F7F7"/>
            <w:tcMar>
              <w:top w:w="80" w:type="dxa"/>
              <w:left w:w="120" w:type="dxa"/>
              <w:bottom w:w="80" w:type="dxa"/>
              <w:right w:w="120" w:type="dxa"/>
            </w:tcMar>
          </w:tcPr>
          <w:p w14:paraId="27550E1C">
            <w:pPr>
              <w:pStyle w:val="26"/>
            </w:pPr>
            <w:r>
              <w:t>243 ODU lines</w:t>
            </w:r>
          </w:p>
        </w:tc>
        <w:tc>
          <w:tcPr>
            <w:tcW w:w="2960" w:type="dxa"/>
            <w:shd w:val="clear" w:color="auto" w:fill="F5F7F7"/>
            <w:tcMar>
              <w:top w:w="80" w:type="dxa"/>
              <w:left w:w="120" w:type="dxa"/>
              <w:bottom w:w="80" w:type="dxa"/>
              <w:right w:w="120" w:type="dxa"/>
            </w:tcMar>
          </w:tcPr>
          <w:p w14:paraId="117E0900">
            <w:pPr>
              <w:pStyle w:val="26"/>
            </w:pPr>
            <w:r>
              <w:t>Removed (no demand recorded)</w:t>
            </w:r>
          </w:p>
        </w:tc>
      </w:tr>
      <w:tr w14:paraId="35BD36B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700" w:type="dxa"/>
            <w:tcMar>
              <w:top w:w="80" w:type="dxa"/>
              <w:left w:w="120" w:type="dxa"/>
              <w:bottom w:w="80" w:type="dxa"/>
              <w:right w:w="120" w:type="dxa"/>
            </w:tcMar>
          </w:tcPr>
          <w:p w14:paraId="193FA11E">
            <w:pPr>
              <w:pStyle w:val="26"/>
            </w:pPr>
            <w:r>
              <w:rPr>
                <w:b/>
                <w:bCs/>
                <w:color w:val="1F3864"/>
              </w:rPr>
              <w:t>Blank invoice, item, storage and dealer fields</w:t>
            </w:r>
          </w:p>
        </w:tc>
        <w:tc>
          <w:tcPr>
            <w:tcW w:w="3700" w:type="dxa"/>
            <w:tcMar>
              <w:top w:w="80" w:type="dxa"/>
              <w:left w:w="120" w:type="dxa"/>
              <w:bottom w:w="80" w:type="dxa"/>
              <w:right w:w="120" w:type="dxa"/>
            </w:tcMar>
          </w:tcPr>
          <w:p w14:paraId="4175B794">
            <w:pPr>
              <w:pStyle w:val="26"/>
            </w:pPr>
            <w:r>
              <w:t>All 23,603 rows of Apr-Jun 2024</w:t>
            </w:r>
          </w:p>
        </w:tc>
        <w:tc>
          <w:tcPr>
            <w:tcW w:w="2960" w:type="dxa"/>
            <w:tcMar>
              <w:top w:w="80" w:type="dxa"/>
              <w:left w:w="120" w:type="dxa"/>
              <w:bottom w:w="80" w:type="dxa"/>
              <w:right w:w="120" w:type="dxa"/>
            </w:tcMar>
          </w:tcPr>
          <w:p w14:paraId="3CD19127">
            <w:pPr>
              <w:pStyle w:val="26"/>
            </w:pPr>
            <w:r>
              <w:t>Fields not used for modelling; flagged to sponsor</w:t>
            </w:r>
          </w:p>
        </w:tc>
      </w:tr>
      <w:tr w14:paraId="58F51738">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700" w:type="dxa"/>
            <w:shd w:val="clear" w:color="auto" w:fill="F5F7F7"/>
            <w:tcMar>
              <w:top w:w="80" w:type="dxa"/>
              <w:left w:w="120" w:type="dxa"/>
              <w:bottom w:w="80" w:type="dxa"/>
              <w:right w:w="120" w:type="dxa"/>
            </w:tcMar>
          </w:tcPr>
          <w:p w14:paraId="3E97EC09">
            <w:pPr>
              <w:pStyle w:val="26"/>
            </w:pPr>
            <w:r>
              <w:rPr>
                <w:b/>
                <w:bCs/>
                <w:color w:val="1F3864"/>
              </w:rPr>
              <w:t>Redundant and empty columns</w:t>
            </w:r>
          </w:p>
        </w:tc>
        <w:tc>
          <w:tcPr>
            <w:tcW w:w="3700" w:type="dxa"/>
            <w:shd w:val="clear" w:color="auto" w:fill="F5F7F7"/>
            <w:tcMar>
              <w:top w:w="80" w:type="dxa"/>
              <w:left w:w="120" w:type="dxa"/>
              <w:bottom w:w="80" w:type="dxa"/>
              <w:right w:w="120" w:type="dxa"/>
            </w:tcMar>
          </w:tcPr>
          <w:p w14:paraId="171B6D3C">
            <w:pPr>
              <w:pStyle w:val="26"/>
            </w:pPr>
            <w:r>
              <w:t>3 duplicate columns; 1 column 99.8% empty</w:t>
            </w:r>
          </w:p>
        </w:tc>
        <w:tc>
          <w:tcPr>
            <w:tcW w:w="2960" w:type="dxa"/>
            <w:shd w:val="clear" w:color="auto" w:fill="F5F7F7"/>
            <w:tcMar>
              <w:top w:w="80" w:type="dxa"/>
              <w:left w:w="120" w:type="dxa"/>
              <w:bottom w:w="80" w:type="dxa"/>
              <w:right w:w="120" w:type="dxa"/>
            </w:tcMar>
          </w:tcPr>
          <w:p w14:paraId="40183A48">
            <w:pPr>
              <w:pStyle w:val="26"/>
            </w:pPr>
            <w:r>
              <w:t>Dropped</w:t>
            </w:r>
          </w:p>
        </w:tc>
      </w:tr>
      <w:tr w14:paraId="19D4483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700" w:type="dxa"/>
            <w:tcMar>
              <w:top w:w="80" w:type="dxa"/>
              <w:left w:w="120" w:type="dxa"/>
              <w:bottom w:w="80" w:type="dxa"/>
              <w:right w:w="120" w:type="dxa"/>
            </w:tcMar>
          </w:tcPr>
          <w:p w14:paraId="15AE8B84">
            <w:pPr>
              <w:pStyle w:val="26"/>
            </w:pPr>
            <w:r>
              <w:rPr>
                <w:b/>
                <w:bCs/>
                <w:color w:val="1F3864"/>
              </w:rPr>
              <w:t>Inconsistent labels</w:t>
            </w:r>
          </w:p>
        </w:tc>
        <w:tc>
          <w:tcPr>
            <w:tcW w:w="3700" w:type="dxa"/>
            <w:tcMar>
              <w:top w:w="80" w:type="dxa"/>
              <w:left w:w="120" w:type="dxa"/>
              <w:bottom w:w="80" w:type="dxa"/>
              <w:right w:w="120" w:type="dxa"/>
            </w:tcMar>
          </w:tcPr>
          <w:p w14:paraId="4B7CB79B">
            <w:pPr>
              <w:pStyle w:val="26"/>
            </w:pPr>
            <w:r>
              <w:t>41 rows with '3 star' vs '3 Star'</w:t>
            </w:r>
          </w:p>
        </w:tc>
        <w:tc>
          <w:tcPr>
            <w:tcW w:w="2960" w:type="dxa"/>
            <w:tcMar>
              <w:top w:w="80" w:type="dxa"/>
              <w:left w:w="120" w:type="dxa"/>
              <w:bottom w:w="80" w:type="dxa"/>
              <w:right w:w="120" w:type="dxa"/>
            </w:tcMar>
          </w:tcPr>
          <w:p w14:paraId="237B5A36">
            <w:pPr>
              <w:pStyle w:val="26"/>
            </w:pPr>
            <w:r>
              <w:t>Standardised</w:t>
            </w:r>
          </w:p>
        </w:tc>
      </w:tr>
      <w:tr w14:paraId="1525B9D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700" w:type="dxa"/>
            <w:shd w:val="clear" w:color="auto" w:fill="F5F7F7"/>
            <w:tcMar>
              <w:top w:w="80" w:type="dxa"/>
              <w:left w:w="120" w:type="dxa"/>
              <w:bottom w:w="80" w:type="dxa"/>
              <w:right w:w="120" w:type="dxa"/>
            </w:tcMar>
          </w:tcPr>
          <w:p w14:paraId="2975CACC">
            <w:pPr>
              <w:pStyle w:val="26"/>
            </w:pPr>
            <w:r>
              <w:rPr>
                <w:b/>
                <w:bCs/>
                <w:color w:val="1F3864"/>
              </w:rPr>
              <w:t>Blank trailing row</w:t>
            </w:r>
          </w:p>
        </w:tc>
        <w:tc>
          <w:tcPr>
            <w:tcW w:w="3700" w:type="dxa"/>
            <w:shd w:val="clear" w:color="auto" w:fill="F5F7F7"/>
            <w:tcMar>
              <w:top w:w="80" w:type="dxa"/>
              <w:left w:w="120" w:type="dxa"/>
              <w:bottom w:w="80" w:type="dxa"/>
              <w:right w:w="120" w:type="dxa"/>
            </w:tcMar>
          </w:tcPr>
          <w:p w14:paraId="7D113F5A">
            <w:pPr>
              <w:pStyle w:val="26"/>
            </w:pPr>
            <w:r>
              <w:t>1 row</w:t>
            </w:r>
          </w:p>
        </w:tc>
        <w:tc>
          <w:tcPr>
            <w:tcW w:w="2960" w:type="dxa"/>
            <w:shd w:val="clear" w:color="auto" w:fill="F5F7F7"/>
            <w:tcMar>
              <w:top w:w="80" w:type="dxa"/>
              <w:left w:w="120" w:type="dxa"/>
              <w:bottom w:w="80" w:type="dxa"/>
              <w:right w:w="120" w:type="dxa"/>
            </w:tcMar>
          </w:tcPr>
          <w:p w14:paraId="54E75A51">
            <w:pPr>
              <w:pStyle w:val="26"/>
            </w:pPr>
            <w:r>
              <w:t>Removed</w:t>
            </w:r>
          </w:p>
        </w:tc>
      </w:tr>
    </w:tbl>
    <w:p w14:paraId="19531008">
      <w:pPr>
        <w:pStyle w:val="25"/>
      </w:pPr>
      <w:r>
        <w:t>Source: Sponsor ERP billing extract, July 2022 - June 2024; team analysis.</w:t>
      </w:r>
    </w:p>
    <w:p w14:paraId="566528CB">
      <w:pPr>
        <w:keepNext/>
        <w:spacing w:before="120" w:after="40" w:line="240" w:lineRule="auto"/>
        <w:jc w:val="center"/>
      </w:pPr>
      <w:r>
        <w:drawing>
          <wp:inline distT="0" distB="0" distL="114300" distR="114300">
            <wp:extent cx="5760720" cy="2229485"/>
            <wp:effectExtent l="0" t="0" r="508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760720" cy="2229733"/>
                    </a:xfrm>
                    <a:prstGeom prst="rect">
                      <a:avLst/>
                    </a:prstGeom>
                  </pic:spPr>
                </pic:pic>
              </a:graphicData>
            </a:graphic>
          </wp:inline>
        </w:drawing>
      </w:r>
    </w:p>
    <w:p w14:paraId="3022244F">
      <w:pPr>
        <w:pStyle w:val="10"/>
        <w:jc w:val="center"/>
      </w:pPr>
      <w:r>
        <w:t>Figure 5.</w:t>
      </w:r>
      <w:r>
        <w:fldChar w:fldCharType="begin"/>
      </w:r>
      <w:r>
        <w:instrText xml:space="preserve">SEQ Figure \* ARABIC \s 1</w:instrText>
      </w:r>
      <w:r>
        <w:fldChar w:fldCharType="separate"/>
      </w:r>
      <w:r>
        <w:t>1</w:t>
      </w:r>
      <w:r>
        <w:fldChar w:fldCharType="end"/>
      </w:r>
      <w:bookmarkStart w:id="47" w:name="_Toc12745"/>
      <w:r>
        <w:t>: From raw ERP rows to outdoor-unit demand lines</w:t>
      </w:r>
      <w:bookmarkEnd w:id="47"/>
    </w:p>
    <w:p w14:paraId="3CCD270A">
      <w:pPr>
        <w:pStyle w:val="25"/>
        <w:jc w:val="center"/>
      </w:pPr>
      <w:r>
        <w:t>Source: Sponsor ERP billing extract, July 2022 - June 2024; team analysis.</w:t>
      </w:r>
    </w:p>
    <w:p w14:paraId="7181AC17">
      <w:r>
        <w:t>The duplicate decision deserves scrutiny because it cannot be verified from the data alone. Without invoice numbers, two identical lines in April to June 2024 could be one sale extracted twice or two genuine sales of the same model to the same buyer on the same day. Two facts favour removal: the first 21 months, which carry invoice numbers, contain no exact duplicates at all, and some lines repeat five or six times, which is implausible for genuine orders. Keeping the duplicates would raise April to June 2024 outdoor-unit volume by 26%, from 137,992 to 174,268 units. We therefore treat our de-duplicated figures as the conservative estimate, and recommend that the sponsor resolve the question from source invoices (Chapter 9).</w:t>
      </w:r>
    </w:p>
    <w:p w14:paraId="73020151">
      <w:r>
        <w:t>A related correction concerns earlier project work. Interim analyses counted all 154 material codes as separate products and added indoor-unit to outdoor-unit quantities. Because indoor lines exist only from April 2024, that definition doubled apparent demand in the final quarter and, by adding 84 indoor codes with only 13 weeks of history, overstated the share of sparse series. All figures in this report use the corrected definition and supersede those interim figures.</w:t>
      </w:r>
    </w:p>
    <w:p w14:paraId="04A77066">
      <w:pPr>
        <w:pStyle w:val="3"/>
      </w:pPr>
      <w:bookmarkStart w:id="48" w:name="_Toc9133"/>
      <w:r>
        <w:t>5.2  Volume over Time and Seasonality</w:t>
      </w:r>
      <w:bookmarkEnd w:id="48"/>
    </w:p>
    <w:p w14:paraId="438583C8">
      <w:r>
        <w:t>Weekly demand is highly volatile even at portfolio level: the coefficient of variation of weekly volume is 0.91, and weekly totals ranged from 136 to 24,938 units (Figure 5.2). The business also grew rapidly: outdoor-unit volume from July to March rose 68.1% from 2022-23 to 2023-24, and April to June 2024 was 49.1% above the same quarter of 2023 even after removing duplicates. A forecasting method that anchors on last year's level, such as a seasonal naive rule, will therefore under-forecast systematically.</w:t>
      </w:r>
    </w:p>
    <w:p w14:paraId="03076DA5">
      <w:pPr>
        <w:keepNext/>
        <w:spacing w:before="120" w:after="40" w:line="240" w:lineRule="auto"/>
        <w:jc w:val="center"/>
      </w:pPr>
      <w:r>
        <w:drawing>
          <wp:inline distT="0" distB="0" distL="114300" distR="114300">
            <wp:extent cx="5760720" cy="2519045"/>
            <wp:effectExtent l="0" t="0" r="508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760720" cy="2519532"/>
                    </a:xfrm>
                    <a:prstGeom prst="rect">
                      <a:avLst/>
                    </a:prstGeom>
                  </pic:spPr>
                </pic:pic>
              </a:graphicData>
            </a:graphic>
          </wp:inline>
        </w:drawing>
      </w:r>
    </w:p>
    <w:p w14:paraId="19993C5A">
      <w:pPr>
        <w:pStyle w:val="10"/>
        <w:jc w:val="center"/>
      </w:pPr>
      <w:r>
        <w:t>Figure 5.</w:t>
      </w:r>
      <w:r>
        <w:fldChar w:fldCharType="begin"/>
      </w:r>
      <w:r>
        <w:instrText xml:space="preserve">SEQ Figure \* ARABIC \s 1</w:instrText>
      </w:r>
      <w:r>
        <w:fldChar w:fldCharType="separate"/>
      </w:r>
      <w:r>
        <w:t>2</w:t>
      </w:r>
      <w:r>
        <w:fldChar w:fldCharType="end"/>
      </w:r>
      <w:bookmarkStart w:id="49" w:name="_Toc21132"/>
      <w:r>
        <w:t>: Weekly outdoor-unit demand across all branches and models</w:t>
      </w:r>
      <w:bookmarkEnd w:id="49"/>
    </w:p>
    <w:p w14:paraId="3EDD8434">
      <w:pPr>
        <w:pStyle w:val="25"/>
        <w:jc w:val="center"/>
      </w:pPr>
      <w:r>
        <w:t>Source: Sponsor ERP billing extract, July 2022 - June 2024; team analysis.</w:t>
      </w:r>
    </w:p>
    <w:p w14:paraId="38F06E23">
      <w:r>
        <w:t>Figure 5.3 expresses each calendar month's volume as a ratio to the average month, separately for each year. Two peaks are clear. The summer peak runs from February to May, which together account for 54.8% of annual volume, with March and April at about twice the monthly average. A second, sharp peak in December (14.5% of volume) coincides with year-end billing rather than weather, and is consistent with channel stocking by dealers. The monsoon trough is deep: July runs at 0.14 to 0.3 times the average month. The shape is stable across the two years, but the timing shifted: in 2024 the peak arrived earlier and was more concentrated in March and April.</w:t>
      </w:r>
    </w:p>
    <w:p w14:paraId="38CE2E42">
      <w:pPr>
        <w:keepNext/>
        <w:spacing w:before="120" w:after="40" w:line="240" w:lineRule="auto"/>
        <w:jc w:val="center"/>
      </w:pPr>
      <w:r>
        <w:drawing>
          <wp:inline distT="0" distB="0" distL="114300" distR="114300">
            <wp:extent cx="5760720" cy="2530475"/>
            <wp:effectExtent l="0" t="0" r="508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760720" cy="2530527"/>
                    </a:xfrm>
                    <a:prstGeom prst="rect">
                      <a:avLst/>
                    </a:prstGeom>
                  </pic:spPr>
                </pic:pic>
              </a:graphicData>
            </a:graphic>
          </wp:inline>
        </w:drawing>
      </w:r>
    </w:p>
    <w:p w14:paraId="2BDCD4A3">
      <w:pPr>
        <w:pStyle w:val="10"/>
        <w:jc w:val="center"/>
      </w:pPr>
      <w:r>
        <w:t>Figure 5.</w:t>
      </w:r>
      <w:r>
        <w:fldChar w:fldCharType="begin"/>
      </w:r>
      <w:r>
        <w:instrText xml:space="preserve">SEQ Figure \* ARABIC \s 1</w:instrText>
      </w:r>
      <w:r>
        <w:fldChar w:fldCharType="separate"/>
      </w:r>
      <w:r>
        <w:t>3</w:t>
      </w:r>
      <w:r>
        <w:fldChar w:fldCharType="end"/>
      </w:r>
      <w:bookmarkStart w:id="50" w:name="_Toc26469"/>
      <w:r>
        <w:t>: Seasonal index of outdoor-unit volume by calendar month, two years compared</w:t>
      </w:r>
      <w:bookmarkEnd w:id="50"/>
    </w:p>
    <w:p w14:paraId="69F2491B">
      <w:pPr>
        <w:pStyle w:val="25"/>
        <w:jc w:val="center"/>
      </w:pPr>
      <w:r>
        <w:t>Source: Sponsor ERP billing extract, July 2022 - June 2024; team analysis.</w:t>
      </w:r>
    </w:p>
    <w:p w14:paraId="120EB4A7">
      <w:pPr>
        <w:pStyle w:val="3"/>
      </w:pPr>
      <w:bookmarkStart w:id="51" w:name="_Toc24050"/>
      <w:r>
        <w:t>5.3  Branches</w:t>
      </w:r>
      <w:bookmarkEnd w:id="51"/>
    </w:p>
    <w:p w14:paraId="15D8386D">
      <w:r>
        <w:t>Volume is concentrated in two branches: MAA accounts for 35.1% and SBD for 28.3% of outdoor-unit volume (Figure 5.4). Growth, however, is fastest in the smaller branches: COK grew 144% and SBD1 121% between the July-to-March periods of the two years, compared with about 50% for the larger branches. Fast growth erodes the value of history, because last year's pattern describes a smaller business, so these branches are where a forecast that adapts quickly to recent levels matters most.</w:t>
      </w:r>
    </w:p>
    <w:p w14:paraId="77758934">
      <w:pPr>
        <w:keepNext/>
        <w:spacing w:before="120" w:after="40" w:line="240" w:lineRule="auto"/>
        <w:jc w:val="center"/>
      </w:pPr>
      <w:r>
        <w:drawing>
          <wp:inline distT="0" distB="0" distL="114300" distR="114300">
            <wp:extent cx="5760720" cy="2190115"/>
            <wp:effectExtent l="0" t="0" r="508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760720" cy="2190696"/>
                    </a:xfrm>
                    <a:prstGeom prst="rect">
                      <a:avLst/>
                    </a:prstGeom>
                  </pic:spPr>
                </pic:pic>
              </a:graphicData>
            </a:graphic>
          </wp:inline>
        </w:drawing>
      </w:r>
    </w:p>
    <w:p w14:paraId="2F16A441">
      <w:pPr>
        <w:pStyle w:val="10"/>
        <w:jc w:val="center"/>
      </w:pPr>
      <w:r>
        <w:t>Figure 5.</w:t>
      </w:r>
      <w:r>
        <w:fldChar w:fldCharType="begin"/>
      </w:r>
      <w:r>
        <w:instrText xml:space="preserve">SEQ Figure \* ARABIC \s 1</w:instrText>
      </w:r>
      <w:r>
        <w:fldChar w:fldCharType="separate"/>
      </w:r>
      <w:r>
        <w:t>4</w:t>
      </w:r>
      <w:r>
        <w:fldChar w:fldCharType="end"/>
      </w:r>
      <w:bookmarkStart w:id="52" w:name="_Toc11155"/>
      <w:r>
        <w:t>: Branch share of outdoor-unit volume and year-on-year growth</w:t>
      </w:r>
      <w:bookmarkEnd w:id="52"/>
    </w:p>
    <w:p w14:paraId="152C2CF0">
      <w:pPr>
        <w:pStyle w:val="25"/>
        <w:jc w:val="center"/>
      </w:pPr>
      <w:r>
        <w:t>Source: Sponsor ERP billing extract, July 2022 - June 2024; team analysis.</w:t>
      </w:r>
    </w:p>
    <w:p w14:paraId="7AD6357B">
      <w:pPr>
        <w:pStyle w:val="3"/>
      </w:pPr>
      <w:bookmarkStart w:id="53" w:name="_Toc29960"/>
      <w:r>
        <w:t>5.4  Products and Customers</w:t>
      </w:r>
      <w:bookmarkEnd w:id="53"/>
    </w:p>
    <w:p w14:paraId="148C14E7">
      <w:r>
        <w:t>Demand is concentrated in a small number of models. Of 70 outdoor models, 16 account for 80% of volume and the top ten for 66.4% (Figure 5.5). The portfolio is dominated by inverter models (80.7% of volume), by the 3-star and 5-star inverter ratings, and by the 1.5-ton capacity, which alone accounts for 65.6% (Figure 5.6). Customer demand is also concentrated: the ten largest of 2,351 customers account for 36.6% of units and the top 50 for 67.3%. A single large dealer order can therefore dominate a model's week at a branch, which is one source of the lumpiness discussed next.</w:t>
      </w:r>
    </w:p>
    <w:p w14:paraId="02C15DE7">
      <w:pPr>
        <w:keepNext/>
        <w:spacing w:before="120" w:after="40" w:line="240" w:lineRule="auto"/>
        <w:jc w:val="center"/>
      </w:pPr>
      <w:r>
        <w:drawing>
          <wp:inline distT="0" distB="0" distL="114300" distR="114300">
            <wp:extent cx="5760720" cy="2628265"/>
            <wp:effectExtent l="0" t="0" r="508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760720" cy="2628354"/>
                    </a:xfrm>
                    <a:prstGeom prst="rect">
                      <a:avLst/>
                    </a:prstGeom>
                  </pic:spPr>
                </pic:pic>
              </a:graphicData>
            </a:graphic>
          </wp:inline>
        </w:drawing>
      </w:r>
    </w:p>
    <w:p w14:paraId="190F10F8">
      <w:pPr>
        <w:pStyle w:val="10"/>
        <w:jc w:val="center"/>
      </w:pPr>
      <w:r>
        <w:t>Figure 5.</w:t>
      </w:r>
      <w:r>
        <w:fldChar w:fldCharType="begin"/>
      </w:r>
      <w:r>
        <w:instrText xml:space="preserve">SEQ Figure \* ARABIC \s 1</w:instrText>
      </w:r>
      <w:r>
        <w:fldChar w:fldCharType="separate"/>
      </w:r>
      <w:r>
        <w:t>5</w:t>
      </w:r>
      <w:r>
        <w:fldChar w:fldCharType="end"/>
      </w:r>
      <w:bookmarkStart w:id="54" w:name="_Toc21154"/>
      <w:r>
        <w:t>: Cumulative share of outdoor-unit volume by SKU (Pareto curve)</w:t>
      </w:r>
      <w:bookmarkEnd w:id="54"/>
    </w:p>
    <w:p w14:paraId="21D2C086">
      <w:pPr>
        <w:pStyle w:val="25"/>
        <w:jc w:val="center"/>
      </w:pPr>
      <w:r>
        <w:t>Source: Sponsor ERP billing extract, July 2022 - June 2024; team analysis.</w:t>
      </w:r>
    </w:p>
    <w:p w14:paraId="1B9A53A1">
      <w:pPr>
        <w:keepNext/>
        <w:spacing w:before="120" w:after="40" w:line="240" w:lineRule="auto"/>
        <w:jc w:val="center"/>
      </w:pPr>
      <w:r>
        <w:drawing>
          <wp:inline distT="0" distB="0" distL="114300" distR="114300">
            <wp:extent cx="5760720" cy="1949450"/>
            <wp:effectExtent l="0" t="0" r="508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760720" cy="1949782"/>
                    </a:xfrm>
                    <a:prstGeom prst="rect">
                      <a:avLst/>
                    </a:prstGeom>
                  </pic:spPr>
                </pic:pic>
              </a:graphicData>
            </a:graphic>
          </wp:inline>
        </w:drawing>
      </w:r>
    </w:p>
    <w:p w14:paraId="5F7954F8">
      <w:pPr>
        <w:pStyle w:val="10"/>
        <w:jc w:val="center"/>
      </w:pPr>
      <w:r>
        <w:t>Figure 5.</w:t>
      </w:r>
      <w:r>
        <w:fldChar w:fldCharType="begin"/>
      </w:r>
      <w:r>
        <w:instrText xml:space="preserve">SEQ Figure \* ARABIC \s 1</w:instrText>
      </w:r>
      <w:r>
        <w:fldChar w:fldCharType="separate"/>
      </w:r>
      <w:r>
        <w:t>6</w:t>
      </w:r>
      <w:r>
        <w:fldChar w:fldCharType="end"/>
      </w:r>
      <w:bookmarkStart w:id="55" w:name="_Toc6066"/>
      <w:r>
        <w:t>: Outdoor-unit volume by segment, star rating and tonnage</w:t>
      </w:r>
      <w:bookmarkEnd w:id="55"/>
    </w:p>
    <w:p w14:paraId="4E1AACEC">
      <w:pPr>
        <w:pStyle w:val="25"/>
        <w:jc w:val="center"/>
      </w:pPr>
      <w:r>
        <w:t>Source: Sponsor ERP billing extract, July 2022 - June 2024; team analysis.</w:t>
      </w:r>
    </w:p>
    <w:p w14:paraId="74F6161E">
      <w:pPr>
        <w:pStyle w:val="3"/>
      </w:pPr>
      <w:bookmarkStart w:id="56" w:name="_Toc7492"/>
      <w:r>
        <w:t>5.5  Order Sizes and Intermittency</w:t>
      </w:r>
      <w:bookmarkEnd w:id="56"/>
    </w:p>
    <w:p w14:paraId="6B4B89D2">
      <w:r>
        <w:t>Invoice lines are small and highly skewed: the median line is 4 units, the mean 10.54, and the 99th percentile 120, with a skewness of 4.07 (Figure 5.7, left). 36% of lines are for one or two units. Aggregated to weeks, most model-branch series record no sale in most weeks: the median series is zero in 64.5% of the weeks since its first sale (Figure 5.7, right). The distribution is bimodal: a small group of core models sells nearly every week, while a large tail sells only occasionally.</w:t>
      </w:r>
    </w:p>
    <w:p w14:paraId="7767D7A5">
      <w:pPr>
        <w:keepNext/>
        <w:spacing w:before="120" w:after="40" w:line="240" w:lineRule="auto"/>
        <w:jc w:val="center"/>
      </w:pPr>
      <w:r>
        <w:drawing>
          <wp:inline distT="0" distB="0" distL="114300" distR="114300">
            <wp:extent cx="5760720" cy="2193290"/>
            <wp:effectExtent l="0" t="0" r="508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760720" cy="2193505"/>
                    </a:xfrm>
                    <a:prstGeom prst="rect">
                      <a:avLst/>
                    </a:prstGeom>
                  </pic:spPr>
                </pic:pic>
              </a:graphicData>
            </a:graphic>
          </wp:inline>
        </w:drawing>
      </w:r>
    </w:p>
    <w:p w14:paraId="15C3A70E">
      <w:pPr>
        <w:pStyle w:val="10"/>
        <w:jc w:val="center"/>
      </w:pPr>
      <w:r>
        <w:t>Figure 5.</w:t>
      </w:r>
      <w:r>
        <w:fldChar w:fldCharType="begin"/>
      </w:r>
      <w:r>
        <w:instrText xml:space="preserve">SEQ Figure \* ARABIC \s 1</w:instrText>
      </w:r>
      <w:r>
        <w:fldChar w:fldCharType="separate"/>
      </w:r>
      <w:r>
        <w:t>7</w:t>
      </w:r>
      <w:r>
        <w:fldChar w:fldCharType="end"/>
      </w:r>
      <w:bookmarkStart w:id="57" w:name="_Toc31004"/>
      <w:r>
        <w:t>: Invoice-line size and the share of zero-demand weeks per SKU × branch series</w:t>
      </w:r>
      <w:bookmarkEnd w:id="57"/>
    </w:p>
    <w:p w14:paraId="4679C45E">
      <w:pPr>
        <w:pStyle w:val="25"/>
        <w:jc w:val="center"/>
      </w:pPr>
      <w:r>
        <w:t>Source: Sponsor ERP billing extract, July 2022 - June 2024; team analysis.</w:t>
      </w:r>
    </w:p>
    <w:p w14:paraId="637F32CF">
      <w:pPr>
        <w:pStyle w:val="3"/>
      </w:pPr>
      <w:bookmarkStart w:id="58" w:name="_Toc24200"/>
      <w:r>
        <w:t>5.6  Demand Classification</w:t>
      </w:r>
      <w:bookmarkEnd w:id="58"/>
    </w:p>
    <w:p w14:paraId="7BB58DB9">
      <w:r>
        <w:t>Figure 5.8 places each of the 273 SKU × branch series on the Syntetos-Boylan axes, and Table 5.2 summarises the result. Half of the series (50.9%) are lumpy and a further 23.8% intermittent; only 12 series are smooth. Volume tells a different story: the 57 erratic series, which sell most weeks but in widely varying quantities, carry 59.8% of units, while the 65 intermittent series together carry under 1%. At SKU level (all branches combined), 34 of 70 models are lumpy, 22 erratic, 9 intermittent and 5 smooth.</w:t>
      </w:r>
    </w:p>
    <w:p w14:paraId="5BE87CA0">
      <w:pPr>
        <w:keepNext/>
        <w:spacing w:before="120" w:after="40" w:line="240" w:lineRule="auto"/>
        <w:jc w:val="center"/>
      </w:pPr>
      <w:r>
        <w:drawing>
          <wp:inline distT="0" distB="0" distL="114300" distR="114300">
            <wp:extent cx="5760720" cy="3206115"/>
            <wp:effectExtent l="0" t="0" r="508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760720" cy="3206559"/>
                    </a:xfrm>
                    <a:prstGeom prst="rect">
                      <a:avLst/>
                    </a:prstGeom>
                  </pic:spPr>
                </pic:pic>
              </a:graphicData>
            </a:graphic>
          </wp:inline>
        </w:drawing>
      </w:r>
    </w:p>
    <w:p w14:paraId="1284EFBB">
      <w:pPr>
        <w:pStyle w:val="10"/>
        <w:jc w:val="center"/>
      </w:pPr>
      <w:r>
        <w:t>Figure 5.</w:t>
      </w:r>
      <w:r>
        <w:fldChar w:fldCharType="begin"/>
      </w:r>
      <w:r>
        <w:instrText xml:space="preserve">SEQ Figure \* ARABIC \s 1</w:instrText>
      </w:r>
      <w:r>
        <w:fldChar w:fldCharType="separate"/>
      </w:r>
      <w:r>
        <w:t>8</w:t>
      </w:r>
      <w:r>
        <w:fldChar w:fldCharType="end"/>
      </w:r>
      <w:bookmarkStart w:id="59" w:name="_Toc15837"/>
      <w:r>
        <w:t>: Syntetos-Boylan classification of SKU × branch demand series</w:t>
      </w:r>
      <w:bookmarkEnd w:id="59"/>
    </w:p>
    <w:p w14:paraId="1A6EA661">
      <w:pPr>
        <w:pStyle w:val="25"/>
        <w:jc w:val="center"/>
      </w:pPr>
      <w:r>
        <w:t>Source: Sponsor ERP billing extract, July 2022 - June 2024; team analysis.</w:t>
      </w:r>
    </w:p>
    <w:p w14:paraId="4E3CD58B">
      <w:pPr>
        <w:pStyle w:val="10"/>
        <w:keepNext/>
      </w:pPr>
      <w:r>
        <w:t>Table 5.</w:t>
      </w:r>
      <w:r>
        <w:fldChar w:fldCharType="begin"/>
      </w:r>
      <w:r>
        <w:instrText xml:space="preserve">SEQ Table \* ARABIC \s 1</w:instrText>
      </w:r>
      <w:r>
        <w:fldChar w:fldCharType="separate"/>
      </w:r>
      <w:r>
        <w:t>2</w:t>
      </w:r>
      <w:r>
        <w:fldChar w:fldCharType="end"/>
      </w:r>
      <w:bookmarkStart w:id="60" w:name="_Toc20344"/>
      <w:r>
        <w:t>: Demand classes: number of series and share of volume</w:t>
      </w:r>
      <w:bookmarkEnd w:id="60"/>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1800"/>
        <w:gridCol w:w="2960"/>
        <w:gridCol w:w="1400"/>
        <w:gridCol w:w="1600"/>
        <w:gridCol w:w="1600"/>
      </w:tblGrid>
      <w:tr w14:paraId="7A86069F">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1800" w:type="dxa"/>
            <w:shd w:val="clear" w:color="auto" w:fill="1F3864"/>
            <w:tcMar>
              <w:top w:w="80" w:type="dxa"/>
              <w:left w:w="120" w:type="dxa"/>
              <w:bottom w:w="80" w:type="dxa"/>
              <w:right w:w="120" w:type="dxa"/>
            </w:tcMar>
            <w:vAlign w:val="center"/>
          </w:tcPr>
          <w:p w14:paraId="138F6045">
            <w:pPr>
              <w:pStyle w:val="27"/>
            </w:pPr>
            <w:r>
              <w:t>Demand class</w:t>
            </w:r>
          </w:p>
        </w:tc>
        <w:tc>
          <w:tcPr>
            <w:tcW w:w="2960" w:type="dxa"/>
            <w:shd w:val="clear" w:color="auto" w:fill="1F3864"/>
            <w:tcMar>
              <w:top w:w="80" w:type="dxa"/>
              <w:left w:w="120" w:type="dxa"/>
              <w:bottom w:w="80" w:type="dxa"/>
              <w:right w:w="120" w:type="dxa"/>
            </w:tcMar>
            <w:vAlign w:val="center"/>
          </w:tcPr>
          <w:p w14:paraId="66E46404">
            <w:pPr>
              <w:pStyle w:val="27"/>
            </w:pPr>
            <w:r>
              <w:t>Definition</w:t>
            </w:r>
          </w:p>
        </w:tc>
        <w:tc>
          <w:tcPr>
            <w:tcW w:w="1400" w:type="dxa"/>
            <w:shd w:val="clear" w:color="auto" w:fill="1F3864"/>
            <w:tcMar>
              <w:top w:w="80" w:type="dxa"/>
              <w:left w:w="120" w:type="dxa"/>
              <w:bottom w:w="80" w:type="dxa"/>
              <w:right w:w="120" w:type="dxa"/>
            </w:tcMar>
            <w:vAlign w:val="center"/>
          </w:tcPr>
          <w:p w14:paraId="036D67C0">
            <w:pPr>
              <w:pStyle w:val="27"/>
            </w:pPr>
            <w:r>
              <w:t>Series</w:t>
            </w:r>
          </w:p>
        </w:tc>
        <w:tc>
          <w:tcPr>
            <w:tcW w:w="1600" w:type="dxa"/>
            <w:shd w:val="clear" w:color="auto" w:fill="1F3864"/>
            <w:tcMar>
              <w:top w:w="80" w:type="dxa"/>
              <w:left w:w="120" w:type="dxa"/>
              <w:bottom w:w="80" w:type="dxa"/>
              <w:right w:w="120" w:type="dxa"/>
            </w:tcMar>
            <w:vAlign w:val="center"/>
          </w:tcPr>
          <w:p w14:paraId="700854DB">
            <w:pPr>
              <w:pStyle w:val="27"/>
            </w:pPr>
            <w:r>
              <w:t>% of series</w:t>
            </w:r>
          </w:p>
        </w:tc>
        <w:tc>
          <w:tcPr>
            <w:tcW w:w="1600" w:type="dxa"/>
            <w:shd w:val="clear" w:color="auto" w:fill="1F3864"/>
            <w:tcMar>
              <w:top w:w="80" w:type="dxa"/>
              <w:left w:w="120" w:type="dxa"/>
              <w:bottom w:w="80" w:type="dxa"/>
              <w:right w:w="120" w:type="dxa"/>
            </w:tcMar>
            <w:vAlign w:val="center"/>
          </w:tcPr>
          <w:p w14:paraId="7DBBDB2A">
            <w:pPr>
              <w:pStyle w:val="27"/>
            </w:pPr>
            <w:r>
              <w:t>% of volume</w:t>
            </w:r>
          </w:p>
        </w:tc>
      </w:tr>
      <w:tr w14:paraId="2CBCF894">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800" w:type="dxa"/>
            <w:tcMar>
              <w:top w:w="80" w:type="dxa"/>
              <w:left w:w="120" w:type="dxa"/>
              <w:bottom w:w="80" w:type="dxa"/>
              <w:right w:w="120" w:type="dxa"/>
            </w:tcMar>
          </w:tcPr>
          <w:p w14:paraId="3C3BF57E">
            <w:pPr>
              <w:pStyle w:val="26"/>
            </w:pPr>
            <w:r>
              <w:rPr>
                <w:b/>
                <w:bCs/>
                <w:color w:val="1F3864"/>
              </w:rPr>
              <w:t>Smooth</w:t>
            </w:r>
          </w:p>
        </w:tc>
        <w:tc>
          <w:tcPr>
            <w:tcW w:w="2960" w:type="dxa"/>
            <w:tcMar>
              <w:top w:w="80" w:type="dxa"/>
              <w:left w:w="120" w:type="dxa"/>
              <w:bottom w:w="80" w:type="dxa"/>
              <w:right w:w="120" w:type="dxa"/>
            </w:tcMar>
          </w:tcPr>
          <w:p w14:paraId="540946CC">
            <w:pPr>
              <w:pStyle w:val="26"/>
            </w:pPr>
            <w:r>
              <w:t>ADI &lt; 1.32, CV² &lt; 0.49</w:t>
            </w:r>
          </w:p>
        </w:tc>
        <w:tc>
          <w:tcPr>
            <w:tcW w:w="1400" w:type="dxa"/>
            <w:tcMar>
              <w:top w:w="80" w:type="dxa"/>
              <w:left w:w="120" w:type="dxa"/>
              <w:bottom w:w="80" w:type="dxa"/>
              <w:right w:w="120" w:type="dxa"/>
            </w:tcMar>
          </w:tcPr>
          <w:p w14:paraId="212912A0">
            <w:pPr>
              <w:pStyle w:val="26"/>
            </w:pPr>
            <w:r>
              <w:t>12</w:t>
            </w:r>
          </w:p>
        </w:tc>
        <w:tc>
          <w:tcPr>
            <w:tcW w:w="1600" w:type="dxa"/>
            <w:tcMar>
              <w:top w:w="80" w:type="dxa"/>
              <w:left w:w="120" w:type="dxa"/>
              <w:bottom w:w="80" w:type="dxa"/>
              <w:right w:w="120" w:type="dxa"/>
            </w:tcMar>
          </w:tcPr>
          <w:p w14:paraId="6B9E4227">
            <w:pPr>
              <w:pStyle w:val="26"/>
            </w:pPr>
            <w:r>
              <w:t>4.4</w:t>
            </w:r>
          </w:p>
        </w:tc>
        <w:tc>
          <w:tcPr>
            <w:tcW w:w="1600" w:type="dxa"/>
            <w:tcMar>
              <w:top w:w="80" w:type="dxa"/>
              <w:left w:w="120" w:type="dxa"/>
              <w:bottom w:w="80" w:type="dxa"/>
              <w:right w:w="120" w:type="dxa"/>
            </w:tcMar>
          </w:tcPr>
          <w:p w14:paraId="3751D132">
            <w:pPr>
              <w:pStyle w:val="26"/>
            </w:pPr>
            <w:r>
              <w:t>3.4</w:t>
            </w:r>
          </w:p>
        </w:tc>
      </w:tr>
      <w:tr w14:paraId="06FC327F">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800" w:type="dxa"/>
            <w:shd w:val="clear" w:color="auto" w:fill="F5F7F7"/>
            <w:tcMar>
              <w:top w:w="80" w:type="dxa"/>
              <w:left w:w="120" w:type="dxa"/>
              <w:bottom w:w="80" w:type="dxa"/>
              <w:right w:w="120" w:type="dxa"/>
            </w:tcMar>
          </w:tcPr>
          <w:p w14:paraId="5F74CA07">
            <w:pPr>
              <w:pStyle w:val="26"/>
            </w:pPr>
            <w:r>
              <w:rPr>
                <w:b/>
                <w:bCs/>
                <w:color w:val="1F3864"/>
              </w:rPr>
              <w:t>Erratic</w:t>
            </w:r>
          </w:p>
        </w:tc>
        <w:tc>
          <w:tcPr>
            <w:tcW w:w="2960" w:type="dxa"/>
            <w:shd w:val="clear" w:color="auto" w:fill="F5F7F7"/>
            <w:tcMar>
              <w:top w:w="80" w:type="dxa"/>
              <w:left w:w="120" w:type="dxa"/>
              <w:bottom w:w="80" w:type="dxa"/>
              <w:right w:w="120" w:type="dxa"/>
            </w:tcMar>
          </w:tcPr>
          <w:p w14:paraId="3CDB5C15">
            <w:pPr>
              <w:pStyle w:val="26"/>
            </w:pPr>
            <w:r>
              <w:t>ADI &lt; 1.32, CV² ≥ 0.49</w:t>
            </w:r>
          </w:p>
        </w:tc>
        <w:tc>
          <w:tcPr>
            <w:tcW w:w="1400" w:type="dxa"/>
            <w:shd w:val="clear" w:color="auto" w:fill="F5F7F7"/>
            <w:tcMar>
              <w:top w:w="80" w:type="dxa"/>
              <w:left w:w="120" w:type="dxa"/>
              <w:bottom w:w="80" w:type="dxa"/>
              <w:right w:w="120" w:type="dxa"/>
            </w:tcMar>
          </w:tcPr>
          <w:p w14:paraId="558E6897">
            <w:pPr>
              <w:pStyle w:val="26"/>
            </w:pPr>
            <w:r>
              <w:t>57</w:t>
            </w:r>
          </w:p>
        </w:tc>
        <w:tc>
          <w:tcPr>
            <w:tcW w:w="1600" w:type="dxa"/>
            <w:shd w:val="clear" w:color="auto" w:fill="F5F7F7"/>
            <w:tcMar>
              <w:top w:w="80" w:type="dxa"/>
              <w:left w:w="120" w:type="dxa"/>
              <w:bottom w:w="80" w:type="dxa"/>
              <w:right w:w="120" w:type="dxa"/>
            </w:tcMar>
          </w:tcPr>
          <w:p w14:paraId="0441EC4B">
            <w:pPr>
              <w:pStyle w:val="26"/>
            </w:pPr>
            <w:r>
              <w:t>20.9</w:t>
            </w:r>
          </w:p>
        </w:tc>
        <w:tc>
          <w:tcPr>
            <w:tcW w:w="1600" w:type="dxa"/>
            <w:shd w:val="clear" w:color="auto" w:fill="F5F7F7"/>
            <w:tcMar>
              <w:top w:w="80" w:type="dxa"/>
              <w:left w:w="120" w:type="dxa"/>
              <w:bottom w:w="80" w:type="dxa"/>
              <w:right w:w="120" w:type="dxa"/>
            </w:tcMar>
          </w:tcPr>
          <w:p w14:paraId="7F749886">
            <w:pPr>
              <w:pStyle w:val="26"/>
            </w:pPr>
            <w:r>
              <w:t>59.8</w:t>
            </w:r>
          </w:p>
        </w:tc>
      </w:tr>
      <w:tr w14:paraId="08DF0B09">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800" w:type="dxa"/>
            <w:tcMar>
              <w:top w:w="80" w:type="dxa"/>
              <w:left w:w="120" w:type="dxa"/>
              <w:bottom w:w="80" w:type="dxa"/>
              <w:right w:w="120" w:type="dxa"/>
            </w:tcMar>
          </w:tcPr>
          <w:p w14:paraId="0118DA43">
            <w:pPr>
              <w:pStyle w:val="26"/>
            </w:pPr>
            <w:r>
              <w:rPr>
                <w:b/>
                <w:bCs/>
                <w:color w:val="1F3864"/>
              </w:rPr>
              <w:t>Intermittent</w:t>
            </w:r>
          </w:p>
        </w:tc>
        <w:tc>
          <w:tcPr>
            <w:tcW w:w="2960" w:type="dxa"/>
            <w:tcMar>
              <w:top w:w="80" w:type="dxa"/>
              <w:left w:w="120" w:type="dxa"/>
              <w:bottom w:w="80" w:type="dxa"/>
              <w:right w:w="120" w:type="dxa"/>
            </w:tcMar>
          </w:tcPr>
          <w:p w14:paraId="73BCA087">
            <w:pPr>
              <w:pStyle w:val="26"/>
            </w:pPr>
            <w:r>
              <w:t>ADI ≥ 1.32, CV² &lt; 0.49</w:t>
            </w:r>
          </w:p>
        </w:tc>
        <w:tc>
          <w:tcPr>
            <w:tcW w:w="1400" w:type="dxa"/>
            <w:tcMar>
              <w:top w:w="80" w:type="dxa"/>
              <w:left w:w="120" w:type="dxa"/>
              <w:bottom w:w="80" w:type="dxa"/>
              <w:right w:w="120" w:type="dxa"/>
            </w:tcMar>
          </w:tcPr>
          <w:p w14:paraId="31CEE796">
            <w:pPr>
              <w:pStyle w:val="26"/>
            </w:pPr>
            <w:r>
              <w:t>65</w:t>
            </w:r>
          </w:p>
        </w:tc>
        <w:tc>
          <w:tcPr>
            <w:tcW w:w="1600" w:type="dxa"/>
            <w:tcMar>
              <w:top w:w="80" w:type="dxa"/>
              <w:left w:w="120" w:type="dxa"/>
              <w:bottom w:w="80" w:type="dxa"/>
              <w:right w:w="120" w:type="dxa"/>
            </w:tcMar>
          </w:tcPr>
          <w:p w14:paraId="3F85A3CA">
            <w:pPr>
              <w:pStyle w:val="26"/>
            </w:pPr>
            <w:r>
              <w:t>23.8</w:t>
            </w:r>
          </w:p>
        </w:tc>
        <w:tc>
          <w:tcPr>
            <w:tcW w:w="1600" w:type="dxa"/>
            <w:tcMar>
              <w:top w:w="80" w:type="dxa"/>
              <w:left w:w="120" w:type="dxa"/>
              <w:bottom w:w="80" w:type="dxa"/>
              <w:right w:w="120" w:type="dxa"/>
            </w:tcMar>
          </w:tcPr>
          <w:p w14:paraId="56C3743E">
            <w:pPr>
              <w:pStyle w:val="26"/>
            </w:pPr>
            <w:r>
              <w:t>0.8</w:t>
            </w:r>
          </w:p>
        </w:tc>
      </w:tr>
      <w:tr w14:paraId="1D2F38DB">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800" w:type="dxa"/>
            <w:shd w:val="clear" w:color="auto" w:fill="F5F7F7"/>
            <w:tcMar>
              <w:top w:w="80" w:type="dxa"/>
              <w:left w:w="120" w:type="dxa"/>
              <w:bottom w:w="80" w:type="dxa"/>
              <w:right w:w="120" w:type="dxa"/>
            </w:tcMar>
          </w:tcPr>
          <w:p w14:paraId="2FA92758">
            <w:pPr>
              <w:pStyle w:val="26"/>
            </w:pPr>
            <w:r>
              <w:rPr>
                <w:b/>
                <w:bCs/>
                <w:color w:val="1F3864"/>
              </w:rPr>
              <w:t>Lumpy</w:t>
            </w:r>
          </w:p>
        </w:tc>
        <w:tc>
          <w:tcPr>
            <w:tcW w:w="2960" w:type="dxa"/>
            <w:shd w:val="clear" w:color="auto" w:fill="F5F7F7"/>
            <w:tcMar>
              <w:top w:w="80" w:type="dxa"/>
              <w:left w:w="120" w:type="dxa"/>
              <w:bottom w:w="80" w:type="dxa"/>
              <w:right w:w="120" w:type="dxa"/>
            </w:tcMar>
          </w:tcPr>
          <w:p w14:paraId="64F46703">
            <w:pPr>
              <w:pStyle w:val="26"/>
            </w:pPr>
            <w:r>
              <w:t>ADI ≥ 1.32, CV² ≥ 0.49</w:t>
            </w:r>
          </w:p>
        </w:tc>
        <w:tc>
          <w:tcPr>
            <w:tcW w:w="1400" w:type="dxa"/>
            <w:shd w:val="clear" w:color="auto" w:fill="F5F7F7"/>
            <w:tcMar>
              <w:top w:w="80" w:type="dxa"/>
              <w:left w:w="120" w:type="dxa"/>
              <w:bottom w:w="80" w:type="dxa"/>
              <w:right w:w="120" w:type="dxa"/>
            </w:tcMar>
          </w:tcPr>
          <w:p w14:paraId="1812F1D6">
            <w:pPr>
              <w:pStyle w:val="26"/>
            </w:pPr>
            <w:r>
              <w:t>139</w:t>
            </w:r>
          </w:p>
        </w:tc>
        <w:tc>
          <w:tcPr>
            <w:tcW w:w="1600" w:type="dxa"/>
            <w:shd w:val="clear" w:color="auto" w:fill="F5F7F7"/>
            <w:tcMar>
              <w:top w:w="80" w:type="dxa"/>
              <w:left w:w="120" w:type="dxa"/>
              <w:bottom w:w="80" w:type="dxa"/>
              <w:right w:w="120" w:type="dxa"/>
            </w:tcMar>
          </w:tcPr>
          <w:p w14:paraId="21599ABE">
            <w:pPr>
              <w:pStyle w:val="26"/>
            </w:pPr>
            <w:r>
              <w:t>50.9</w:t>
            </w:r>
          </w:p>
        </w:tc>
        <w:tc>
          <w:tcPr>
            <w:tcW w:w="1600" w:type="dxa"/>
            <w:shd w:val="clear" w:color="auto" w:fill="F5F7F7"/>
            <w:tcMar>
              <w:top w:w="80" w:type="dxa"/>
              <w:left w:w="120" w:type="dxa"/>
              <w:bottom w:w="80" w:type="dxa"/>
              <w:right w:w="120" w:type="dxa"/>
            </w:tcMar>
          </w:tcPr>
          <w:p w14:paraId="3C6B057C">
            <w:pPr>
              <w:pStyle w:val="26"/>
            </w:pPr>
            <w:r>
              <w:t>35.9</w:t>
            </w:r>
          </w:p>
        </w:tc>
      </w:tr>
      <w:tr w14:paraId="3F5283A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800" w:type="dxa"/>
            <w:tcMar>
              <w:top w:w="80" w:type="dxa"/>
              <w:left w:w="120" w:type="dxa"/>
              <w:bottom w:w="80" w:type="dxa"/>
              <w:right w:w="120" w:type="dxa"/>
            </w:tcMar>
          </w:tcPr>
          <w:p w14:paraId="50486A7D">
            <w:pPr>
              <w:pStyle w:val="26"/>
            </w:pPr>
            <w:r>
              <w:rPr>
                <w:b/>
                <w:bCs/>
                <w:color w:val="1F3864"/>
              </w:rPr>
              <w:t>Total</w:t>
            </w:r>
          </w:p>
        </w:tc>
        <w:tc>
          <w:tcPr>
            <w:tcW w:w="2960" w:type="dxa"/>
            <w:tcMar>
              <w:top w:w="80" w:type="dxa"/>
              <w:left w:w="120" w:type="dxa"/>
              <w:bottom w:w="80" w:type="dxa"/>
              <w:right w:w="120" w:type="dxa"/>
            </w:tcMar>
          </w:tcPr>
          <w:p w14:paraId="15710B69">
            <w:pPr>
              <w:pStyle w:val="26"/>
            </w:pPr>
          </w:p>
        </w:tc>
        <w:tc>
          <w:tcPr>
            <w:tcW w:w="1400" w:type="dxa"/>
            <w:tcMar>
              <w:top w:w="80" w:type="dxa"/>
              <w:left w:w="120" w:type="dxa"/>
              <w:bottom w:w="80" w:type="dxa"/>
              <w:right w:w="120" w:type="dxa"/>
            </w:tcMar>
          </w:tcPr>
          <w:p w14:paraId="37611711">
            <w:pPr>
              <w:pStyle w:val="26"/>
            </w:pPr>
            <w:r>
              <w:t>273</w:t>
            </w:r>
          </w:p>
        </w:tc>
        <w:tc>
          <w:tcPr>
            <w:tcW w:w="1600" w:type="dxa"/>
            <w:tcMar>
              <w:top w:w="80" w:type="dxa"/>
              <w:left w:w="120" w:type="dxa"/>
              <w:bottom w:w="80" w:type="dxa"/>
              <w:right w:w="120" w:type="dxa"/>
            </w:tcMar>
          </w:tcPr>
          <w:p w14:paraId="349A76ED">
            <w:pPr>
              <w:pStyle w:val="26"/>
            </w:pPr>
            <w:r>
              <w:t>100.0</w:t>
            </w:r>
          </w:p>
        </w:tc>
        <w:tc>
          <w:tcPr>
            <w:tcW w:w="1600" w:type="dxa"/>
            <w:tcMar>
              <w:top w:w="80" w:type="dxa"/>
              <w:left w:w="120" w:type="dxa"/>
              <w:bottom w:w="80" w:type="dxa"/>
              <w:right w:w="120" w:type="dxa"/>
            </w:tcMar>
          </w:tcPr>
          <w:p w14:paraId="1C8B7E0D">
            <w:pPr>
              <w:pStyle w:val="26"/>
            </w:pPr>
            <w:r>
              <w:t>100.0</w:t>
            </w:r>
          </w:p>
        </w:tc>
      </w:tr>
    </w:tbl>
    <w:p w14:paraId="75CBA6C9">
      <w:pPr>
        <w:pStyle w:val="25"/>
      </w:pPr>
      <w:r>
        <w:t>Source: Sponsor ERP billing extract, July 2022 - June 2024; team analysis.</w:t>
      </w:r>
    </w:p>
    <w:p w14:paraId="19032DD7">
      <w:r>
        <w:t>The practical message is that no single classical method suits the portfolio. Methods designed for intermittent demand fit most series but little of the volume; methods for smooth demand fit almost none; and the erratic, high-volume series that matter most commercially combine frequent sales with sharp swings driven by seasonality and large orders. This mix is what motivated a method that can learn across series rather than one tuned to a single demand class.</w:t>
      </w:r>
    </w:p>
    <w:p w14:paraId="297E1441">
      <w:pPr>
        <w:spacing w:after="60"/>
      </w:pPr>
    </w:p>
    <w:tbl>
      <w:tblPr>
        <w:tblStyle w:val="9"/>
        <w:tblW w:w="9360" w:type="dxa"/>
        <w:tblInd w:w="0" w:type="dxa"/>
        <w:tblBorders>
          <w:top w:val="none" w:color="auto" w:sz="0" w:space="0"/>
          <w:left w:val="single" w:color="0F6B72" w:sz="24"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360"/>
      </w:tblGrid>
      <w:tr w14:paraId="6583EBE6">
        <w:tblPrEx>
          <w:tblBorders>
            <w:top w:val="none" w:color="auto" w:sz="0" w:space="0"/>
            <w:left w:val="single" w:color="0F6B72" w:sz="24"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9360" w:type="dxa"/>
            <w:shd w:val="clear" w:color="auto" w:fill="EAF1F1"/>
            <w:tcMar>
              <w:top w:w="120" w:type="dxa"/>
              <w:left w:w="200" w:type="dxa"/>
              <w:bottom w:w="120" w:type="dxa"/>
              <w:right w:w="200" w:type="dxa"/>
            </w:tcMar>
          </w:tcPr>
          <w:p w14:paraId="6E78E4C3">
            <w:pPr>
              <w:pStyle w:val="28"/>
            </w:pPr>
            <w:r>
              <w:t>Key Takeaways</w:t>
            </w:r>
          </w:p>
          <w:p w14:paraId="17187C47">
            <w:pPr>
              <w:pStyle w:val="29"/>
              <w:numPr>
                <w:ilvl w:val="0"/>
                <w:numId w:val="4"/>
              </w:numPr>
            </w:pPr>
            <w:r>
              <w:t>Sixteen models and two branches drive most of the volume, but three in four model-branch series are lumpy or intermittent, and the median series records no sale in 64% of weeks.</w:t>
            </w:r>
          </w:p>
          <w:p w14:paraId="2F1C0C5A">
            <w:pPr>
              <w:pStyle w:val="29"/>
              <w:numPr>
                <w:ilvl w:val="0"/>
                <w:numId w:val="4"/>
              </w:numPr>
            </w:pPr>
            <w:r>
              <w:t>Demand peaks twice, in February to May and in December, and the 2024 peak came earlier; methods anchored on last year's level or on recent averages will miss the turning points.</w:t>
            </w:r>
          </w:p>
          <w:p w14:paraId="7900C5F0">
            <w:pPr>
              <w:pStyle w:val="29"/>
              <w:numPr>
                <w:ilvl w:val="0"/>
                <w:numId w:val="4"/>
              </w:numPr>
            </w:pPr>
            <w:r>
              <w:t>The April to June 2024 duplicates change recent volume by about a quarter and must be resolved at source.</w:t>
            </w:r>
          </w:p>
        </w:tc>
      </w:tr>
    </w:tbl>
    <w:p w14:paraId="59C96A76">
      <w:pPr>
        <w:pStyle w:val="2"/>
      </w:pPr>
      <w:bookmarkStart w:id="61" w:name="_Toc9607"/>
      <w:r>
        <w:t>Chapter 6: Feature Selection and Engineering</w:t>
      </w:r>
      <w:bookmarkEnd w:id="61"/>
    </w:p>
    <w:p w14:paraId="0906267A">
      <w:r>
        <w:t>For the statistical and intermittent-demand methods, the only input is a series' own history. The machine-learning models, by contrast, are only as good as the features they are given, and in a time-series setting every feature is also an opportunity to leak information from the future. This chapter explains which features we built, which we dropped, and how we kept every feature strictly backward-looking.</w:t>
      </w:r>
    </w:p>
    <w:p w14:paraId="2209393C">
      <w:pPr>
        <w:pStyle w:val="3"/>
      </w:pPr>
      <w:bookmarkStart w:id="62" w:name="_Toc17939"/>
      <w:r>
        <w:t>6.1  Target and Training Design</w:t>
      </w:r>
      <w:bookmarkEnd w:id="62"/>
    </w:p>
    <w:p w14:paraId="6181DE68">
      <w:r>
        <w:t xml:space="preserve">The target is weekly outdoor-unit demand for one SKU at one branch. We use a </w:t>
      </w:r>
      <w:r>
        <w:rPr>
          <w:i/>
          <w:iCs/>
        </w:rPr>
        <w:t>direct</w:t>
      </w:r>
      <w:r>
        <w:t xml:space="preserve"> multi-horizon design: one model predicts demand one, two, three or four weeks after a forecast origin, using only information available at the origin, with the horizon itself supplied as a feature. Each training example therefore pairs a feature vector computed at some past origin with the actual demand some weeks later. At the last backtest origin, the model trains on 57,216 such examples drawn from all series, compared with at most about a hundred weekly observations for any single series. This pooling is what allows a global model to learn the shape of the season from all series at once (Montero-Manso &amp; Hyndman, 2021).</w:t>
      </w:r>
    </w:p>
    <w:p w14:paraId="6EA8A0AA">
      <w:r>
        <w:t>Weekly demand is non-negative, zero-inflated and right-skewed. Rather than transform the target, we trained LightGBM with a Tweedie loss, which is designed for exactly this mix of many zeros and occasional large values, with a variance power of 1.3. The random forest, which has no such loss, was trained on squared error.</w:t>
      </w:r>
    </w:p>
    <w:p w14:paraId="22E95A9F">
      <w:pPr>
        <w:pStyle w:val="3"/>
      </w:pPr>
      <w:bookmarkStart w:id="63" w:name="_Toc515"/>
      <w:r>
        <w:t>6.2  Engineered Features</w:t>
      </w:r>
      <w:bookmarkEnd w:id="63"/>
    </w:p>
    <w:p w14:paraId="1C12FD6D">
      <w:r>
        <w:t>We engineered 31 features in six groups (Table 6.1). Every feature is computed from weeks before the forecast origin, except calendar features of the target week, which are known in advance.</w:t>
      </w:r>
    </w:p>
    <w:p w14:paraId="000FDBB7">
      <w:pPr>
        <w:pStyle w:val="10"/>
        <w:keepNext/>
      </w:pPr>
      <w:r>
        <w:t>Table 6.</w:t>
      </w:r>
      <w:r>
        <w:fldChar w:fldCharType="begin"/>
      </w:r>
      <w:r>
        <w:instrText xml:space="preserve">SEQ Table \* ARABIC \s 1</w:instrText>
      </w:r>
      <w:r>
        <w:fldChar w:fldCharType="separate"/>
      </w:r>
      <w:r>
        <w:t>1</w:t>
      </w:r>
      <w:r>
        <w:fldChar w:fldCharType="end"/>
      </w:r>
      <w:bookmarkStart w:id="64" w:name="_Toc2231"/>
      <w:r>
        <w:t>: Engineered features, rationale and leakage control</w:t>
      </w:r>
      <w:bookmarkEnd w:id="64"/>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1700"/>
        <w:gridCol w:w="3000"/>
        <w:gridCol w:w="2460"/>
        <w:gridCol w:w="2200"/>
      </w:tblGrid>
      <w:tr w14:paraId="3912589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1700" w:type="dxa"/>
            <w:shd w:val="clear" w:color="auto" w:fill="1F3864"/>
            <w:tcMar>
              <w:top w:w="80" w:type="dxa"/>
              <w:left w:w="120" w:type="dxa"/>
              <w:bottom w:w="80" w:type="dxa"/>
              <w:right w:w="120" w:type="dxa"/>
            </w:tcMar>
            <w:vAlign w:val="center"/>
          </w:tcPr>
          <w:p w14:paraId="0E94031C">
            <w:pPr>
              <w:pStyle w:val="27"/>
            </w:pPr>
            <w:r>
              <w:t>Group</w:t>
            </w:r>
          </w:p>
        </w:tc>
        <w:tc>
          <w:tcPr>
            <w:tcW w:w="3000" w:type="dxa"/>
            <w:shd w:val="clear" w:color="auto" w:fill="1F3864"/>
            <w:tcMar>
              <w:top w:w="80" w:type="dxa"/>
              <w:left w:w="120" w:type="dxa"/>
              <w:bottom w:w="80" w:type="dxa"/>
              <w:right w:w="120" w:type="dxa"/>
            </w:tcMar>
            <w:vAlign w:val="center"/>
          </w:tcPr>
          <w:p w14:paraId="1BEBBD31">
            <w:pPr>
              <w:pStyle w:val="27"/>
            </w:pPr>
            <w:r>
              <w:t>Features</w:t>
            </w:r>
          </w:p>
        </w:tc>
        <w:tc>
          <w:tcPr>
            <w:tcW w:w="2460" w:type="dxa"/>
            <w:shd w:val="clear" w:color="auto" w:fill="1F3864"/>
            <w:tcMar>
              <w:top w:w="80" w:type="dxa"/>
              <w:left w:w="120" w:type="dxa"/>
              <w:bottom w:w="80" w:type="dxa"/>
              <w:right w:w="120" w:type="dxa"/>
            </w:tcMar>
            <w:vAlign w:val="center"/>
          </w:tcPr>
          <w:p w14:paraId="60BFA911">
            <w:pPr>
              <w:pStyle w:val="27"/>
            </w:pPr>
            <w:r>
              <w:t>Rationale</w:t>
            </w:r>
          </w:p>
        </w:tc>
        <w:tc>
          <w:tcPr>
            <w:tcW w:w="2200" w:type="dxa"/>
            <w:shd w:val="clear" w:color="auto" w:fill="1F3864"/>
            <w:tcMar>
              <w:top w:w="80" w:type="dxa"/>
              <w:left w:w="120" w:type="dxa"/>
              <w:bottom w:w="80" w:type="dxa"/>
              <w:right w:w="120" w:type="dxa"/>
            </w:tcMar>
            <w:vAlign w:val="center"/>
          </w:tcPr>
          <w:p w14:paraId="091EDA0D">
            <w:pPr>
              <w:pStyle w:val="27"/>
            </w:pPr>
            <w:r>
              <w:t>Leakage control</w:t>
            </w:r>
          </w:p>
        </w:tc>
      </w:tr>
      <w:tr w14:paraId="4DD7460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64C25972">
            <w:pPr>
              <w:pStyle w:val="26"/>
            </w:pPr>
            <w:r>
              <w:rPr>
                <w:b/>
                <w:bCs/>
                <w:color w:val="1F3864"/>
              </w:rPr>
              <w:t>Recent level</w:t>
            </w:r>
          </w:p>
        </w:tc>
        <w:tc>
          <w:tcPr>
            <w:tcW w:w="3000" w:type="dxa"/>
            <w:tcMar>
              <w:top w:w="80" w:type="dxa"/>
              <w:left w:w="120" w:type="dxa"/>
              <w:bottom w:w="80" w:type="dxa"/>
              <w:right w:w="120" w:type="dxa"/>
            </w:tcMar>
          </w:tcPr>
          <w:p w14:paraId="5D9D3B4C">
            <w:pPr>
              <w:pStyle w:val="26"/>
            </w:pPr>
            <w:r>
              <w:t>Demand lags of 1, 2, 3, 4, 6, 8 and 12 weeks; rolling means over 4, 8, 13 and 26 weeks</w:t>
            </w:r>
          </w:p>
        </w:tc>
        <w:tc>
          <w:tcPr>
            <w:tcW w:w="2460" w:type="dxa"/>
            <w:tcMar>
              <w:top w:w="80" w:type="dxa"/>
              <w:left w:w="120" w:type="dxa"/>
              <w:bottom w:w="80" w:type="dxa"/>
              <w:right w:w="120" w:type="dxa"/>
            </w:tcMar>
          </w:tcPr>
          <w:p w14:paraId="159DBB46">
            <w:pPr>
              <w:pStyle w:val="26"/>
            </w:pPr>
            <w:r>
              <w:t>Captures the current run-rate at several speeds</w:t>
            </w:r>
          </w:p>
        </w:tc>
        <w:tc>
          <w:tcPr>
            <w:tcW w:w="2200" w:type="dxa"/>
            <w:tcMar>
              <w:top w:w="80" w:type="dxa"/>
              <w:left w:w="120" w:type="dxa"/>
              <w:bottom w:w="80" w:type="dxa"/>
              <w:right w:w="120" w:type="dxa"/>
            </w:tcMar>
          </w:tcPr>
          <w:p w14:paraId="6E2C1FC0">
            <w:pPr>
              <w:pStyle w:val="26"/>
            </w:pPr>
            <w:r>
              <w:t>All windows end the week before the origin</w:t>
            </w:r>
          </w:p>
        </w:tc>
      </w:tr>
      <w:tr w14:paraId="06228273">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700" w:type="dxa"/>
            <w:shd w:val="clear" w:color="auto" w:fill="F5F7F7"/>
            <w:tcMar>
              <w:top w:w="80" w:type="dxa"/>
              <w:left w:w="120" w:type="dxa"/>
              <w:bottom w:w="80" w:type="dxa"/>
              <w:right w:w="120" w:type="dxa"/>
            </w:tcMar>
          </w:tcPr>
          <w:p w14:paraId="4A3214BB">
            <w:pPr>
              <w:pStyle w:val="26"/>
            </w:pPr>
            <w:r>
              <w:rPr>
                <w:b/>
                <w:bCs/>
                <w:color w:val="1F3864"/>
              </w:rPr>
              <w:t>Volatility and intermittency</w:t>
            </w:r>
          </w:p>
        </w:tc>
        <w:tc>
          <w:tcPr>
            <w:tcW w:w="3000" w:type="dxa"/>
            <w:shd w:val="clear" w:color="auto" w:fill="F5F7F7"/>
            <w:tcMar>
              <w:top w:w="80" w:type="dxa"/>
              <w:left w:w="120" w:type="dxa"/>
              <w:bottom w:w="80" w:type="dxa"/>
              <w:right w:w="120" w:type="dxa"/>
            </w:tcMar>
          </w:tcPr>
          <w:p w14:paraId="4B601D65">
            <w:pPr>
              <w:pStyle w:val="26"/>
            </w:pPr>
            <w:r>
              <w:t>8-week rolling standard deviation; share of non-zero weeks in 13 weeks; weeks since last sale</w:t>
            </w:r>
          </w:p>
        </w:tc>
        <w:tc>
          <w:tcPr>
            <w:tcW w:w="2460" w:type="dxa"/>
            <w:shd w:val="clear" w:color="auto" w:fill="F5F7F7"/>
            <w:tcMar>
              <w:top w:w="80" w:type="dxa"/>
              <w:left w:w="120" w:type="dxa"/>
              <w:bottom w:w="80" w:type="dxa"/>
              <w:right w:w="120" w:type="dxa"/>
            </w:tcMar>
          </w:tcPr>
          <w:p w14:paraId="736B5776">
            <w:pPr>
              <w:pStyle w:val="26"/>
            </w:pPr>
            <w:r>
              <w:t>Lets the model temper forecasts for sporadic series</w:t>
            </w:r>
          </w:p>
        </w:tc>
        <w:tc>
          <w:tcPr>
            <w:tcW w:w="2200" w:type="dxa"/>
            <w:shd w:val="clear" w:color="auto" w:fill="F5F7F7"/>
            <w:tcMar>
              <w:top w:w="80" w:type="dxa"/>
              <w:left w:w="120" w:type="dxa"/>
              <w:bottom w:w="80" w:type="dxa"/>
              <w:right w:w="120" w:type="dxa"/>
            </w:tcMar>
          </w:tcPr>
          <w:p w14:paraId="051B2E2D">
            <w:pPr>
              <w:pStyle w:val="26"/>
            </w:pPr>
            <w:r>
              <w:t>Computed on pre-origin weeks</w:t>
            </w:r>
          </w:p>
        </w:tc>
      </w:tr>
      <w:tr w14:paraId="0E2B735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39D7B072">
            <w:pPr>
              <w:pStyle w:val="26"/>
            </w:pPr>
            <w:r>
              <w:rPr>
                <w:b/>
                <w:bCs/>
                <w:color w:val="1F3864"/>
              </w:rPr>
              <w:t>Seasonality</w:t>
            </w:r>
          </w:p>
        </w:tc>
        <w:tc>
          <w:tcPr>
            <w:tcW w:w="3000" w:type="dxa"/>
            <w:tcMar>
              <w:top w:w="80" w:type="dxa"/>
              <w:left w:w="120" w:type="dxa"/>
              <w:bottom w:w="80" w:type="dxa"/>
              <w:right w:w="120" w:type="dxa"/>
            </w:tcMar>
          </w:tcPr>
          <w:p w14:paraId="50D79C12">
            <w:pPr>
              <w:pStyle w:val="26"/>
            </w:pPr>
            <w:r>
              <w:t>Same week last year; 3-week mean around it; year-on-year ratio of recent level; calendar-month seasonal index; week-of-year sine and cosine; target month</w:t>
            </w:r>
          </w:p>
        </w:tc>
        <w:tc>
          <w:tcPr>
            <w:tcW w:w="2460" w:type="dxa"/>
            <w:tcMar>
              <w:top w:w="80" w:type="dxa"/>
              <w:left w:w="120" w:type="dxa"/>
              <w:bottom w:w="80" w:type="dxa"/>
              <w:right w:w="120" w:type="dxa"/>
            </w:tcMar>
          </w:tcPr>
          <w:p w14:paraId="14CCDCED">
            <w:pPr>
              <w:pStyle w:val="26"/>
            </w:pPr>
            <w:r>
              <w:t>Encodes the two seasonal peaks and growth</w:t>
            </w:r>
          </w:p>
        </w:tc>
        <w:tc>
          <w:tcPr>
            <w:tcW w:w="2200" w:type="dxa"/>
            <w:tcMar>
              <w:top w:w="80" w:type="dxa"/>
              <w:left w:w="120" w:type="dxa"/>
              <w:bottom w:w="80" w:type="dxa"/>
              <w:right w:w="120" w:type="dxa"/>
            </w:tcMar>
          </w:tcPr>
          <w:p w14:paraId="73F632B5">
            <w:pPr>
              <w:pStyle w:val="26"/>
            </w:pPr>
            <w:r>
              <w:t>Last-year values lie at least 48 weeks before the origin; the month index uses pre-origin data only</w:t>
            </w:r>
          </w:p>
        </w:tc>
      </w:tr>
      <w:tr w14:paraId="404BB5C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700" w:type="dxa"/>
            <w:shd w:val="clear" w:color="auto" w:fill="F5F7F7"/>
            <w:tcMar>
              <w:top w:w="80" w:type="dxa"/>
              <w:left w:w="120" w:type="dxa"/>
              <w:bottom w:w="80" w:type="dxa"/>
              <w:right w:w="120" w:type="dxa"/>
            </w:tcMar>
          </w:tcPr>
          <w:p w14:paraId="7A3CE05C">
            <w:pPr>
              <w:pStyle w:val="26"/>
            </w:pPr>
            <w:r>
              <w:rPr>
                <w:b/>
                <w:bCs/>
                <w:color w:val="1F3864"/>
              </w:rPr>
              <w:t>Network context</w:t>
            </w:r>
          </w:p>
        </w:tc>
        <w:tc>
          <w:tcPr>
            <w:tcW w:w="3000" w:type="dxa"/>
            <w:shd w:val="clear" w:color="auto" w:fill="F5F7F7"/>
            <w:tcMar>
              <w:top w:w="80" w:type="dxa"/>
              <w:left w:w="120" w:type="dxa"/>
              <w:bottom w:w="80" w:type="dxa"/>
              <w:right w:w="120" w:type="dxa"/>
            </w:tcMar>
          </w:tcPr>
          <w:p w14:paraId="17DA5510">
            <w:pPr>
              <w:pStyle w:val="26"/>
            </w:pPr>
            <w:r>
              <w:t>Portfolio 4-week mean; portfolio volume same week last year; branch 4-week mean</w:t>
            </w:r>
          </w:p>
        </w:tc>
        <w:tc>
          <w:tcPr>
            <w:tcW w:w="2460" w:type="dxa"/>
            <w:shd w:val="clear" w:color="auto" w:fill="F5F7F7"/>
            <w:tcMar>
              <w:top w:w="80" w:type="dxa"/>
              <w:left w:w="120" w:type="dxa"/>
              <w:bottom w:w="80" w:type="dxa"/>
              <w:right w:w="120" w:type="dxa"/>
            </w:tcMar>
          </w:tcPr>
          <w:p w14:paraId="0ACB271F">
            <w:pPr>
              <w:pStyle w:val="26"/>
            </w:pPr>
            <w:r>
              <w:t>Shares signal from the wider network, e.g. an early season</w:t>
            </w:r>
          </w:p>
        </w:tc>
        <w:tc>
          <w:tcPr>
            <w:tcW w:w="2200" w:type="dxa"/>
            <w:shd w:val="clear" w:color="auto" w:fill="F5F7F7"/>
            <w:tcMar>
              <w:top w:w="80" w:type="dxa"/>
              <w:left w:w="120" w:type="dxa"/>
              <w:bottom w:w="80" w:type="dxa"/>
              <w:right w:w="120" w:type="dxa"/>
            </w:tcMar>
          </w:tcPr>
          <w:p w14:paraId="350B4425">
            <w:pPr>
              <w:pStyle w:val="26"/>
            </w:pPr>
            <w:r>
              <w:t>Pre-origin weeks only</w:t>
            </w:r>
          </w:p>
        </w:tc>
      </w:tr>
      <w:tr w14:paraId="4BEE10D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1B7D5D50">
            <w:pPr>
              <w:pStyle w:val="26"/>
            </w:pPr>
            <w:r>
              <w:rPr>
                <w:b/>
                <w:bCs/>
                <w:color w:val="1F3864"/>
              </w:rPr>
              <w:t>Product and branch</w:t>
            </w:r>
          </w:p>
        </w:tc>
        <w:tc>
          <w:tcPr>
            <w:tcW w:w="3000" w:type="dxa"/>
            <w:tcMar>
              <w:top w:w="80" w:type="dxa"/>
              <w:left w:w="120" w:type="dxa"/>
              <w:bottom w:w="80" w:type="dxa"/>
              <w:right w:w="120" w:type="dxa"/>
            </w:tcMar>
          </w:tcPr>
          <w:p w14:paraId="1D895E6F">
            <w:pPr>
              <w:pStyle w:val="26"/>
            </w:pPr>
            <w:r>
              <w:t>SKU, branch and star rating (categorical); tonnage; inverter flag</w:t>
            </w:r>
          </w:p>
        </w:tc>
        <w:tc>
          <w:tcPr>
            <w:tcW w:w="2460" w:type="dxa"/>
            <w:tcMar>
              <w:top w:w="80" w:type="dxa"/>
              <w:left w:w="120" w:type="dxa"/>
              <w:bottom w:w="80" w:type="dxa"/>
              <w:right w:w="120" w:type="dxa"/>
            </w:tcMar>
          </w:tcPr>
          <w:p w14:paraId="34BF8792">
            <w:pPr>
              <w:pStyle w:val="26"/>
            </w:pPr>
            <w:r>
              <w:t>Lets the model learn persistent differences</w:t>
            </w:r>
          </w:p>
        </w:tc>
        <w:tc>
          <w:tcPr>
            <w:tcW w:w="2200" w:type="dxa"/>
            <w:tcMar>
              <w:top w:w="80" w:type="dxa"/>
              <w:left w:w="120" w:type="dxa"/>
              <w:bottom w:w="80" w:type="dxa"/>
              <w:right w:w="120" w:type="dxa"/>
            </w:tcMar>
          </w:tcPr>
          <w:p w14:paraId="0E91F901">
            <w:pPr>
              <w:pStyle w:val="26"/>
            </w:pPr>
            <w:r>
              <w:t>Static attributes</w:t>
            </w:r>
          </w:p>
        </w:tc>
      </w:tr>
      <w:tr w14:paraId="39F16966">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700" w:type="dxa"/>
            <w:shd w:val="clear" w:color="auto" w:fill="F5F7F7"/>
            <w:tcMar>
              <w:top w:w="80" w:type="dxa"/>
              <w:left w:w="120" w:type="dxa"/>
              <w:bottom w:w="80" w:type="dxa"/>
              <w:right w:w="120" w:type="dxa"/>
            </w:tcMar>
          </w:tcPr>
          <w:p w14:paraId="067AC032">
            <w:pPr>
              <w:pStyle w:val="26"/>
            </w:pPr>
            <w:r>
              <w:rPr>
                <w:b/>
                <w:bCs/>
                <w:color w:val="1F3864"/>
              </w:rPr>
              <w:t>Life-cycle and horizon</w:t>
            </w:r>
          </w:p>
        </w:tc>
        <w:tc>
          <w:tcPr>
            <w:tcW w:w="3000" w:type="dxa"/>
            <w:shd w:val="clear" w:color="auto" w:fill="F5F7F7"/>
            <w:tcMar>
              <w:top w:w="80" w:type="dxa"/>
              <w:left w:w="120" w:type="dxa"/>
              <w:bottom w:w="80" w:type="dxa"/>
              <w:right w:w="120" w:type="dxa"/>
            </w:tcMar>
          </w:tcPr>
          <w:p w14:paraId="4C37DA6B">
            <w:pPr>
              <w:pStyle w:val="26"/>
            </w:pPr>
            <w:r>
              <w:t>Weeks since the series' first sale; forecast horizon (1-4)</w:t>
            </w:r>
          </w:p>
        </w:tc>
        <w:tc>
          <w:tcPr>
            <w:tcW w:w="2460" w:type="dxa"/>
            <w:shd w:val="clear" w:color="auto" w:fill="F5F7F7"/>
            <w:tcMar>
              <w:top w:w="80" w:type="dxa"/>
              <w:left w:w="120" w:type="dxa"/>
              <w:bottom w:w="80" w:type="dxa"/>
              <w:right w:w="120" w:type="dxa"/>
            </w:tcMar>
          </w:tcPr>
          <w:p w14:paraId="7FBF2340">
            <w:pPr>
              <w:pStyle w:val="26"/>
            </w:pPr>
            <w:r>
              <w:t>Distinguishes new from mature models; error grows with horizon</w:t>
            </w:r>
          </w:p>
        </w:tc>
        <w:tc>
          <w:tcPr>
            <w:tcW w:w="2200" w:type="dxa"/>
            <w:shd w:val="clear" w:color="auto" w:fill="F5F7F7"/>
            <w:tcMar>
              <w:top w:w="80" w:type="dxa"/>
              <w:left w:w="120" w:type="dxa"/>
              <w:bottom w:w="80" w:type="dxa"/>
              <w:right w:w="120" w:type="dxa"/>
            </w:tcMar>
          </w:tcPr>
          <w:p w14:paraId="238CA492">
            <w:pPr>
              <w:pStyle w:val="26"/>
            </w:pPr>
            <w:r>
              <w:t>Known at origin</w:t>
            </w:r>
          </w:p>
        </w:tc>
      </w:tr>
    </w:tbl>
    <w:p w14:paraId="57094E79">
      <w:pPr>
        <w:pStyle w:val="25"/>
      </w:pPr>
      <w:r>
        <w:t>Source: Team analysis.</w:t>
      </w:r>
    </w:p>
    <w:p w14:paraId="3214DB0B">
      <w:pPr>
        <w:pStyle w:val="3"/>
      </w:pPr>
      <w:bookmarkStart w:id="65" w:name="_Toc15084"/>
      <w:r>
        <w:t>6.3  Features Dropped and Encoding Choices</w:t>
      </w:r>
      <w:bookmarkEnd w:id="65"/>
    </w:p>
    <w:p w14:paraId="60F54535">
      <w:r>
        <w:t>We deliberately excluded several fields. Customer and dealer identities were excluded both because they are personal or commercially sensitive and because the identity of next week's buyers is not known in advance. Invoice and line numbers, storage location, the constant product-family fields (SBU and MatGroup3), the duplicated columns and the text labels for year, month and week carry no information beyond the billing date. Indoor-unit quantities were excluded because they exist only in the final quarter and mirror outdoor-unit quantities.</w:t>
      </w:r>
    </w:p>
    <w:p w14:paraId="1E8B0253">
      <w:r>
        <w:t>Because both machine-learning models are tree ensembles, no scaling or normalisation was needed: trees split on thresholds and are unaffected by monotonic transformations. LightGBM handled SKU, branch and star rating natively as categorical variables; for the random forest we used integer codes. Lags that reach back before a series' first sale were left missing for LightGBM, which learns a default direction for missing values, and set to a sentinel value for the random forest. We did not use dimensionality reduction: with 31 interpretable features and tens of thousands of training rows, it would have cost interpretability without a clear gain.</w:t>
      </w:r>
    </w:p>
    <w:p w14:paraId="62B2751B">
      <w:pPr>
        <w:pStyle w:val="3"/>
      </w:pPr>
      <w:bookmarkStart w:id="66" w:name="_Toc14775"/>
      <w:r>
        <w:t>6.4  Which Features Mattered</w:t>
      </w:r>
      <w:bookmarkEnd w:id="66"/>
    </w:p>
    <w:p w14:paraId="7D1C60EF">
      <w:r>
        <w:t>Figure 6.1 ranks the features by their share of LightGBM's total split gain, averaged over the eight training folds. Recent level dominates: the rolling means and lags together account for 56% of the gain, led by the 8-week rolling mean alone at 29.5%. Product and branch identity contribute 18%, seasonality and calendar features 17%, and volatility 10%. Two observations follow. First, smoothed run-rates are far more informative than any single lag: one week's sales is too noisy to anchor a forecast, which is also why the naive rule performs poorly beyond one week. Second, the seasonal features, although smaller in aggregate, are what allow the model to anticipate the end of the peak; Chapter 7 shows that this is precisely where it gains most over simple averages.</w:t>
      </w:r>
    </w:p>
    <w:p w14:paraId="55D603CE">
      <w:pPr>
        <w:keepNext/>
        <w:spacing w:before="120" w:after="40" w:line="240" w:lineRule="auto"/>
        <w:jc w:val="center"/>
      </w:pPr>
      <w:r>
        <w:drawing>
          <wp:inline distT="0" distB="0" distL="114300" distR="114300">
            <wp:extent cx="5760720" cy="2558415"/>
            <wp:effectExtent l="0" t="0" r="508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760720" cy="2558648"/>
                    </a:xfrm>
                    <a:prstGeom prst="rect">
                      <a:avLst/>
                    </a:prstGeom>
                  </pic:spPr>
                </pic:pic>
              </a:graphicData>
            </a:graphic>
          </wp:inline>
        </w:drawing>
      </w:r>
    </w:p>
    <w:p w14:paraId="373A9B6B">
      <w:pPr>
        <w:pStyle w:val="10"/>
        <w:jc w:val="center"/>
      </w:pPr>
      <w:r>
        <w:t>Figure 6.</w:t>
      </w:r>
      <w:r>
        <w:fldChar w:fldCharType="begin"/>
      </w:r>
      <w:r>
        <w:instrText xml:space="preserve">SEQ Figure \* ARABIC \s 1</w:instrText>
      </w:r>
      <w:r>
        <w:fldChar w:fldCharType="separate"/>
      </w:r>
      <w:r>
        <w:t>1</w:t>
      </w:r>
      <w:r>
        <w:fldChar w:fldCharType="end"/>
      </w:r>
      <w:bookmarkStart w:id="67" w:name="_Toc18151"/>
      <w:r>
        <w:t>: LightGBM feature importance: share of split gain, mean of eight folds</w:t>
      </w:r>
      <w:bookmarkEnd w:id="67"/>
    </w:p>
    <w:p w14:paraId="7AE0FD5A">
      <w:pPr>
        <w:pStyle w:val="25"/>
        <w:jc w:val="center"/>
      </w:pPr>
      <w:r>
        <w:t>Source: Sponsor ERP billing extract; team rolling-origin backtest, 8 folds, weeks ending 26 Nov 2023 - 30 Jun 2024.</w:t>
      </w:r>
    </w:p>
    <w:p w14:paraId="25D9C725">
      <w:r>
        <w:t>Leakage was guarded in three ways. Every feature was computed by functions that take the forecast origin as an argument and read only earlier weeks; training examples were restricted to target weeks before the origin; and the seasonal index was re-estimated at each origin from earlier data only. The project codebase also contains automated tests that check lag and rolling-window features for look-ahead (tests/test_leakage_audit.py).</w:t>
      </w:r>
    </w:p>
    <w:p w14:paraId="565A2C4F">
      <w:pPr>
        <w:spacing w:after="60"/>
      </w:pPr>
    </w:p>
    <w:tbl>
      <w:tblPr>
        <w:tblStyle w:val="9"/>
        <w:tblW w:w="9360" w:type="dxa"/>
        <w:tblInd w:w="0" w:type="dxa"/>
        <w:tblBorders>
          <w:top w:val="none" w:color="auto" w:sz="0" w:space="0"/>
          <w:left w:val="single" w:color="0F6B72" w:sz="24"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360"/>
      </w:tblGrid>
      <w:tr w14:paraId="1C3A117E">
        <w:tblPrEx>
          <w:tblBorders>
            <w:top w:val="none" w:color="auto" w:sz="0" w:space="0"/>
            <w:left w:val="single" w:color="0F6B72" w:sz="24"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9360" w:type="dxa"/>
            <w:shd w:val="clear" w:color="auto" w:fill="EAF1F1"/>
            <w:tcMar>
              <w:top w:w="120" w:type="dxa"/>
              <w:left w:w="200" w:type="dxa"/>
              <w:bottom w:w="120" w:type="dxa"/>
              <w:right w:w="200" w:type="dxa"/>
            </w:tcMar>
          </w:tcPr>
          <w:p w14:paraId="3DDA95CF">
            <w:pPr>
              <w:pStyle w:val="28"/>
            </w:pPr>
            <w:r>
              <w:t>Key Takeaways</w:t>
            </w:r>
          </w:p>
          <w:p w14:paraId="2EF1BD30">
            <w:pPr>
              <w:pStyle w:val="29"/>
              <w:numPr>
                <w:ilvl w:val="0"/>
                <w:numId w:val="4"/>
              </w:numPr>
            </w:pPr>
            <w:r>
              <w:t>Smoothed recent run-rates (4- to 13-week means) carry most of the signal; together with lags they account for 56% of the model's split gain.</w:t>
            </w:r>
          </w:p>
          <w:p w14:paraId="2BE5B1F5">
            <w:pPr>
              <w:pStyle w:val="29"/>
              <w:numPr>
                <w:ilvl w:val="0"/>
                <w:numId w:val="4"/>
              </w:numPr>
            </w:pPr>
            <w:r>
              <w:t>Calendar and last-year features are a smaller share but are what let the model anticipate seasonal turning points that averages miss.</w:t>
            </w:r>
          </w:p>
        </w:tc>
      </w:tr>
    </w:tbl>
    <w:p w14:paraId="1EA50B37">
      <w:pPr>
        <w:pStyle w:val="2"/>
      </w:pPr>
      <w:bookmarkStart w:id="68" w:name="_Toc12719"/>
      <w:r>
        <w:t>Chapter 7: Modelling and Results</w:t>
      </w:r>
      <w:bookmarkEnd w:id="68"/>
    </w:p>
    <w:p w14:paraId="07EBEA72">
      <w:r>
        <w:t>The headline result is that a single global LightGBM model was the most accurate method on every aggregate measure, reducing weekly error by 19% relative to an eight-week moving average, but that weekly demand at SKU × branch level remains difficult for every method. This chapter explains which models we compared and why, which we shortlisted, and what the results mean for the sponsor.</w:t>
      </w:r>
    </w:p>
    <w:p w14:paraId="09F51B24">
      <w:pPr>
        <w:pStyle w:val="3"/>
      </w:pPr>
      <w:bookmarkStart w:id="69" w:name="_Toc23020"/>
      <w:r>
        <w:t>7.1  Models and Metrics Considered</w:t>
      </w:r>
      <w:bookmarkEnd w:id="69"/>
    </w:p>
    <w:p w14:paraId="411D3F22">
      <w:pPr>
        <w:pStyle w:val="10"/>
        <w:keepNext/>
      </w:pPr>
      <w:r>
        <w:t>Table 7.</w:t>
      </w:r>
      <w:r>
        <w:fldChar w:fldCharType="begin"/>
      </w:r>
      <w:r>
        <w:instrText xml:space="preserve">SEQ Table \* ARABIC \s 1</w:instrText>
      </w:r>
      <w:r>
        <w:fldChar w:fldCharType="separate"/>
      </w:r>
      <w:r>
        <w:t>1</w:t>
      </w:r>
      <w:r>
        <w:fldChar w:fldCharType="end"/>
      </w:r>
      <w:bookmarkStart w:id="70" w:name="_Toc29043"/>
      <w:r>
        <w:t>: Models and metrics considered</w:t>
      </w:r>
      <w:bookmarkEnd w:id="70"/>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1800"/>
        <w:gridCol w:w="2600"/>
        <w:gridCol w:w="2560"/>
        <w:gridCol w:w="2400"/>
      </w:tblGrid>
      <w:tr w14:paraId="795C9BB6">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1800" w:type="dxa"/>
            <w:shd w:val="clear" w:color="auto" w:fill="1F3864"/>
            <w:tcMar>
              <w:top w:w="80" w:type="dxa"/>
              <w:left w:w="120" w:type="dxa"/>
              <w:bottom w:w="80" w:type="dxa"/>
              <w:right w:w="120" w:type="dxa"/>
            </w:tcMar>
            <w:vAlign w:val="center"/>
          </w:tcPr>
          <w:p w14:paraId="6FDBD897">
            <w:pPr>
              <w:pStyle w:val="27"/>
            </w:pPr>
            <w:r>
              <w:t>Model</w:t>
            </w:r>
          </w:p>
        </w:tc>
        <w:tc>
          <w:tcPr>
            <w:tcW w:w="2600" w:type="dxa"/>
            <w:shd w:val="clear" w:color="auto" w:fill="1F3864"/>
            <w:tcMar>
              <w:top w:w="80" w:type="dxa"/>
              <w:left w:w="120" w:type="dxa"/>
              <w:bottom w:w="80" w:type="dxa"/>
              <w:right w:w="120" w:type="dxa"/>
            </w:tcMar>
            <w:vAlign w:val="center"/>
          </w:tcPr>
          <w:p w14:paraId="464973BC">
            <w:pPr>
              <w:pStyle w:val="27"/>
            </w:pPr>
            <w:r>
              <w:t>Brief approach</w:t>
            </w:r>
          </w:p>
        </w:tc>
        <w:tc>
          <w:tcPr>
            <w:tcW w:w="2560" w:type="dxa"/>
            <w:shd w:val="clear" w:color="auto" w:fill="1F3864"/>
            <w:tcMar>
              <w:top w:w="80" w:type="dxa"/>
              <w:left w:w="120" w:type="dxa"/>
              <w:bottom w:w="80" w:type="dxa"/>
              <w:right w:w="120" w:type="dxa"/>
            </w:tcMar>
            <w:vAlign w:val="center"/>
          </w:tcPr>
          <w:p w14:paraId="3A860FAB">
            <w:pPr>
              <w:pStyle w:val="27"/>
            </w:pPr>
            <w:r>
              <w:t>Metric(s) and why</w:t>
            </w:r>
          </w:p>
        </w:tc>
        <w:tc>
          <w:tcPr>
            <w:tcW w:w="2400" w:type="dxa"/>
            <w:shd w:val="clear" w:color="auto" w:fill="1F3864"/>
            <w:tcMar>
              <w:top w:w="80" w:type="dxa"/>
              <w:left w:w="120" w:type="dxa"/>
              <w:bottom w:w="80" w:type="dxa"/>
              <w:right w:w="120" w:type="dxa"/>
            </w:tcMar>
            <w:vAlign w:val="center"/>
          </w:tcPr>
          <w:p w14:paraId="33704ED0">
            <w:pPr>
              <w:pStyle w:val="27"/>
            </w:pPr>
            <w:r>
              <w:t>Challenges</w:t>
            </w:r>
          </w:p>
        </w:tc>
      </w:tr>
      <w:tr w14:paraId="06863A2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800" w:type="dxa"/>
            <w:tcMar>
              <w:top w:w="80" w:type="dxa"/>
              <w:left w:w="120" w:type="dxa"/>
              <w:bottom w:w="80" w:type="dxa"/>
              <w:right w:w="120" w:type="dxa"/>
            </w:tcMar>
          </w:tcPr>
          <w:p w14:paraId="534142BB">
            <w:pPr>
              <w:pStyle w:val="26"/>
            </w:pPr>
            <w:r>
              <w:rPr>
                <w:b/>
                <w:bCs/>
                <w:color w:val="1F3864"/>
              </w:rPr>
              <w:t>Naive; seasonal naive</w:t>
            </w:r>
          </w:p>
        </w:tc>
        <w:tc>
          <w:tcPr>
            <w:tcW w:w="2600" w:type="dxa"/>
            <w:tcMar>
              <w:top w:w="80" w:type="dxa"/>
              <w:left w:w="120" w:type="dxa"/>
              <w:bottom w:w="80" w:type="dxa"/>
              <w:right w:w="120" w:type="dxa"/>
            </w:tcMar>
          </w:tcPr>
          <w:p w14:paraId="447378EF">
            <w:pPr>
              <w:pStyle w:val="26"/>
            </w:pPr>
            <w:r>
              <w:t>Repeat last week, or the same week last year</w:t>
            </w:r>
          </w:p>
        </w:tc>
        <w:tc>
          <w:tcPr>
            <w:tcW w:w="2560" w:type="dxa"/>
            <w:tcMar>
              <w:top w:w="80" w:type="dxa"/>
              <w:left w:w="120" w:type="dxa"/>
              <w:bottom w:w="80" w:type="dxa"/>
              <w:right w:w="120" w:type="dxa"/>
            </w:tcMar>
          </w:tcPr>
          <w:p w14:paraId="2357AFC1">
            <w:pPr>
              <w:pStyle w:val="26"/>
            </w:pPr>
            <w:r>
              <w:t>Benchmarks: any useful method must beat them on WAPE</w:t>
            </w:r>
          </w:p>
        </w:tc>
        <w:tc>
          <w:tcPr>
            <w:tcW w:w="2400" w:type="dxa"/>
            <w:tcMar>
              <w:top w:w="80" w:type="dxa"/>
              <w:left w:w="120" w:type="dxa"/>
              <w:bottom w:w="80" w:type="dxa"/>
              <w:right w:w="120" w:type="dxa"/>
            </w:tcMar>
          </w:tcPr>
          <w:p w14:paraId="3571082C">
            <w:pPr>
              <w:pStyle w:val="26"/>
            </w:pPr>
            <w:r>
              <w:t>Naive chases noise; seasonal naive ignores 50-70% growth</w:t>
            </w:r>
          </w:p>
        </w:tc>
      </w:tr>
      <w:tr w14:paraId="3DF1D90A">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800" w:type="dxa"/>
            <w:shd w:val="clear" w:color="auto" w:fill="F5F7F7"/>
            <w:tcMar>
              <w:top w:w="80" w:type="dxa"/>
              <w:left w:w="120" w:type="dxa"/>
              <w:bottom w:w="80" w:type="dxa"/>
              <w:right w:w="120" w:type="dxa"/>
            </w:tcMar>
          </w:tcPr>
          <w:p w14:paraId="2D41BE86">
            <w:pPr>
              <w:pStyle w:val="26"/>
            </w:pPr>
            <w:r>
              <w:rPr>
                <w:b/>
                <w:bCs/>
                <w:color w:val="1F3864"/>
              </w:rPr>
              <w:t>Moving average (8w); SES</w:t>
            </w:r>
          </w:p>
        </w:tc>
        <w:tc>
          <w:tcPr>
            <w:tcW w:w="2600" w:type="dxa"/>
            <w:shd w:val="clear" w:color="auto" w:fill="F5F7F7"/>
            <w:tcMar>
              <w:top w:w="80" w:type="dxa"/>
              <w:left w:w="120" w:type="dxa"/>
              <w:bottom w:w="80" w:type="dxa"/>
              <w:right w:w="120" w:type="dxa"/>
            </w:tcMar>
          </w:tcPr>
          <w:p w14:paraId="595C16E0">
            <w:pPr>
              <w:pStyle w:val="26"/>
            </w:pPr>
            <w:r>
              <w:t>Average or exponentially weighted average of recent weeks</w:t>
            </w:r>
          </w:p>
        </w:tc>
        <w:tc>
          <w:tcPr>
            <w:tcW w:w="2560" w:type="dxa"/>
            <w:shd w:val="clear" w:color="auto" w:fill="F5F7F7"/>
            <w:tcMar>
              <w:top w:w="80" w:type="dxa"/>
              <w:left w:w="120" w:type="dxa"/>
              <w:bottom w:w="80" w:type="dxa"/>
              <w:right w:w="120" w:type="dxa"/>
            </w:tcMar>
          </w:tcPr>
          <w:p w14:paraId="02A68771">
            <w:pPr>
              <w:pStyle w:val="26"/>
            </w:pPr>
            <w:r>
              <w:t>Proxy for planners' current rules</w:t>
            </w:r>
          </w:p>
        </w:tc>
        <w:tc>
          <w:tcPr>
            <w:tcW w:w="2400" w:type="dxa"/>
            <w:shd w:val="clear" w:color="auto" w:fill="F5F7F7"/>
            <w:tcMar>
              <w:top w:w="80" w:type="dxa"/>
              <w:left w:w="120" w:type="dxa"/>
              <w:bottom w:w="80" w:type="dxa"/>
              <w:right w:w="120" w:type="dxa"/>
            </w:tcMar>
          </w:tcPr>
          <w:p w14:paraId="315DF712">
            <w:pPr>
              <w:pStyle w:val="26"/>
            </w:pPr>
            <w:r>
              <w:t>Lag behind seasonal turns; flat over the horizon</w:t>
            </w:r>
          </w:p>
        </w:tc>
      </w:tr>
      <w:tr w14:paraId="325E9FF4">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800" w:type="dxa"/>
            <w:tcMar>
              <w:top w:w="80" w:type="dxa"/>
              <w:left w:w="120" w:type="dxa"/>
              <w:bottom w:w="80" w:type="dxa"/>
              <w:right w:w="120" w:type="dxa"/>
            </w:tcMar>
          </w:tcPr>
          <w:p w14:paraId="1C569E5C">
            <w:pPr>
              <w:pStyle w:val="26"/>
            </w:pPr>
            <w:r>
              <w:rPr>
                <w:b/>
                <w:bCs/>
                <w:color w:val="1F3864"/>
              </w:rPr>
              <w:t>ARIMA(1,1,1)</w:t>
            </w:r>
          </w:p>
        </w:tc>
        <w:tc>
          <w:tcPr>
            <w:tcW w:w="2600" w:type="dxa"/>
            <w:tcMar>
              <w:top w:w="80" w:type="dxa"/>
              <w:left w:w="120" w:type="dxa"/>
              <w:bottom w:w="80" w:type="dxa"/>
              <w:right w:w="120" w:type="dxa"/>
            </w:tcMar>
          </w:tcPr>
          <w:p w14:paraId="46F26003">
            <w:pPr>
              <w:pStyle w:val="26"/>
            </w:pPr>
            <w:r>
              <w:t>Per-series autoregressive model on differenced demand</w:t>
            </w:r>
          </w:p>
        </w:tc>
        <w:tc>
          <w:tcPr>
            <w:tcW w:w="2560" w:type="dxa"/>
            <w:tcMar>
              <w:top w:w="80" w:type="dxa"/>
              <w:left w:w="120" w:type="dxa"/>
              <w:bottom w:w="80" w:type="dxa"/>
              <w:right w:w="120" w:type="dxa"/>
            </w:tcMar>
          </w:tcPr>
          <w:p w14:paraId="317EB374">
            <w:pPr>
              <w:pStyle w:val="26"/>
            </w:pPr>
            <w:r>
              <w:t>WAPE and bias; classical statistical benchmark</w:t>
            </w:r>
          </w:p>
        </w:tc>
        <w:tc>
          <w:tcPr>
            <w:tcW w:w="2400" w:type="dxa"/>
            <w:tcMar>
              <w:top w:w="80" w:type="dxa"/>
              <w:left w:w="120" w:type="dxa"/>
              <w:bottom w:w="80" w:type="dxa"/>
              <w:right w:w="120" w:type="dxa"/>
            </w:tcMar>
          </w:tcPr>
          <w:p w14:paraId="1226592A">
            <w:pPr>
              <w:pStyle w:val="26"/>
            </w:pPr>
            <w:r>
              <w:t>Unstable on short, sparse series; needed zero-bounding</w:t>
            </w:r>
          </w:p>
        </w:tc>
      </w:tr>
      <w:tr w14:paraId="754B4C1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800" w:type="dxa"/>
            <w:shd w:val="clear" w:color="auto" w:fill="F5F7F7"/>
            <w:tcMar>
              <w:top w:w="80" w:type="dxa"/>
              <w:left w:w="120" w:type="dxa"/>
              <w:bottom w:w="80" w:type="dxa"/>
              <w:right w:w="120" w:type="dxa"/>
            </w:tcMar>
          </w:tcPr>
          <w:p w14:paraId="3A9BB275">
            <w:pPr>
              <w:pStyle w:val="26"/>
            </w:pPr>
            <w:r>
              <w:rPr>
                <w:b/>
                <w:bCs/>
                <w:color w:val="1F3864"/>
              </w:rPr>
              <w:t>Croston; SBA; TSB</w:t>
            </w:r>
          </w:p>
        </w:tc>
        <w:tc>
          <w:tcPr>
            <w:tcW w:w="2600" w:type="dxa"/>
            <w:shd w:val="clear" w:color="auto" w:fill="F5F7F7"/>
            <w:tcMar>
              <w:top w:w="80" w:type="dxa"/>
              <w:left w:w="120" w:type="dxa"/>
              <w:bottom w:w="80" w:type="dxa"/>
              <w:right w:w="120" w:type="dxa"/>
            </w:tcMar>
          </w:tcPr>
          <w:p w14:paraId="5A9987A0">
            <w:pPr>
              <w:pStyle w:val="26"/>
            </w:pPr>
            <w:r>
              <w:t>Smooth demand size and interval (or probability) separately</w:t>
            </w:r>
          </w:p>
        </w:tc>
        <w:tc>
          <w:tcPr>
            <w:tcW w:w="2560" w:type="dxa"/>
            <w:shd w:val="clear" w:color="auto" w:fill="F5F7F7"/>
            <w:tcMar>
              <w:top w:w="80" w:type="dxa"/>
              <w:left w:w="120" w:type="dxa"/>
              <w:bottom w:w="80" w:type="dxa"/>
              <w:right w:w="120" w:type="dxa"/>
            </w:tcMar>
          </w:tcPr>
          <w:p w14:paraId="44A8DD9B">
            <w:pPr>
              <w:pStyle w:val="26"/>
            </w:pPr>
            <w:r>
              <w:t>WAPE and MASE; designed for intermittent demand</w:t>
            </w:r>
          </w:p>
        </w:tc>
        <w:tc>
          <w:tcPr>
            <w:tcW w:w="2400" w:type="dxa"/>
            <w:shd w:val="clear" w:color="auto" w:fill="F5F7F7"/>
            <w:tcMar>
              <w:top w:w="80" w:type="dxa"/>
              <w:left w:w="120" w:type="dxa"/>
              <w:bottom w:w="80" w:type="dxa"/>
              <w:right w:w="120" w:type="dxa"/>
            </w:tcMar>
          </w:tcPr>
          <w:p w14:paraId="624A2FCC">
            <w:pPr>
              <w:pStyle w:val="26"/>
            </w:pPr>
            <w:r>
              <w:t>Flat forecasts with no seasonality</w:t>
            </w:r>
          </w:p>
        </w:tc>
      </w:tr>
      <w:tr w14:paraId="7FEEAAB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800" w:type="dxa"/>
            <w:tcMar>
              <w:top w:w="80" w:type="dxa"/>
              <w:left w:w="120" w:type="dxa"/>
              <w:bottom w:w="80" w:type="dxa"/>
              <w:right w:w="120" w:type="dxa"/>
            </w:tcMar>
          </w:tcPr>
          <w:p w14:paraId="0B783685">
            <w:pPr>
              <w:pStyle w:val="26"/>
            </w:pPr>
            <w:r>
              <w:rPr>
                <w:b/>
                <w:bCs/>
                <w:color w:val="1F3864"/>
              </w:rPr>
              <w:t>Seasonal SBA</w:t>
            </w:r>
          </w:p>
        </w:tc>
        <w:tc>
          <w:tcPr>
            <w:tcW w:w="2600" w:type="dxa"/>
            <w:tcMar>
              <w:top w:w="80" w:type="dxa"/>
              <w:left w:w="120" w:type="dxa"/>
              <w:bottom w:w="80" w:type="dxa"/>
              <w:right w:w="120" w:type="dxa"/>
            </w:tcMar>
          </w:tcPr>
          <w:p w14:paraId="63E8CFE0">
            <w:pPr>
              <w:pStyle w:val="26"/>
            </w:pPr>
            <w:r>
              <w:t>SBA on deseasonalised demand, rescaled by a calendar-month index</w:t>
            </w:r>
          </w:p>
        </w:tc>
        <w:tc>
          <w:tcPr>
            <w:tcW w:w="2560" w:type="dxa"/>
            <w:tcMar>
              <w:top w:w="80" w:type="dxa"/>
              <w:left w:w="120" w:type="dxa"/>
              <w:bottom w:w="80" w:type="dxa"/>
              <w:right w:w="120" w:type="dxa"/>
            </w:tcMar>
          </w:tcPr>
          <w:p w14:paraId="51C8F50A">
            <w:pPr>
              <w:pStyle w:val="26"/>
            </w:pPr>
            <w:r>
              <w:t>Tests whether adding seasonality rescues intermittent methods</w:t>
            </w:r>
          </w:p>
        </w:tc>
        <w:tc>
          <w:tcPr>
            <w:tcW w:w="2400" w:type="dxa"/>
            <w:tcMar>
              <w:top w:w="80" w:type="dxa"/>
              <w:left w:w="120" w:type="dxa"/>
              <w:bottom w:w="80" w:type="dxa"/>
              <w:right w:w="120" w:type="dxa"/>
            </w:tcMar>
          </w:tcPr>
          <w:p w14:paraId="30EB75DD">
            <w:pPr>
              <w:pStyle w:val="26"/>
            </w:pPr>
            <w:r>
              <w:t>Month index from one to two years of data</w:t>
            </w:r>
          </w:p>
        </w:tc>
      </w:tr>
      <w:tr w14:paraId="61D2209F">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800" w:type="dxa"/>
            <w:shd w:val="clear" w:color="auto" w:fill="F5F7F7"/>
            <w:tcMar>
              <w:top w:w="80" w:type="dxa"/>
              <w:left w:w="120" w:type="dxa"/>
              <w:bottom w:w="80" w:type="dxa"/>
              <w:right w:w="120" w:type="dxa"/>
            </w:tcMar>
          </w:tcPr>
          <w:p w14:paraId="110573DC">
            <w:pPr>
              <w:pStyle w:val="26"/>
            </w:pPr>
            <w:r>
              <w:rPr>
                <w:b/>
                <w:bCs/>
                <w:color w:val="1F3864"/>
              </w:rPr>
              <w:t>Random forest (global)</w:t>
            </w:r>
          </w:p>
        </w:tc>
        <w:tc>
          <w:tcPr>
            <w:tcW w:w="2600" w:type="dxa"/>
            <w:shd w:val="clear" w:color="auto" w:fill="F5F7F7"/>
            <w:tcMar>
              <w:top w:w="80" w:type="dxa"/>
              <w:left w:w="120" w:type="dxa"/>
              <w:bottom w:w="80" w:type="dxa"/>
              <w:right w:w="120" w:type="dxa"/>
            </w:tcMar>
          </w:tcPr>
          <w:p w14:paraId="35564382">
            <w:pPr>
              <w:pStyle w:val="26"/>
            </w:pPr>
            <w:r>
              <w:t>Bagged regression trees on 31 features across all series</w:t>
            </w:r>
          </w:p>
        </w:tc>
        <w:tc>
          <w:tcPr>
            <w:tcW w:w="2560" w:type="dxa"/>
            <w:shd w:val="clear" w:color="auto" w:fill="F5F7F7"/>
            <w:tcMar>
              <w:top w:w="80" w:type="dxa"/>
              <w:left w:w="120" w:type="dxa"/>
              <w:bottom w:w="80" w:type="dxa"/>
              <w:right w:w="120" w:type="dxa"/>
            </w:tcMar>
          </w:tcPr>
          <w:p w14:paraId="53E0AE2E">
            <w:pPr>
              <w:pStyle w:val="26"/>
            </w:pPr>
            <w:r>
              <w:t>WAPE and bias; non-linear benchmark</w:t>
            </w:r>
          </w:p>
        </w:tc>
        <w:tc>
          <w:tcPr>
            <w:tcW w:w="2400" w:type="dxa"/>
            <w:shd w:val="clear" w:color="auto" w:fill="F5F7F7"/>
            <w:tcMar>
              <w:top w:w="80" w:type="dxa"/>
              <w:left w:w="120" w:type="dxa"/>
              <w:bottom w:w="80" w:type="dxa"/>
              <w:right w:w="120" w:type="dxa"/>
            </w:tcMar>
          </w:tcPr>
          <w:p w14:paraId="099F0463">
            <w:pPr>
              <w:pStyle w:val="26"/>
            </w:pPr>
            <w:r>
              <w:t>Over-forecasts sparse series; no count-data loss</w:t>
            </w:r>
          </w:p>
        </w:tc>
      </w:tr>
      <w:tr w14:paraId="46E5913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800" w:type="dxa"/>
            <w:tcMar>
              <w:top w:w="80" w:type="dxa"/>
              <w:left w:w="120" w:type="dxa"/>
              <w:bottom w:w="80" w:type="dxa"/>
              <w:right w:w="120" w:type="dxa"/>
            </w:tcMar>
          </w:tcPr>
          <w:p w14:paraId="1E7C73CC">
            <w:pPr>
              <w:pStyle w:val="26"/>
            </w:pPr>
            <w:r>
              <w:rPr>
                <w:b/>
                <w:bCs/>
                <w:color w:val="1F3864"/>
              </w:rPr>
              <w:t>LightGBM (global)</w:t>
            </w:r>
          </w:p>
        </w:tc>
        <w:tc>
          <w:tcPr>
            <w:tcW w:w="2600" w:type="dxa"/>
            <w:tcMar>
              <w:top w:w="80" w:type="dxa"/>
              <w:left w:w="120" w:type="dxa"/>
              <w:bottom w:w="80" w:type="dxa"/>
              <w:right w:w="120" w:type="dxa"/>
            </w:tcMar>
          </w:tcPr>
          <w:p w14:paraId="467334D3">
            <w:pPr>
              <w:pStyle w:val="26"/>
            </w:pPr>
            <w:r>
              <w:t>Gradient-boosted trees with Tweedie loss on 31 features</w:t>
            </w:r>
          </w:p>
        </w:tc>
        <w:tc>
          <w:tcPr>
            <w:tcW w:w="2560" w:type="dxa"/>
            <w:tcMar>
              <w:top w:w="80" w:type="dxa"/>
              <w:left w:w="120" w:type="dxa"/>
              <w:bottom w:w="80" w:type="dxa"/>
              <w:right w:w="120" w:type="dxa"/>
            </w:tcMar>
          </w:tcPr>
          <w:p w14:paraId="1409C240">
            <w:pPr>
              <w:pStyle w:val="26"/>
            </w:pPr>
            <w:r>
              <w:t>WAPE, bias, MASE, aggregated WAPE</w:t>
            </w:r>
          </w:p>
        </w:tc>
        <w:tc>
          <w:tcPr>
            <w:tcW w:w="2400" w:type="dxa"/>
            <w:tcMar>
              <w:top w:w="80" w:type="dxa"/>
              <w:left w:w="120" w:type="dxa"/>
              <w:bottom w:w="80" w:type="dxa"/>
              <w:right w:w="120" w:type="dxa"/>
            </w:tcMar>
          </w:tcPr>
          <w:p w14:paraId="10A28EF4">
            <w:pPr>
              <w:pStyle w:val="26"/>
            </w:pPr>
            <w:r>
              <w:t>Needs feature pipeline and monitoring</w:t>
            </w:r>
          </w:p>
        </w:tc>
      </w:tr>
      <w:tr w14:paraId="07AD06F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800" w:type="dxa"/>
            <w:shd w:val="clear" w:color="auto" w:fill="F5F7F7"/>
            <w:tcMar>
              <w:top w:w="80" w:type="dxa"/>
              <w:left w:w="120" w:type="dxa"/>
              <w:bottom w:w="80" w:type="dxa"/>
              <w:right w:w="120" w:type="dxa"/>
            </w:tcMar>
          </w:tcPr>
          <w:p w14:paraId="2EDB2F96">
            <w:pPr>
              <w:pStyle w:val="26"/>
            </w:pPr>
            <w:r>
              <w:rPr>
                <w:b/>
                <w:bCs/>
                <w:color w:val="1F3864"/>
              </w:rPr>
              <w:t>Ensemble</w:t>
            </w:r>
          </w:p>
        </w:tc>
        <w:tc>
          <w:tcPr>
            <w:tcW w:w="2600" w:type="dxa"/>
            <w:shd w:val="clear" w:color="auto" w:fill="F5F7F7"/>
            <w:tcMar>
              <w:top w:w="80" w:type="dxa"/>
              <w:left w:w="120" w:type="dxa"/>
              <w:bottom w:w="80" w:type="dxa"/>
              <w:right w:w="120" w:type="dxa"/>
            </w:tcMar>
          </w:tcPr>
          <w:p w14:paraId="7EBA6A0E">
            <w:pPr>
              <w:pStyle w:val="26"/>
            </w:pPr>
            <w:r>
              <w:t>Average of LightGBM and seasonal SBA</w:t>
            </w:r>
          </w:p>
        </w:tc>
        <w:tc>
          <w:tcPr>
            <w:tcW w:w="2560" w:type="dxa"/>
            <w:shd w:val="clear" w:color="auto" w:fill="F5F7F7"/>
            <w:tcMar>
              <w:top w:w="80" w:type="dxa"/>
              <w:left w:w="120" w:type="dxa"/>
              <w:bottom w:w="80" w:type="dxa"/>
              <w:right w:w="120" w:type="dxa"/>
            </w:tcMar>
          </w:tcPr>
          <w:p w14:paraId="7EE0EF51">
            <w:pPr>
              <w:pStyle w:val="26"/>
            </w:pPr>
            <w:r>
              <w:t>Tests whether combining families adds robustness</w:t>
            </w:r>
          </w:p>
        </w:tc>
        <w:tc>
          <w:tcPr>
            <w:tcW w:w="2400" w:type="dxa"/>
            <w:shd w:val="clear" w:color="auto" w:fill="F5F7F7"/>
            <w:tcMar>
              <w:top w:w="80" w:type="dxa"/>
              <w:left w:w="120" w:type="dxa"/>
              <w:bottom w:w="80" w:type="dxa"/>
              <w:right w:w="120" w:type="dxa"/>
            </w:tcMar>
          </w:tcPr>
          <w:p w14:paraId="2B589E85">
            <w:pPr>
              <w:pStyle w:val="26"/>
            </w:pPr>
            <w:r>
              <w:t>Inherits seasonal SBA's off-season bias</w:t>
            </w:r>
          </w:p>
        </w:tc>
      </w:tr>
    </w:tbl>
    <w:p w14:paraId="32083D45">
      <w:pPr>
        <w:pStyle w:val="25"/>
      </w:pPr>
      <w:r>
        <w:t>Source: Sponsor ERP billing extract; team rolling-origin backtest, 8 folds, weeks ending 26 Nov 2023 - 30 Jun 2024.</w:t>
      </w:r>
    </w:p>
    <w:p w14:paraId="7F5D5BEF">
      <w:r>
        <w:t>WAPE is our primary metric because it weights errors by volume, and units of stock are what the sponsor pays for; it also remains defined when actual demand is zero. Bias is reported because a forecast that is systematically low causes stock-outs at the peak however small its average error. MASE complements both by scaling each series' error by that of a naive forecast, which gives small series equal weight. Because the replenishment decision covers two to four weeks, we also report WAPE on four-week sums per series and on branch-week totals.</w:t>
      </w:r>
    </w:p>
    <w:p w14:paraId="796D5836">
      <w:pPr>
        <w:pStyle w:val="3"/>
      </w:pPr>
      <w:bookmarkStart w:id="71" w:name="_Toc10556"/>
      <w:r>
        <w:t>7.2  Models Chosen</w:t>
      </w:r>
      <w:bookmarkEnd w:id="71"/>
    </w:p>
    <w:p w14:paraId="4E58341D">
      <w:r>
        <w:t xml:space="preserve">Against these metrics we shortlisted three approaches. </w:t>
      </w:r>
      <w:r>
        <w:rPr>
          <w:b/>
          <w:bCs/>
        </w:rPr>
        <w:t>LightGBM</w:t>
      </w:r>
      <w:r>
        <w:t xml:space="preserve"> is the primary candidate because it had the lowest WAPE overall, on four-week buckets and on branch totals, and its advantage held across branches and volume tiers. The </w:t>
      </w:r>
      <w:r>
        <w:rPr>
          <w:b/>
          <w:bCs/>
        </w:rPr>
        <w:t>seasonal SBA and the ensemble</w:t>
      </w:r>
      <w:r>
        <w:t xml:space="preserve"> are retained as interpretable challengers: their logic, an intermittent level rescaled by a seasonal index, can be explained in one sentence to a planner, and the ensemble was close to unbiased overall (+2.1%) with the second-lowest WAPE. The </w:t>
      </w:r>
      <w:r>
        <w:rPr>
          <w:b/>
          <w:bCs/>
        </w:rPr>
        <w:t>moving average</w:t>
      </w:r>
      <w:r>
        <w:t xml:space="preserve"> is retained as the fallback for series with too little history and as the benchmark that any deployed model must continue to beat.</w:t>
      </w:r>
    </w:p>
    <w:p w14:paraId="4BD4D02B">
      <w:pPr>
        <w:pStyle w:val="3"/>
      </w:pPr>
      <w:bookmarkStart w:id="72" w:name="_Toc14825"/>
      <w:r>
        <w:t>7.3  Results</w:t>
      </w:r>
      <w:bookmarkEnd w:id="72"/>
    </w:p>
    <w:p w14:paraId="43552D2B">
      <w:pPr>
        <w:pStyle w:val="4"/>
      </w:pPr>
      <w:bookmarkStart w:id="73" w:name="_Toc18422"/>
      <w:r>
        <w:t>Overall accuracy</w:t>
      </w:r>
      <w:bookmarkEnd w:id="73"/>
    </w:p>
    <w:p w14:paraId="1092ADED">
      <w:pPr>
        <w:pStyle w:val="10"/>
        <w:keepNext/>
      </w:pPr>
      <w:r>
        <w:t>Table 7.</w:t>
      </w:r>
      <w:r>
        <w:fldChar w:fldCharType="begin"/>
      </w:r>
      <w:r>
        <w:instrText xml:space="preserve">SEQ Table \* ARABIC \s 1</w:instrText>
      </w:r>
      <w:r>
        <w:fldChar w:fldCharType="separate"/>
      </w:r>
      <w:r>
        <w:t>2</w:t>
      </w:r>
      <w:r>
        <w:fldChar w:fldCharType="end"/>
      </w:r>
      <w:bookmarkStart w:id="74" w:name="_Toc19507"/>
      <w:r>
        <w:t>: Backtest results for all twelve methods (ranked by weekly WAPE)</w:t>
      </w:r>
      <w:bookmarkEnd w:id="74"/>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2860"/>
        <w:gridCol w:w="1300"/>
        <w:gridCol w:w="1000"/>
        <w:gridCol w:w="1000"/>
        <w:gridCol w:w="1600"/>
        <w:gridCol w:w="1600"/>
      </w:tblGrid>
      <w:tr w14:paraId="1568E8A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2860" w:type="dxa"/>
            <w:shd w:val="clear" w:color="auto" w:fill="1F3864"/>
            <w:tcMar>
              <w:top w:w="80" w:type="dxa"/>
              <w:left w:w="120" w:type="dxa"/>
              <w:bottom w:w="80" w:type="dxa"/>
              <w:right w:w="120" w:type="dxa"/>
            </w:tcMar>
            <w:vAlign w:val="center"/>
          </w:tcPr>
          <w:p w14:paraId="38C57E3F">
            <w:pPr>
              <w:pStyle w:val="27"/>
            </w:pPr>
            <w:r>
              <w:t>Model</w:t>
            </w:r>
          </w:p>
        </w:tc>
        <w:tc>
          <w:tcPr>
            <w:tcW w:w="1300" w:type="dxa"/>
            <w:shd w:val="clear" w:color="auto" w:fill="1F3864"/>
            <w:tcMar>
              <w:top w:w="80" w:type="dxa"/>
              <w:left w:w="120" w:type="dxa"/>
              <w:bottom w:w="80" w:type="dxa"/>
              <w:right w:w="120" w:type="dxa"/>
            </w:tcMar>
            <w:vAlign w:val="center"/>
          </w:tcPr>
          <w:p w14:paraId="0523DB5C">
            <w:pPr>
              <w:pStyle w:val="27"/>
            </w:pPr>
            <w:r>
              <w:t>Weekly WAPE %</w:t>
            </w:r>
          </w:p>
        </w:tc>
        <w:tc>
          <w:tcPr>
            <w:tcW w:w="1000" w:type="dxa"/>
            <w:shd w:val="clear" w:color="auto" w:fill="1F3864"/>
            <w:tcMar>
              <w:top w:w="80" w:type="dxa"/>
              <w:left w:w="120" w:type="dxa"/>
              <w:bottom w:w="80" w:type="dxa"/>
              <w:right w:w="120" w:type="dxa"/>
            </w:tcMar>
            <w:vAlign w:val="center"/>
          </w:tcPr>
          <w:p w14:paraId="5B7D3337">
            <w:pPr>
              <w:pStyle w:val="27"/>
            </w:pPr>
            <w:r>
              <w:t>Bias %</w:t>
            </w:r>
          </w:p>
        </w:tc>
        <w:tc>
          <w:tcPr>
            <w:tcW w:w="1000" w:type="dxa"/>
            <w:shd w:val="clear" w:color="auto" w:fill="1F3864"/>
            <w:tcMar>
              <w:top w:w="80" w:type="dxa"/>
              <w:left w:w="120" w:type="dxa"/>
              <w:bottom w:w="80" w:type="dxa"/>
              <w:right w:w="120" w:type="dxa"/>
            </w:tcMar>
            <w:vAlign w:val="center"/>
          </w:tcPr>
          <w:p w14:paraId="47325A0C">
            <w:pPr>
              <w:pStyle w:val="27"/>
            </w:pPr>
            <w:r>
              <w:t>MASE</w:t>
            </w:r>
          </w:p>
        </w:tc>
        <w:tc>
          <w:tcPr>
            <w:tcW w:w="1600" w:type="dxa"/>
            <w:shd w:val="clear" w:color="auto" w:fill="1F3864"/>
            <w:tcMar>
              <w:top w:w="80" w:type="dxa"/>
              <w:left w:w="120" w:type="dxa"/>
              <w:bottom w:w="80" w:type="dxa"/>
              <w:right w:w="120" w:type="dxa"/>
            </w:tcMar>
            <w:vAlign w:val="center"/>
          </w:tcPr>
          <w:p w14:paraId="7B07FA0D">
            <w:pPr>
              <w:pStyle w:val="27"/>
            </w:pPr>
            <w:r>
              <w:t>4-week bucket WAPE %</w:t>
            </w:r>
          </w:p>
        </w:tc>
        <w:tc>
          <w:tcPr>
            <w:tcW w:w="1600" w:type="dxa"/>
            <w:shd w:val="clear" w:color="auto" w:fill="1F3864"/>
            <w:tcMar>
              <w:top w:w="80" w:type="dxa"/>
              <w:left w:w="120" w:type="dxa"/>
              <w:bottom w:w="80" w:type="dxa"/>
              <w:right w:w="120" w:type="dxa"/>
            </w:tcMar>
            <w:vAlign w:val="center"/>
          </w:tcPr>
          <w:p w14:paraId="5A20D205">
            <w:pPr>
              <w:pStyle w:val="27"/>
            </w:pPr>
            <w:r>
              <w:t>Branch-week WAPE %</w:t>
            </w:r>
          </w:p>
        </w:tc>
      </w:tr>
      <w:tr w14:paraId="3CE8713A">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60" w:type="dxa"/>
            <w:tcMar>
              <w:top w:w="80" w:type="dxa"/>
              <w:left w:w="120" w:type="dxa"/>
              <w:bottom w:w="80" w:type="dxa"/>
              <w:right w:w="120" w:type="dxa"/>
            </w:tcMar>
          </w:tcPr>
          <w:p w14:paraId="6DE755C2">
            <w:pPr>
              <w:pStyle w:val="26"/>
            </w:pPr>
            <w:r>
              <w:rPr>
                <w:b/>
                <w:bCs/>
                <w:color w:val="1F3864"/>
              </w:rPr>
              <w:t>LightGBM</w:t>
            </w:r>
          </w:p>
        </w:tc>
        <w:tc>
          <w:tcPr>
            <w:tcW w:w="1300" w:type="dxa"/>
            <w:tcMar>
              <w:top w:w="80" w:type="dxa"/>
              <w:left w:w="120" w:type="dxa"/>
              <w:bottom w:w="80" w:type="dxa"/>
              <w:right w:w="120" w:type="dxa"/>
            </w:tcMar>
          </w:tcPr>
          <w:p w14:paraId="2524B99C">
            <w:pPr>
              <w:pStyle w:val="26"/>
            </w:pPr>
            <w:r>
              <w:t>84.7</w:t>
            </w:r>
          </w:p>
        </w:tc>
        <w:tc>
          <w:tcPr>
            <w:tcW w:w="1000" w:type="dxa"/>
            <w:tcMar>
              <w:top w:w="80" w:type="dxa"/>
              <w:left w:w="120" w:type="dxa"/>
              <w:bottom w:w="80" w:type="dxa"/>
              <w:right w:w="120" w:type="dxa"/>
            </w:tcMar>
          </w:tcPr>
          <w:p w14:paraId="5C26C1D1">
            <w:pPr>
              <w:pStyle w:val="26"/>
            </w:pPr>
            <w:r>
              <w:t>-10.3</w:t>
            </w:r>
          </w:p>
        </w:tc>
        <w:tc>
          <w:tcPr>
            <w:tcW w:w="1000" w:type="dxa"/>
            <w:tcMar>
              <w:top w:w="80" w:type="dxa"/>
              <w:left w:w="120" w:type="dxa"/>
              <w:bottom w:w="80" w:type="dxa"/>
              <w:right w:w="120" w:type="dxa"/>
            </w:tcMar>
          </w:tcPr>
          <w:p w14:paraId="358400FA">
            <w:pPr>
              <w:pStyle w:val="26"/>
            </w:pPr>
            <w:r>
              <w:t>1.36</w:t>
            </w:r>
          </w:p>
        </w:tc>
        <w:tc>
          <w:tcPr>
            <w:tcW w:w="1600" w:type="dxa"/>
            <w:tcMar>
              <w:top w:w="80" w:type="dxa"/>
              <w:left w:w="120" w:type="dxa"/>
              <w:bottom w:w="80" w:type="dxa"/>
              <w:right w:w="120" w:type="dxa"/>
            </w:tcMar>
          </w:tcPr>
          <w:p w14:paraId="0FA2647F">
            <w:pPr>
              <w:pStyle w:val="26"/>
            </w:pPr>
            <w:r>
              <w:t>62.7</w:t>
            </w:r>
          </w:p>
        </w:tc>
        <w:tc>
          <w:tcPr>
            <w:tcW w:w="1600" w:type="dxa"/>
            <w:tcMar>
              <w:top w:w="80" w:type="dxa"/>
              <w:left w:w="120" w:type="dxa"/>
              <w:bottom w:w="80" w:type="dxa"/>
              <w:right w:w="120" w:type="dxa"/>
            </w:tcMar>
          </w:tcPr>
          <w:p w14:paraId="128934D9">
            <w:pPr>
              <w:pStyle w:val="26"/>
            </w:pPr>
            <w:r>
              <w:t>51.1</w:t>
            </w:r>
          </w:p>
        </w:tc>
      </w:tr>
      <w:tr w14:paraId="0E592C0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60" w:type="dxa"/>
            <w:shd w:val="clear" w:color="auto" w:fill="F5F7F7"/>
            <w:tcMar>
              <w:top w:w="80" w:type="dxa"/>
              <w:left w:w="120" w:type="dxa"/>
              <w:bottom w:w="80" w:type="dxa"/>
              <w:right w:w="120" w:type="dxa"/>
            </w:tcMar>
          </w:tcPr>
          <w:p w14:paraId="10234634">
            <w:pPr>
              <w:pStyle w:val="26"/>
            </w:pPr>
            <w:r>
              <w:rPr>
                <w:b/>
                <w:bCs/>
                <w:color w:val="1F3864"/>
              </w:rPr>
              <w:t>Ensemble (LightGBM + Seasonal SBA)</w:t>
            </w:r>
          </w:p>
        </w:tc>
        <w:tc>
          <w:tcPr>
            <w:tcW w:w="1300" w:type="dxa"/>
            <w:shd w:val="clear" w:color="auto" w:fill="F5F7F7"/>
            <w:tcMar>
              <w:top w:w="80" w:type="dxa"/>
              <w:left w:w="120" w:type="dxa"/>
              <w:bottom w:w="80" w:type="dxa"/>
              <w:right w:w="120" w:type="dxa"/>
            </w:tcMar>
          </w:tcPr>
          <w:p w14:paraId="797461F7">
            <w:pPr>
              <w:pStyle w:val="26"/>
            </w:pPr>
            <w:r>
              <w:t>94.0</w:t>
            </w:r>
          </w:p>
        </w:tc>
        <w:tc>
          <w:tcPr>
            <w:tcW w:w="1000" w:type="dxa"/>
            <w:shd w:val="clear" w:color="auto" w:fill="F5F7F7"/>
            <w:tcMar>
              <w:top w:w="80" w:type="dxa"/>
              <w:left w:w="120" w:type="dxa"/>
              <w:bottom w:w="80" w:type="dxa"/>
              <w:right w:w="120" w:type="dxa"/>
            </w:tcMar>
          </w:tcPr>
          <w:p w14:paraId="1AE97CF7">
            <w:pPr>
              <w:pStyle w:val="26"/>
            </w:pPr>
            <w:r>
              <w:t>+2.1</w:t>
            </w:r>
          </w:p>
        </w:tc>
        <w:tc>
          <w:tcPr>
            <w:tcW w:w="1000" w:type="dxa"/>
            <w:shd w:val="clear" w:color="auto" w:fill="F5F7F7"/>
            <w:tcMar>
              <w:top w:w="80" w:type="dxa"/>
              <w:left w:w="120" w:type="dxa"/>
              <w:bottom w:w="80" w:type="dxa"/>
              <w:right w:w="120" w:type="dxa"/>
            </w:tcMar>
          </w:tcPr>
          <w:p w14:paraId="396AEA68">
            <w:pPr>
              <w:pStyle w:val="26"/>
            </w:pPr>
            <w:r>
              <w:t>1.48</w:t>
            </w:r>
          </w:p>
        </w:tc>
        <w:tc>
          <w:tcPr>
            <w:tcW w:w="1600" w:type="dxa"/>
            <w:shd w:val="clear" w:color="auto" w:fill="F5F7F7"/>
            <w:tcMar>
              <w:top w:w="80" w:type="dxa"/>
              <w:left w:w="120" w:type="dxa"/>
              <w:bottom w:w="80" w:type="dxa"/>
              <w:right w:w="120" w:type="dxa"/>
            </w:tcMar>
          </w:tcPr>
          <w:p w14:paraId="2D9114D5">
            <w:pPr>
              <w:pStyle w:val="26"/>
            </w:pPr>
            <w:r>
              <w:t>69.2</w:t>
            </w:r>
          </w:p>
        </w:tc>
        <w:tc>
          <w:tcPr>
            <w:tcW w:w="1600" w:type="dxa"/>
            <w:shd w:val="clear" w:color="auto" w:fill="F5F7F7"/>
            <w:tcMar>
              <w:top w:w="80" w:type="dxa"/>
              <w:left w:w="120" w:type="dxa"/>
              <w:bottom w:w="80" w:type="dxa"/>
              <w:right w:w="120" w:type="dxa"/>
            </w:tcMar>
          </w:tcPr>
          <w:p w14:paraId="239FBAEA">
            <w:pPr>
              <w:pStyle w:val="26"/>
            </w:pPr>
            <w:r>
              <w:t>51.4</w:t>
            </w:r>
          </w:p>
        </w:tc>
      </w:tr>
      <w:tr w14:paraId="547B49BF">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60" w:type="dxa"/>
            <w:tcMar>
              <w:top w:w="80" w:type="dxa"/>
              <w:left w:w="120" w:type="dxa"/>
              <w:bottom w:w="80" w:type="dxa"/>
              <w:right w:w="120" w:type="dxa"/>
            </w:tcMar>
          </w:tcPr>
          <w:p w14:paraId="17A549A3">
            <w:pPr>
              <w:pStyle w:val="26"/>
            </w:pPr>
            <w:r>
              <w:rPr>
                <w:b/>
                <w:bCs/>
                <w:color w:val="1F3864"/>
              </w:rPr>
              <w:t>SES</w:t>
            </w:r>
          </w:p>
        </w:tc>
        <w:tc>
          <w:tcPr>
            <w:tcW w:w="1300" w:type="dxa"/>
            <w:tcMar>
              <w:top w:w="80" w:type="dxa"/>
              <w:left w:w="120" w:type="dxa"/>
              <w:bottom w:w="80" w:type="dxa"/>
              <w:right w:w="120" w:type="dxa"/>
            </w:tcMar>
          </w:tcPr>
          <w:p w14:paraId="68A28AE9">
            <w:pPr>
              <w:pStyle w:val="26"/>
            </w:pPr>
            <w:r>
              <w:t>98.8</w:t>
            </w:r>
          </w:p>
        </w:tc>
        <w:tc>
          <w:tcPr>
            <w:tcW w:w="1000" w:type="dxa"/>
            <w:tcMar>
              <w:top w:w="80" w:type="dxa"/>
              <w:left w:w="120" w:type="dxa"/>
              <w:bottom w:w="80" w:type="dxa"/>
              <w:right w:w="120" w:type="dxa"/>
            </w:tcMar>
          </w:tcPr>
          <w:p w14:paraId="27501742">
            <w:pPr>
              <w:pStyle w:val="26"/>
            </w:pPr>
            <w:r>
              <w:t>+4.0</w:t>
            </w:r>
          </w:p>
        </w:tc>
        <w:tc>
          <w:tcPr>
            <w:tcW w:w="1000" w:type="dxa"/>
            <w:tcMar>
              <w:top w:w="80" w:type="dxa"/>
              <w:left w:w="120" w:type="dxa"/>
              <w:bottom w:w="80" w:type="dxa"/>
              <w:right w:w="120" w:type="dxa"/>
            </w:tcMar>
          </w:tcPr>
          <w:p w14:paraId="11E080DC">
            <w:pPr>
              <w:pStyle w:val="26"/>
            </w:pPr>
            <w:r>
              <w:t>1.37</w:t>
            </w:r>
          </w:p>
        </w:tc>
        <w:tc>
          <w:tcPr>
            <w:tcW w:w="1600" w:type="dxa"/>
            <w:tcMar>
              <w:top w:w="80" w:type="dxa"/>
              <w:left w:w="120" w:type="dxa"/>
              <w:bottom w:w="80" w:type="dxa"/>
              <w:right w:w="120" w:type="dxa"/>
            </w:tcMar>
          </w:tcPr>
          <w:p w14:paraId="73384452">
            <w:pPr>
              <w:pStyle w:val="26"/>
            </w:pPr>
            <w:r>
              <w:t>73.6</w:t>
            </w:r>
          </w:p>
        </w:tc>
        <w:tc>
          <w:tcPr>
            <w:tcW w:w="1600" w:type="dxa"/>
            <w:tcMar>
              <w:top w:w="80" w:type="dxa"/>
              <w:left w:w="120" w:type="dxa"/>
              <w:bottom w:w="80" w:type="dxa"/>
              <w:right w:w="120" w:type="dxa"/>
            </w:tcMar>
          </w:tcPr>
          <w:p w14:paraId="7AB7CD80">
            <w:pPr>
              <w:pStyle w:val="26"/>
            </w:pPr>
            <w:r>
              <w:t>67.4</w:t>
            </w:r>
          </w:p>
        </w:tc>
      </w:tr>
      <w:tr w14:paraId="6786430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60" w:type="dxa"/>
            <w:shd w:val="clear" w:color="auto" w:fill="F5F7F7"/>
            <w:tcMar>
              <w:top w:w="80" w:type="dxa"/>
              <w:left w:w="120" w:type="dxa"/>
              <w:bottom w:w="80" w:type="dxa"/>
              <w:right w:w="120" w:type="dxa"/>
            </w:tcMar>
          </w:tcPr>
          <w:p w14:paraId="5F4FAD3C">
            <w:pPr>
              <w:pStyle w:val="26"/>
            </w:pPr>
            <w:r>
              <w:rPr>
                <w:b/>
                <w:bCs/>
                <w:color w:val="1F3864"/>
              </w:rPr>
              <w:t>Naive</w:t>
            </w:r>
          </w:p>
        </w:tc>
        <w:tc>
          <w:tcPr>
            <w:tcW w:w="1300" w:type="dxa"/>
            <w:shd w:val="clear" w:color="auto" w:fill="F5F7F7"/>
            <w:tcMar>
              <w:top w:w="80" w:type="dxa"/>
              <w:left w:w="120" w:type="dxa"/>
              <w:bottom w:w="80" w:type="dxa"/>
              <w:right w:w="120" w:type="dxa"/>
            </w:tcMar>
          </w:tcPr>
          <w:p w14:paraId="2F208EE0">
            <w:pPr>
              <w:pStyle w:val="26"/>
            </w:pPr>
            <w:r>
              <w:t>101.2</w:t>
            </w:r>
          </w:p>
        </w:tc>
        <w:tc>
          <w:tcPr>
            <w:tcW w:w="1000" w:type="dxa"/>
            <w:shd w:val="clear" w:color="auto" w:fill="F5F7F7"/>
            <w:tcMar>
              <w:top w:w="80" w:type="dxa"/>
              <w:left w:w="120" w:type="dxa"/>
              <w:bottom w:w="80" w:type="dxa"/>
              <w:right w:w="120" w:type="dxa"/>
            </w:tcMar>
          </w:tcPr>
          <w:p w14:paraId="63FF3747">
            <w:pPr>
              <w:pStyle w:val="26"/>
            </w:pPr>
            <w:r>
              <w:t>-13.1</w:t>
            </w:r>
          </w:p>
        </w:tc>
        <w:tc>
          <w:tcPr>
            <w:tcW w:w="1000" w:type="dxa"/>
            <w:shd w:val="clear" w:color="auto" w:fill="F5F7F7"/>
            <w:tcMar>
              <w:top w:w="80" w:type="dxa"/>
              <w:left w:w="120" w:type="dxa"/>
              <w:bottom w:w="80" w:type="dxa"/>
              <w:right w:w="120" w:type="dxa"/>
            </w:tcMar>
          </w:tcPr>
          <w:p w14:paraId="3FCE5CD0">
            <w:pPr>
              <w:pStyle w:val="26"/>
            </w:pPr>
            <w:r>
              <w:t>1.36</w:t>
            </w:r>
          </w:p>
        </w:tc>
        <w:tc>
          <w:tcPr>
            <w:tcW w:w="1600" w:type="dxa"/>
            <w:shd w:val="clear" w:color="auto" w:fill="F5F7F7"/>
            <w:tcMar>
              <w:top w:w="80" w:type="dxa"/>
              <w:left w:w="120" w:type="dxa"/>
              <w:bottom w:w="80" w:type="dxa"/>
              <w:right w:w="120" w:type="dxa"/>
            </w:tcMar>
          </w:tcPr>
          <w:p w14:paraId="2F01D04B">
            <w:pPr>
              <w:pStyle w:val="26"/>
            </w:pPr>
            <w:r>
              <w:t>87.9</w:t>
            </w:r>
          </w:p>
        </w:tc>
        <w:tc>
          <w:tcPr>
            <w:tcW w:w="1600" w:type="dxa"/>
            <w:shd w:val="clear" w:color="auto" w:fill="F5F7F7"/>
            <w:tcMar>
              <w:top w:w="80" w:type="dxa"/>
              <w:left w:w="120" w:type="dxa"/>
              <w:bottom w:w="80" w:type="dxa"/>
              <w:right w:w="120" w:type="dxa"/>
            </w:tcMar>
          </w:tcPr>
          <w:p w14:paraId="102EF87C">
            <w:pPr>
              <w:pStyle w:val="26"/>
            </w:pPr>
            <w:r>
              <w:t>68.8</w:t>
            </w:r>
          </w:p>
        </w:tc>
      </w:tr>
      <w:tr w14:paraId="51CA3BD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60" w:type="dxa"/>
            <w:tcMar>
              <w:top w:w="80" w:type="dxa"/>
              <w:left w:w="120" w:type="dxa"/>
              <w:bottom w:w="80" w:type="dxa"/>
              <w:right w:w="120" w:type="dxa"/>
            </w:tcMar>
          </w:tcPr>
          <w:p w14:paraId="6A197F99">
            <w:pPr>
              <w:pStyle w:val="26"/>
            </w:pPr>
            <w:r>
              <w:rPr>
                <w:b/>
                <w:bCs/>
                <w:color w:val="1F3864"/>
              </w:rPr>
              <w:t>Random Forest</w:t>
            </w:r>
          </w:p>
        </w:tc>
        <w:tc>
          <w:tcPr>
            <w:tcW w:w="1300" w:type="dxa"/>
            <w:tcMar>
              <w:top w:w="80" w:type="dxa"/>
              <w:left w:w="120" w:type="dxa"/>
              <w:bottom w:w="80" w:type="dxa"/>
              <w:right w:w="120" w:type="dxa"/>
            </w:tcMar>
          </w:tcPr>
          <w:p w14:paraId="2763F5C9">
            <w:pPr>
              <w:pStyle w:val="26"/>
            </w:pPr>
            <w:r>
              <w:t>102.7</w:t>
            </w:r>
          </w:p>
        </w:tc>
        <w:tc>
          <w:tcPr>
            <w:tcW w:w="1000" w:type="dxa"/>
            <w:tcMar>
              <w:top w:w="80" w:type="dxa"/>
              <w:left w:w="120" w:type="dxa"/>
              <w:bottom w:w="80" w:type="dxa"/>
              <w:right w:w="120" w:type="dxa"/>
            </w:tcMar>
          </w:tcPr>
          <w:p w14:paraId="1C4D132C">
            <w:pPr>
              <w:pStyle w:val="26"/>
            </w:pPr>
            <w:r>
              <w:t>+26.7</w:t>
            </w:r>
          </w:p>
        </w:tc>
        <w:tc>
          <w:tcPr>
            <w:tcW w:w="1000" w:type="dxa"/>
            <w:tcMar>
              <w:top w:w="80" w:type="dxa"/>
              <w:left w:w="120" w:type="dxa"/>
              <w:bottom w:w="80" w:type="dxa"/>
              <w:right w:w="120" w:type="dxa"/>
            </w:tcMar>
          </w:tcPr>
          <w:p w14:paraId="76701DFF">
            <w:pPr>
              <w:pStyle w:val="26"/>
            </w:pPr>
            <w:r>
              <w:t>3.09</w:t>
            </w:r>
          </w:p>
        </w:tc>
        <w:tc>
          <w:tcPr>
            <w:tcW w:w="1600" w:type="dxa"/>
            <w:tcMar>
              <w:top w:w="80" w:type="dxa"/>
              <w:left w:w="120" w:type="dxa"/>
              <w:bottom w:w="80" w:type="dxa"/>
              <w:right w:w="120" w:type="dxa"/>
            </w:tcMar>
          </w:tcPr>
          <w:p w14:paraId="7BFDE2D1">
            <w:pPr>
              <w:pStyle w:val="26"/>
            </w:pPr>
            <w:r>
              <w:t>74.7</w:t>
            </w:r>
          </w:p>
        </w:tc>
        <w:tc>
          <w:tcPr>
            <w:tcW w:w="1600" w:type="dxa"/>
            <w:tcMar>
              <w:top w:w="80" w:type="dxa"/>
              <w:left w:w="120" w:type="dxa"/>
              <w:bottom w:w="80" w:type="dxa"/>
              <w:right w:w="120" w:type="dxa"/>
            </w:tcMar>
          </w:tcPr>
          <w:p w14:paraId="5DA42345">
            <w:pPr>
              <w:pStyle w:val="26"/>
            </w:pPr>
            <w:r>
              <w:t>62.0</w:t>
            </w:r>
          </w:p>
        </w:tc>
      </w:tr>
      <w:tr w14:paraId="5053C27A">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60" w:type="dxa"/>
            <w:shd w:val="clear" w:color="auto" w:fill="F5F7F7"/>
            <w:tcMar>
              <w:top w:w="80" w:type="dxa"/>
              <w:left w:w="120" w:type="dxa"/>
              <w:bottom w:w="80" w:type="dxa"/>
              <w:right w:w="120" w:type="dxa"/>
            </w:tcMar>
          </w:tcPr>
          <w:p w14:paraId="12744E3F">
            <w:pPr>
              <w:pStyle w:val="26"/>
            </w:pPr>
            <w:r>
              <w:rPr>
                <w:b/>
                <w:bCs/>
                <w:color w:val="1F3864"/>
              </w:rPr>
              <w:t>ARIMA(1,1,1)</w:t>
            </w:r>
          </w:p>
        </w:tc>
        <w:tc>
          <w:tcPr>
            <w:tcW w:w="1300" w:type="dxa"/>
            <w:shd w:val="clear" w:color="auto" w:fill="F5F7F7"/>
            <w:tcMar>
              <w:top w:w="80" w:type="dxa"/>
              <w:left w:w="120" w:type="dxa"/>
              <w:bottom w:w="80" w:type="dxa"/>
              <w:right w:w="120" w:type="dxa"/>
            </w:tcMar>
          </w:tcPr>
          <w:p w14:paraId="23D2B4D5">
            <w:pPr>
              <w:pStyle w:val="26"/>
            </w:pPr>
            <w:r>
              <w:t>103.1</w:t>
            </w:r>
          </w:p>
        </w:tc>
        <w:tc>
          <w:tcPr>
            <w:tcW w:w="1000" w:type="dxa"/>
            <w:shd w:val="clear" w:color="auto" w:fill="F5F7F7"/>
            <w:tcMar>
              <w:top w:w="80" w:type="dxa"/>
              <w:left w:w="120" w:type="dxa"/>
              <w:bottom w:w="80" w:type="dxa"/>
              <w:right w:w="120" w:type="dxa"/>
            </w:tcMar>
          </w:tcPr>
          <w:p w14:paraId="3DAA658A">
            <w:pPr>
              <w:pStyle w:val="26"/>
            </w:pPr>
            <w:r>
              <w:t>+4.9</w:t>
            </w:r>
          </w:p>
        </w:tc>
        <w:tc>
          <w:tcPr>
            <w:tcW w:w="1000" w:type="dxa"/>
            <w:shd w:val="clear" w:color="auto" w:fill="F5F7F7"/>
            <w:tcMar>
              <w:top w:w="80" w:type="dxa"/>
              <w:left w:w="120" w:type="dxa"/>
              <w:bottom w:w="80" w:type="dxa"/>
              <w:right w:w="120" w:type="dxa"/>
            </w:tcMar>
          </w:tcPr>
          <w:p w14:paraId="579AE55F">
            <w:pPr>
              <w:pStyle w:val="26"/>
            </w:pPr>
            <w:r>
              <w:t>1.36</w:t>
            </w:r>
          </w:p>
        </w:tc>
        <w:tc>
          <w:tcPr>
            <w:tcW w:w="1600" w:type="dxa"/>
            <w:shd w:val="clear" w:color="auto" w:fill="F5F7F7"/>
            <w:tcMar>
              <w:top w:w="80" w:type="dxa"/>
              <w:left w:w="120" w:type="dxa"/>
              <w:bottom w:w="80" w:type="dxa"/>
              <w:right w:w="120" w:type="dxa"/>
            </w:tcMar>
          </w:tcPr>
          <w:p w14:paraId="70DA37E0">
            <w:pPr>
              <w:pStyle w:val="26"/>
            </w:pPr>
            <w:r>
              <w:t>79.2</w:t>
            </w:r>
          </w:p>
        </w:tc>
        <w:tc>
          <w:tcPr>
            <w:tcW w:w="1600" w:type="dxa"/>
            <w:shd w:val="clear" w:color="auto" w:fill="F5F7F7"/>
            <w:tcMar>
              <w:top w:w="80" w:type="dxa"/>
              <w:left w:w="120" w:type="dxa"/>
              <w:bottom w:w="80" w:type="dxa"/>
              <w:right w:w="120" w:type="dxa"/>
            </w:tcMar>
          </w:tcPr>
          <w:p w14:paraId="6ACD9DE7">
            <w:pPr>
              <w:pStyle w:val="26"/>
            </w:pPr>
            <w:r>
              <w:t>67.4</w:t>
            </w:r>
          </w:p>
        </w:tc>
      </w:tr>
      <w:tr w14:paraId="22B61A94">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60" w:type="dxa"/>
            <w:tcMar>
              <w:top w:w="80" w:type="dxa"/>
              <w:left w:w="120" w:type="dxa"/>
              <w:bottom w:w="80" w:type="dxa"/>
              <w:right w:w="120" w:type="dxa"/>
            </w:tcMar>
          </w:tcPr>
          <w:p w14:paraId="68301757">
            <w:pPr>
              <w:pStyle w:val="26"/>
            </w:pPr>
            <w:r>
              <w:rPr>
                <w:b/>
                <w:bCs/>
                <w:color w:val="1F3864"/>
              </w:rPr>
              <w:t>TSB</w:t>
            </w:r>
          </w:p>
        </w:tc>
        <w:tc>
          <w:tcPr>
            <w:tcW w:w="1300" w:type="dxa"/>
            <w:tcMar>
              <w:top w:w="80" w:type="dxa"/>
              <w:left w:w="120" w:type="dxa"/>
              <w:bottom w:w="80" w:type="dxa"/>
              <w:right w:w="120" w:type="dxa"/>
            </w:tcMar>
          </w:tcPr>
          <w:p w14:paraId="53EC801F">
            <w:pPr>
              <w:pStyle w:val="26"/>
            </w:pPr>
            <w:r>
              <w:t>103.4</w:t>
            </w:r>
          </w:p>
        </w:tc>
        <w:tc>
          <w:tcPr>
            <w:tcW w:w="1000" w:type="dxa"/>
            <w:tcMar>
              <w:top w:w="80" w:type="dxa"/>
              <w:left w:w="120" w:type="dxa"/>
              <w:bottom w:w="80" w:type="dxa"/>
              <w:right w:w="120" w:type="dxa"/>
            </w:tcMar>
          </w:tcPr>
          <w:p w14:paraId="60DCBE65">
            <w:pPr>
              <w:pStyle w:val="26"/>
            </w:pPr>
            <w:r>
              <w:t>+0.7</w:t>
            </w:r>
          </w:p>
        </w:tc>
        <w:tc>
          <w:tcPr>
            <w:tcW w:w="1000" w:type="dxa"/>
            <w:tcMar>
              <w:top w:w="80" w:type="dxa"/>
              <w:left w:w="120" w:type="dxa"/>
              <w:bottom w:w="80" w:type="dxa"/>
              <w:right w:w="120" w:type="dxa"/>
            </w:tcMar>
          </w:tcPr>
          <w:p w14:paraId="70744876">
            <w:pPr>
              <w:pStyle w:val="26"/>
            </w:pPr>
            <w:r>
              <w:t>1.37</w:t>
            </w:r>
          </w:p>
        </w:tc>
        <w:tc>
          <w:tcPr>
            <w:tcW w:w="1600" w:type="dxa"/>
            <w:tcMar>
              <w:top w:w="80" w:type="dxa"/>
              <w:left w:w="120" w:type="dxa"/>
              <w:bottom w:w="80" w:type="dxa"/>
              <w:right w:w="120" w:type="dxa"/>
            </w:tcMar>
          </w:tcPr>
          <w:p w14:paraId="497F4B7C">
            <w:pPr>
              <w:pStyle w:val="26"/>
            </w:pPr>
            <w:r>
              <w:t>80.0</w:t>
            </w:r>
          </w:p>
        </w:tc>
        <w:tc>
          <w:tcPr>
            <w:tcW w:w="1600" w:type="dxa"/>
            <w:tcMar>
              <w:top w:w="80" w:type="dxa"/>
              <w:left w:w="120" w:type="dxa"/>
              <w:bottom w:w="80" w:type="dxa"/>
              <w:right w:w="120" w:type="dxa"/>
            </w:tcMar>
          </w:tcPr>
          <w:p w14:paraId="7C704EC9">
            <w:pPr>
              <w:pStyle w:val="26"/>
            </w:pPr>
            <w:r>
              <w:t>71.6</w:t>
            </w:r>
          </w:p>
        </w:tc>
      </w:tr>
      <w:tr w14:paraId="4B12C3E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60" w:type="dxa"/>
            <w:shd w:val="clear" w:color="auto" w:fill="F5F7F7"/>
            <w:tcMar>
              <w:top w:w="80" w:type="dxa"/>
              <w:left w:w="120" w:type="dxa"/>
              <w:bottom w:w="80" w:type="dxa"/>
              <w:right w:w="120" w:type="dxa"/>
            </w:tcMar>
          </w:tcPr>
          <w:p w14:paraId="5F45C73B">
            <w:pPr>
              <w:pStyle w:val="26"/>
            </w:pPr>
            <w:r>
              <w:rPr>
                <w:b/>
                <w:bCs/>
                <w:color w:val="1F3864"/>
              </w:rPr>
              <w:t>Moving Average (8w)</w:t>
            </w:r>
          </w:p>
        </w:tc>
        <w:tc>
          <w:tcPr>
            <w:tcW w:w="1300" w:type="dxa"/>
            <w:shd w:val="clear" w:color="auto" w:fill="F5F7F7"/>
            <w:tcMar>
              <w:top w:w="80" w:type="dxa"/>
              <w:left w:w="120" w:type="dxa"/>
              <w:bottom w:w="80" w:type="dxa"/>
              <w:right w:w="120" w:type="dxa"/>
            </w:tcMar>
          </w:tcPr>
          <w:p w14:paraId="7CD7FAB5">
            <w:pPr>
              <w:pStyle w:val="26"/>
            </w:pPr>
            <w:r>
              <w:t>104.8</w:t>
            </w:r>
          </w:p>
        </w:tc>
        <w:tc>
          <w:tcPr>
            <w:tcW w:w="1000" w:type="dxa"/>
            <w:shd w:val="clear" w:color="auto" w:fill="F5F7F7"/>
            <w:tcMar>
              <w:top w:w="80" w:type="dxa"/>
              <w:left w:w="120" w:type="dxa"/>
              <w:bottom w:w="80" w:type="dxa"/>
              <w:right w:w="120" w:type="dxa"/>
            </w:tcMar>
          </w:tcPr>
          <w:p w14:paraId="285A5BAA">
            <w:pPr>
              <w:pStyle w:val="26"/>
            </w:pPr>
            <w:r>
              <w:t>+10.1</w:t>
            </w:r>
          </w:p>
        </w:tc>
        <w:tc>
          <w:tcPr>
            <w:tcW w:w="1000" w:type="dxa"/>
            <w:shd w:val="clear" w:color="auto" w:fill="F5F7F7"/>
            <w:tcMar>
              <w:top w:w="80" w:type="dxa"/>
              <w:left w:w="120" w:type="dxa"/>
              <w:bottom w:w="80" w:type="dxa"/>
              <w:right w:w="120" w:type="dxa"/>
            </w:tcMar>
          </w:tcPr>
          <w:p w14:paraId="44BDCCB1">
            <w:pPr>
              <w:pStyle w:val="26"/>
            </w:pPr>
            <w:r>
              <w:t>1.41</w:t>
            </w:r>
          </w:p>
        </w:tc>
        <w:tc>
          <w:tcPr>
            <w:tcW w:w="1600" w:type="dxa"/>
            <w:shd w:val="clear" w:color="auto" w:fill="F5F7F7"/>
            <w:tcMar>
              <w:top w:w="80" w:type="dxa"/>
              <w:left w:w="120" w:type="dxa"/>
              <w:bottom w:w="80" w:type="dxa"/>
              <w:right w:w="120" w:type="dxa"/>
            </w:tcMar>
          </w:tcPr>
          <w:p w14:paraId="42F9EAE0">
            <w:pPr>
              <w:pStyle w:val="26"/>
            </w:pPr>
            <w:r>
              <w:t>81.9</w:t>
            </w:r>
          </w:p>
        </w:tc>
        <w:tc>
          <w:tcPr>
            <w:tcW w:w="1600" w:type="dxa"/>
            <w:shd w:val="clear" w:color="auto" w:fill="F5F7F7"/>
            <w:tcMar>
              <w:top w:w="80" w:type="dxa"/>
              <w:left w:w="120" w:type="dxa"/>
              <w:bottom w:w="80" w:type="dxa"/>
              <w:right w:w="120" w:type="dxa"/>
            </w:tcMar>
          </w:tcPr>
          <w:p w14:paraId="65FFE4EF">
            <w:pPr>
              <w:pStyle w:val="26"/>
            </w:pPr>
            <w:r>
              <w:t>73.7</w:t>
            </w:r>
          </w:p>
        </w:tc>
      </w:tr>
      <w:tr w14:paraId="7C15758D">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60" w:type="dxa"/>
            <w:tcMar>
              <w:top w:w="80" w:type="dxa"/>
              <w:left w:w="120" w:type="dxa"/>
              <w:bottom w:w="80" w:type="dxa"/>
              <w:right w:w="120" w:type="dxa"/>
            </w:tcMar>
          </w:tcPr>
          <w:p w14:paraId="31710585">
            <w:pPr>
              <w:pStyle w:val="26"/>
            </w:pPr>
            <w:r>
              <w:rPr>
                <w:b/>
                <w:bCs/>
                <w:color w:val="1F3864"/>
              </w:rPr>
              <w:t>Seasonal SBA</w:t>
            </w:r>
          </w:p>
        </w:tc>
        <w:tc>
          <w:tcPr>
            <w:tcW w:w="1300" w:type="dxa"/>
            <w:tcMar>
              <w:top w:w="80" w:type="dxa"/>
              <w:left w:w="120" w:type="dxa"/>
              <w:bottom w:w="80" w:type="dxa"/>
              <w:right w:w="120" w:type="dxa"/>
            </w:tcMar>
          </w:tcPr>
          <w:p w14:paraId="13AD80ED">
            <w:pPr>
              <w:pStyle w:val="26"/>
            </w:pPr>
            <w:r>
              <w:t>110.2</w:t>
            </w:r>
          </w:p>
        </w:tc>
        <w:tc>
          <w:tcPr>
            <w:tcW w:w="1000" w:type="dxa"/>
            <w:tcMar>
              <w:top w:w="80" w:type="dxa"/>
              <w:left w:w="120" w:type="dxa"/>
              <w:bottom w:w="80" w:type="dxa"/>
              <w:right w:w="120" w:type="dxa"/>
            </w:tcMar>
          </w:tcPr>
          <w:p w14:paraId="2A6A1FC2">
            <w:pPr>
              <w:pStyle w:val="26"/>
            </w:pPr>
            <w:r>
              <w:t>+14.5</w:t>
            </w:r>
          </w:p>
        </w:tc>
        <w:tc>
          <w:tcPr>
            <w:tcW w:w="1000" w:type="dxa"/>
            <w:tcMar>
              <w:top w:w="80" w:type="dxa"/>
              <w:left w:w="120" w:type="dxa"/>
              <w:bottom w:w="80" w:type="dxa"/>
              <w:right w:w="120" w:type="dxa"/>
            </w:tcMar>
          </w:tcPr>
          <w:p w14:paraId="44440481">
            <w:pPr>
              <w:pStyle w:val="26"/>
            </w:pPr>
            <w:r>
              <w:t>1.66</w:t>
            </w:r>
          </w:p>
        </w:tc>
        <w:tc>
          <w:tcPr>
            <w:tcW w:w="1600" w:type="dxa"/>
            <w:tcMar>
              <w:top w:w="80" w:type="dxa"/>
              <w:left w:w="120" w:type="dxa"/>
              <w:bottom w:w="80" w:type="dxa"/>
              <w:right w:w="120" w:type="dxa"/>
            </w:tcMar>
          </w:tcPr>
          <w:p w14:paraId="25E783A8">
            <w:pPr>
              <w:pStyle w:val="26"/>
            </w:pPr>
            <w:r>
              <w:t>81.8</w:t>
            </w:r>
          </w:p>
        </w:tc>
        <w:tc>
          <w:tcPr>
            <w:tcW w:w="1600" w:type="dxa"/>
            <w:tcMar>
              <w:top w:w="80" w:type="dxa"/>
              <w:left w:w="120" w:type="dxa"/>
              <w:bottom w:w="80" w:type="dxa"/>
              <w:right w:w="120" w:type="dxa"/>
            </w:tcMar>
          </w:tcPr>
          <w:p w14:paraId="03B15044">
            <w:pPr>
              <w:pStyle w:val="26"/>
            </w:pPr>
            <w:r>
              <w:t>59.5</w:t>
            </w:r>
          </w:p>
        </w:tc>
      </w:tr>
      <w:tr w14:paraId="145E9DC4">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60" w:type="dxa"/>
            <w:shd w:val="clear" w:color="auto" w:fill="F5F7F7"/>
            <w:tcMar>
              <w:top w:w="80" w:type="dxa"/>
              <w:left w:w="120" w:type="dxa"/>
              <w:bottom w:w="80" w:type="dxa"/>
              <w:right w:w="120" w:type="dxa"/>
            </w:tcMar>
          </w:tcPr>
          <w:p w14:paraId="0A9E9F68">
            <w:pPr>
              <w:pStyle w:val="26"/>
            </w:pPr>
            <w:r>
              <w:rPr>
                <w:b/>
                <w:bCs/>
                <w:color w:val="1F3864"/>
              </w:rPr>
              <w:t>SBA</w:t>
            </w:r>
          </w:p>
        </w:tc>
        <w:tc>
          <w:tcPr>
            <w:tcW w:w="1300" w:type="dxa"/>
            <w:shd w:val="clear" w:color="auto" w:fill="F5F7F7"/>
            <w:tcMar>
              <w:top w:w="80" w:type="dxa"/>
              <w:left w:w="120" w:type="dxa"/>
              <w:bottom w:w="80" w:type="dxa"/>
              <w:right w:w="120" w:type="dxa"/>
            </w:tcMar>
          </w:tcPr>
          <w:p w14:paraId="510F386A">
            <w:pPr>
              <w:pStyle w:val="26"/>
            </w:pPr>
            <w:r>
              <w:t>110.2</w:t>
            </w:r>
          </w:p>
        </w:tc>
        <w:tc>
          <w:tcPr>
            <w:tcW w:w="1000" w:type="dxa"/>
            <w:shd w:val="clear" w:color="auto" w:fill="F5F7F7"/>
            <w:tcMar>
              <w:top w:w="80" w:type="dxa"/>
              <w:left w:w="120" w:type="dxa"/>
              <w:bottom w:w="80" w:type="dxa"/>
              <w:right w:w="120" w:type="dxa"/>
            </w:tcMar>
          </w:tcPr>
          <w:p w14:paraId="039DA12E">
            <w:pPr>
              <w:pStyle w:val="26"/>
            </w:pPr>
            <w:r>
              <w:t>+4.6</w:t>
            </w:r>
          </w:p>
        </w:tc>
        <w:tc>
          <w:tcPr>
            <w:tcW w:w="1000" w:type="dxa"/>
            <w:shd w:val="clear" w:color="auto" w:fill="F5F7F7"/>
            <w:tcMar>
              <w:top w:w="80" w:type="dxa"/>
              <w:left w:w="120" w:type="dxa"/>
              <w:bottom w:w="80" w:type="dxa"/>
              <w:right w:w="120" w:type="dxa"/>
            </w:tcMar>
          </w:tcPr>
          <w:p w14:paraId="01F3182C">
            <w:pPr>
              <w:pStyle w:val="26"/>
            </w:pPr>
            <w:r>
              <w:t>1.53</w:t>
            </w:r>
          </w:p>
        </w:tc>
        <w:tc>
          <w:tcPr>
            <w:tcW w:w="1600" w:type="dxa"/>
            <w:shd w:val="clear" w:color="auto" w:fill="F5F7F7"/>
            <w:tcMar>
              <w:top w:w="80" w:type="dxa"/>
              <w:left w:w="120" w:type="dxa"/>
              <w:bottom w:w="80" w:type="dxa"/>
              <w:right w:w="120" w:type="dxa"/>
            </w:tcMar>
          </w:tcPr>
          <w:p w14:paraId="1E9D8268">
            <w:pPr>
              <w:pStyle w:val="26"/>
            </w:pPr>
            <w:r>
              <w:t>87.3</w:t>
            </w:r>
          </w:p>
        </w:tc>
        <w:tc>
          <w:tcPr>
            <w:tcW w:w="1600" w:type="dxa"/>
            <w:shd w:val="clear" w:color="auto" w:fill="F5F7F7"/>
            <w:tcMar>
              <w:top w:w="80" w:type="dxa"/>
              <w:left w:w="120" w:type="dxa"/>
              <w:bottom w:w="80" w:type="dxa"/>
              <w:right w:w="120" w:type="dxa"/>
            </w:tcMar>
          </w:tcPr>
          <w:p w14:paraId="4FA51CC8">
            <w:pPr>
              <w:pStyle w:val="26"/>
            </w:pPr>
            <w:r>
              <w:t>72.6</w:t>
            </w:r>
          </w:p>
        </w:tc>
      </w:tr>
      <w:tr w14:paraId="23C46403">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60" w:type="dxa"/>
            <w:tcMar>
              <w:top w:w="80" w:type="dxa"/>
              <w:left w:w="120" w:type="dxa"/>
              <w:bottom w:w="80" w:type="dxa"/>
              <w:right w:w="120" w:type="dxa"/>
            </w:tcMar>
          </w:tcPr>
          <w:p w14:paraId="6AD1BD76">
            <w:pPr>
              <w:pStyle w:val="26"/>
            </w:pPr>
            <w:r>
              <w:rPr>
                <w:b/>
                <w:bCs/>
                <w:color w:val="1F3864"/>
              </w:rPr>
              <w:t>Croston</w:t>
            </w:r>
          </w:p>
        </w:tc>
        <w:tc>
          <w:tcPr>
            <w:tcW w:w="1300" w:type="dxa"/>
            <w:tcMar>
              <w:top w:w="80" w:type="dxa"/>
              <w:left w:w="120" w:type="dxa"/>
              <w:bottom w:w="80" w:type="dxa"/>
              <w:right w:w="120" w:type="dxa"/>
            </w:tcMar>
          </w:tcPr>
          <w:p w14:paraId="6B9540D7">
            <w:pPr>
              <w:pStyle w:val="26"/>
            </w:pPr>
            <w:r>
              <w:t>112.6</w:t>
            </w:r>
          </w:p>
        </w:tc>
        <w:tc>
          <w:tcPr>
            <w:tcW w:w="1000" w:type="dxa"/>
            <w:tcMar>
              <w:top w:w="80" w:type="dxa"/>
              <w:left w:w="120" w:type="dxa"/>
              <w:bottom w:w="80" w:type="dxa"/>
              <w:right w:w="120" w:type="dxa"/>
            </w:tcMar>
          </w:tcPr>
          <w:p w14:paraId="0EE79DF7">
            <w:pPr>
              <w:pStyle w:val="26"/>
            </w:pPr>
            <w:r>
              <w:t>+10.1</w:t>
            </w:r>
          </w:p>
        </w:tc>
        <w:tc>
          <w:tcPr>
            <w:tcW w:w="1000" w:type="dxa"/>
            <w:tcMar>
              <w:top w:w="80" w:type="dxa"/>
              <w:left w:w="120" w:type="dxa"/>
              <w:bottom w:w="80" w:type="dxa"/>
              <w:right w:w="120" w:type="dxa"/>
            </w:tcMar>
          </w:tcPr>
          <w:p w14:paraId="0AAA515A">
            <w:pPr>
              <w:pStyle w:val="26"/>
            </w:pPr>
            <w:r>
              <w:t>1.56</w:t>
            </w:r>
          </w:p>
        </w:tc>
        <w:tc>
          <w:tcPr>
            <w:tcW w:w="1600" w:type="dxa"/>
            <w:tcMar>
              <w:top w:w="80" w:type="dxa"/>
              <w:left w:w="120" w:type="dxa"/>
              <w:bottom w:w="80" w:type="dxa"/>
              <w:right w:w="120" w:type="dxa"/>
            </w:tcMar>
          </w:tcPr>
          <w:p w14:paraId="4F7358C5">
            <w:pPr>
              <w:pStyle w:val="26"/>
            </w:pPr>
            <w:r>
              <w:t>89.0</w:t>
            </w:r>
          </w:p>
        </w:tc>
        <w:tc>
          <w:tcPr>
            <w:tcW w:w="1600" w:type="dxa"/>
            <w:tcMar>
              <w:top w:w="80" w:type="dxa"/>
              <w:left w:w="120" w:type="dxa"/>
              <w:bottom w:w="80" w:type="dxa"/>
              <w:right w:w="120" w:type="dxa"/>
            </w:tcMar>
          </w:tcPr>
          <w:p w14:paraId="71A89535">
            <w:pPr>
              <w:pStyle w:val="26"/>
            </w:pPr>
            <w:r>
              <w:t>73.8</w:t>
            </w:r>
          </w:p>
        </w:tc>
      </w:tr>
      <w:tr w14:paraId="2F42862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60" w:type="dxa"/>
            <w:shd w:val="clear" w:color="auto" w:fill="F5F7F7"/>
            <w:tcMar>
              <w:top w:w="80" w:type="dxa"/>
              <w:left w:w="120" w:type="dxa"/>
              <w:bottom w:w="80" w:type="dxa"/>
              <w:right w:w="120" w:type="dxa"/>
            </w:tcMar>
          </w:tcPr>
          <w:p w14:paraId="53EFBF74">
            <w:pPr>
              <w:pStyle w:val="26"/>
            </w:pPr>
            <w:r>
              <w:rPr>
                <w:b/>
                <w:bCs/>
                <w:color w:val="1F3864"/>
              </w:rPr>
              <w:t>Seasonal Naive</w:t>
            </w:r>
          </w:p>
        </w:tc>
        <w:tc>
          <w:tcPr>
            <w:tcW w:w="1300" w:type="dxa"/>
            <w:shd w:val="clear" w:color="auto" w:fill="F5F7F7"/>
            <w:tcMar>
              <w:top w:w="80" w:type="dxa"/>
              <w:left w:w="120" w:type="dxa"/>
              <w:bottom w:w="80" w:type="dxa"/>
              <w:right w:w="120" w:type="dxa"/>
            </w:tcMar>
          </w:tcPr>
          <w:p w14:paraId="7C576FEA">
            <w:pPr>
              <w:pStyle w:val="26"/>
            </w:pPr>
            <w:r>
              <w:t>139.5</w:t>
            </w:r>
          </w:p>
        </w:tc>
        <w:tc>
          <w:tcPr>
            <w:tcW w:w="1000" w:type="dxa"/>
            <w:shd w:val="clear" w:color="auto" w:fill="F5F7F7"/>
            <w:tcMar>
              <w:top w:w="80" w:type="dxa"/>
              <w:left w:w="120" w:type="dxa"/>
              <w:bottom w:w="80" w:type="dxa"/>
              <w:right w:w="120" w:type="dxa"/>
            </w:tcMar>
          </w:tcPr>
          <w:p w14:paraId="5A9F7E00">
            <w:pPr>
              <w:pStyle w:val="26"/>
            </w:pPr>
            <w:r>
              <w:t>+32.6</w:t>
            </w:r>
          </w:p>
        </w:tc>
        <w:tc>
          <w:tcPr>
            <w:tcW w:w="1000" w:type="dxa"/>
            <w:shd w:val="clear" w:color="auto" w:fill="F5F7F7"/>
            <w:tcMar>
              <w:top w:w="80" w:type="dxa"/>
              <w:left w:w="120" w:type="dxa"/>
              <w:bottom w:w="80" w:type="dxa"/>
              <w:right w:w="120" w:type="dxa"/>
            </w:tcMar>
          </w:tcPr>
          <w:p w14:paraId="331689E7">
            <w:pPr>
              <w:pStyle w:val="26"/>
            </w:pPr>
            <w:r>
              <w:t>1.55</w:t>
            </w:r>
          </w:p>
        </w:tc>
        <w:tc>
          <w:tcPr>
            <w:tcW w:w="1600" w:type="dxa"/>
            <w:shd w:val="clear" w:color="auto" w:fill="F5F7F7"/>
            <w:tcMar>
              <w:top w:w="80" w:type="dxa"/>
              <w:left w:w="120" w:type="dxa"/>
              <w:bottom w:w="80" w:type="dxa"/>
              <w:right w:w="120" w:type="dxa"/>
            </w:tcMar>
          </w:tcPr>
          <w:p w14:paraId="175CD0A5">
            <w:pPr>
              <w:pStyle w:val="26"/>
            </w:pPr>
            <w:r>
              <w:t>119.1</w:t>
            </w:r>
          </w:p>
        </w:tc>
        <w:tc>
          <w:tcPr>
            <w:tcW w:w="1600" w:type="dxa"/>
            <w:shd w:val="clear" w:color="auto" w:fill="F5F7F7"/>
            <w:tcMar>
              <w:top w:w="80" w:type="dxa"/>
              <w:left w:w="120" w:type="dxa"/>
              <w:bottom w:w="80" w:type="dxa"/>
              <w:right w:w="120" w:type="dxa"/>
            </w:tcMar>
          </w:tcPr>
          <w:p w14:paraId="27FA59C4">
            <w:pPr>
              <w:pStyle w:val="26"/>
            </w:pPr>
            <w:r>
              <w:t>72.1</w:t>
            </w:r>
          </w:p>
        </w:tc>
      </w:tr>
    </w:tbl>
    <w:p w14:paraId="56A87CFB">
      <w:pPr>
        <w:pStyle w:val="25"/>
      </w:pPr>
      <w:r>
        <w:t>Source: Sponsor ERP billing extract; team rolling-origin backtest, 8 folds, weeks ending 26 Nov 2023 - 30 Jun 2024.</w:t>
      </w:r>
    </w:p>
    <w:p w14:paraId="4D0E67DC">
      <w:r>
        <w:t>Table 7.2 and Figure 7.1 report the results over 6,968 scored series-weeks for 233 series. Three findings stand out.</w:t>
      </w:r>
    </w:p>
    <w:p w14:paraId="782F39C7">
      <w:r>
        <w:rPr>
          <w:b/>
          <w:bCs/>
        </w:rPr>
        <w:t>First, weekly SKU × branch demand is hard for every method.</w:t>
      </w:r>
      <w:r>
        <w:t xml:space="preserve"> Even the best method has a weekly WAPE of 84.7%: on average, its absolute weekly error is close to the size of demand itself. This is the expected consequence of the sparsity documented in Chapter 5, where a single dealer order can make or break a model's week at a branch, and it is why decisions should not be taken on single-week, single-series forecasts. Aggregation helps substantially. Over four-week buckets, the level at which replenishment is actually committed, LightGBM's WAPE falls to 62.7%, and for branch-week totals to 51.1%.</w:t>
      </w:r>
    </w:p>
    <w:p w14:paraId="0AC0E16D">
      <w:r>
        <w:rPr>
          <w:b/>
          <w:bCs/>
        </w:rPr>
        <w:t>Second, the global LightGBM model is best on every volume-weighted measure.</w:t>
      </w:r>
      <w:r>
        <w:t xml:space="preserve"> Its weekly WAPE is 19% lower than the moving average's and 16% lower than the naive rule's. The margin widens with aggregation: 24% lower on four-week buckets and 31% lower on branch-week totals. The random forest, trained on the same features, did much worse (102.7% WAPE, +27% bias), mainly because it over-forecast sparse series; the count-appropriate Tweedie loss appears to matter as much as the features.</w:t>
      </w:r>
    </w:p>
    <w:p w14:paraId="0DF98147">
      <w:r>
        <w:rPr>
          <w:b/>
          <w:bCs/>
        </w:rPr>
        <w:t>Third, the classical intermittent-demand methods did not help.</w:t>
      </w:r>
      <w:r>
        <w:t xml:space="preserve"> Croston, SBA and TSB were no better than simple smoothing, and adding a seasonal index to SBA raised its bias without reducing its error. On MASE, which gives every series equal weight regardless of volume, LightGBM (1.36) merely ties the naive rule and ARIMA, signalling that its advantage is concentrated in the series that carry volume.</w:t>
      </w:r>
    </w:p>
    <w:p w14:paraId="6C2959A1">
      <w:pPr>
        <w:keepNext/>
        <w:spacing w:before="120" w:after="40" w:line="240" w:lineRule="auto"/>
        <w:jc w:val="center"/>
      </w:pPr>
      <w:r>
        <w:drawing>
          <wp:inline distT="0" distB="0" distL="114300" distR="114300">
            <wp:extent cx="5760720" cy="2677160"/>
            <wp:effectExtent l="0" t="0" r="508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5760720" cy="2677195"/>
                    </a:xfrm>
                    <a:prstGeom prst="rect">
                      <a:avLst/>
                    </a:prstGeom>
                  </pic:spPr>
                </pic:pic>
              </a:graphicData>
            </a:graphic>
          </wp:inline>
        </w:drawing>
      </w:r>
    </w:p>
    <w:p w14:paraId="16556188">
      <w:pPr>
        <w:pStyle w:val="10"/>
        <w:jc w:val="center"/>
      </w:pPr>
      <w:r>
        <w:t>Figure 7.</w:t>
      </w:r>
      <w:r>
        <w:fldChar w:fldCharType="begin"/>
      </w:r>
      <w:r>
        <w:instrText xml:space="preserve">SEQ Figure \* ARABIC \s 1</w:instrText>
      </w:r>
      <w:r>
        <w:fldChar w:fldCharType="separate"/>
      </w:r>
      <w:r>
        <w:t>1</w:t>
      </w:r>
      <w:r>
        <w:fldChar w:fldCharType="end"/>
      </w:r>
      <w:bookmarkStart w:id="75" w:name="_Toc28419"/>
      <w:r>
        <w:t>: Weekly WAPE and bias by method</w:t>
      </w:r>
      <w:bookmarkEnd w:id="75"/>
    </w:p>
    <w:p w14:paraId="11C641D6">
      <w:pPr>
        <w:pStyle w:val="25"/>
        <w:jc w:val="center"/>
      </w:pPr>
      <w:r>
        <w:t>Source: Sponsor ERP billing extract; team rolling-origin backtest, 8 folds, weeks ending 26 Nov 2023 - 30 Jun 2024.</w:t>
      </w:r>
    </w:p>
    <w:p w14:paraId="3B767964">
      <w:pPr>
        <w:pStyle w:val="4"/>
      </w:pPr>
      <w:bookmarkStart w:id="76" w:name="_Toc27072"/>
      <w:r>
        <w:t>Where the advantage lies</w:t>
      </w:r>
      <w:bookmarkEnd w:id="76"/>
    </w:p>
    <w:p w14:paraId="08BA88DF">
      <w:r>
        <w:t>Figure 7.2 breaks accuracy down by demand class. LightGBM has the lowest error for the erratic and lumpy series, which together carry 96% of volume. For the 12 smooth series the random forest is slightly better (28.0% against 32.7%), and for the 65 intermittent series, which carry under 1% of volume, the naive rule is marginally better. Table 7.3 confirms that the gain is greatest where it matters commercially. For the 54 "A" series that make up 80% of volume, LightGBM's WAPE is 79.4% against 100.6% for the moving average, a 21% reduction; in the long tail of "C" series, all methods are poor and LightGBM's advantage disappears.</w:t>
      </w:r>
    </w:p>
    <w:p w14:paraId="7231B3CB">
      <w:pPr>
        <w:keepNext/>
        <w:spacing w:before="120" w:after="40" w:line="240" w:lineRule="auto"/>
        <w:jc w:val="center"/>
      </w:pPr>
      <w:r>
        <w:drawing>
          <wp:inline distT="0" distB="0" distL="114300" distR="114300">
            <wp:extent cx="5760720" cy="2515870"/>
            <wp:effectExtent l="0" t="0" r="508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760720" cy="2515889"/>
                    </a:xfrm>
                    <a:prstGeom prst="rect">
                      <a:avLst/>
                    </a:prstGeom>
                  </pic:spPr>
                </pic:pic>
              </a:graphicData>
            </a:graphic>
          </wp:inline>
        </w:drawing>
      </w:r>
    </w:p>
    <w:p w14:paraId="78D7F023">
      <w:pPr>
        <w:pStyle w:val="10"/>
        <w:jc w:val="center"/>
      </w:pPr>
      <w:r>
        <w:t>Figure 7.</w:t>
      </w:r>
      <w:r>
        <w:fldChar w:fldCharType="begin"/>
      </w:r>
      <w:r>
        <w:instrText xml:space="preserve">SEQ Figure \* ARABIC \s 1</w:instrText>
      </w:r>
      <w:r>
        <w:fldChar w:fldCharType="separate"/>
      </w:r>
      <w:r>
        <w:t>2</w:t>
      </w:r>
      <w:r>
        <w:fldChar w:fldCharType="end"/>
      </w:r>
      <w:bookmarkStart w:id="77" w:name="_Toc24386"/>
      <w:r>
        <w:t>: Weekly WAPE by demand class for three representative methods</w:t>
      </w:r>
      <w:bookmarkEnd w:id="77"/>
    </w:p>
    <w:p w14:paraId="2E57D29C">
      <w:pPr>
        <w:pStyle w:val="25"/>
        <w:jc w:val="center"/>
      </w:pPr>
      <w:r>
        <w:t>Source: Sponsor ERP billing extract; team rolling-origin backtest, 8 folds, weeks ending 26 Nov 2023 - 30 Jun 2024.</w:t>
      </w:r>
    </w:p>
    <w:p w14:paraId="2F449051">
      <w:pPr>
        <w:pStyle w:val="10"/>
        <w:keepNext/>
      </w:pPr>
      <w:r>
        <w:t>Table 7.</w:t>
      </w:r>
      <w:r>
        <w:fldChar w:fldCharType="begin"/>
      </w:r>
      <w:r>
        <w:instrText xml:space="preserve">SEQ Table \* ARABIC \s 1</w:instrText>
      </w:r>
      <w:r>
        <w:fldChar w:fldCharType="separate"/>
      </w:r>
      <w:r>
        <w:t>3</w:t>
      </w:r>
      <w:r>
        <w:fldChar w:fldCharType="end"/>
      </w:r>
      <w:bookmarkStart w:id="78" w:name="_Toc30951"/>
      <w:r>
        <w:t>: Weekly WAPE (%) by volume tier</w:t>
      </w:r>
      <w:bookmarkEnd w:id="78"/>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2360"/>
        <w:gridCol w:w="900"/>
        <w:gridCol w:w="1100"/>
        <w:gridCol w:w="1500"/>
        <w:gridCol w:w="1100"/>
        <w:gridCol w:w="1300"/>
        <w:gridCol w:w="1100"/>
      </w:tblGrid>
      <w:tr w14:paraId="675D44C3">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2360" w:type="dxa"/>
            <w:shd w:val="clear" w:color="auto" w:fill="1F3864"/>
            <w:tcMar>
              <w:top w:w="80" w:type="dxa"/>
              <w:left w:w="120" w:type="dxa"/>
              <w:bottom w:w="80" w:type="dxa"/>
              <w:right w:w="120" w:type="dxa"/>
            </w:tcMar>
            <w:vAlign w:val="center"/>
          </w:tcPr>
          <w:p w14:paraId="35F6A5C8">
            <w:pPr>
              <w:pStyle w:val="27"/>
            </w:pPr>
            <w:r>
              <w:t>Volume tier</w:t>
            </w:r>
          </w:p>
        </w:tc>
        <w:tc>
          <w:tcPr>
            <w:tcW w:w="900" w:type="dxa"/>
            <w:shd w:val="clear" w:color="auto" w:fill="1F3864"/>
            <w:tcMar>
              <w:top w:w="80" w:type="dxa"/>
              <w:left w:w="120" w:type="dxa"/>
              <w:bottom w:w="80" w:type="dxa"/>
              <w:right w:w="120" w:type="dxa"/>
            </w:tcMar>
            <w:vAlign w:val="center"/>
          </w:tcPr>
          <w:p w14:paraId="01FB8AAA">
            <w:pPr>
              <w:pStyle w:val="27"/>
            </w:pPr>
            <w:r>
              <w:t>Series</w:t>
            </w:r>
          </w:p>
        </w:tc>
        <w:tc>
          <w:tcPr>
            <w:tcW w:w="1100" w:type="dxa"/>
            <w:shd w:val="clear" w:color="auto" w:fill="1F3864"/>
            <w:tcMar>
              <w:top w:w="80" w:type="dxa"/>
              <w:left w:w="120" w:type="dxa"/>
              <w:bottom w:w="80" w:type="dxa"/>
              <w:right w:w="120" w:type="dxa"/>
            </w:tcMar>
            <w:vAlign w:val="center"/>
          </w:tcPr>
          <w:p w14:paraId="362CA49F">
            <w:pPr>
              <w:pStyle w:val="27"/>
            </w:pPr>
            <w:r>
              <w:t>Naive</w:t>
            </w:r>
          </w:p>
        </w:tc>
        <w:tc>
          <w:tcPr>
            <w:tcW w:w="1500" w:type="dxa"/>
            <w:shd w:val="clear" w:color="auto" w:fill="1F3864"/>
            <w:tcMar>
              <w:top w:w="80" w:type="dxa"/>
              <w:left w:w="120" w:type="dxa"/>
              <w:bottom w:w="80" w:type="dxa"/>
              <w:right w:w="120" w:type="dxa"/>
            </w:tcMar>
            <w:vAlign w:val="center"/>
          </w:tcPr>
          <w:p w14:paraId="261020E7">
            <w:pPr>
              <w:pStyle w:val="27"/>
            </w:pPr>
            <w:r>
              <w:t>Moving average (8w)</w:t>
            </w:r>
          </w:p>
        </w:tc>
        <w:tc>
          <w:tcPr>
            <w:tcW w:w="1100" w:type="dxa"/>
            <w:shd w:val="clear" w:color="auto" w:fill="1F3864"/>
            <w:tcMar>
              <w:top w:w="80" w:type="dxa"/>
              <w:left w:w="120" w:type="dxa"/>
              <w:bottom w:w="80" w:type="dxa"/>
              <w:right w:w="120" w:type="dxa"/>
            </w:tcMar>
            <w:vAlign w:val="center"/>
          </w:tcPr>
          <w:p w14:paraId="4589A3F8">
            <w:pPr>
              <w:pStyle w:val="27"/>
            </w:pPr>
            <w:r>
              <w:t>SES</w:t>
            </w:r>
          </w:p>
        </w:tc>
        <w:tc>
          <w:tcPr>
            <w:tcW w:w="1300" w:type="dxa"/>
            <w:shd w:val="clear" w:color="auto" w:fill="1F3864"/>
            <w:tcMar>
              <w:top w:w="80" w:type="dxa"/>
              <w:left w:w="120" w:type="dxa"/>
              <w:bottom w:w="80" w:type="dxa"/>
              <w:right w:w="120" w:type="dxa"/>
            </w:tcMar>
            <w:vAlign w:val="center"/>
          </w:tcPr>
          <w:p w14:paraId="68FC8B38">
            <w:pPr>
              <w:pStyle w:val="27"/>
            </w:pPr>
            <w:r>
              <w:t>Seasonal SBA</w:t>
            </w:r>
          </w:p>
        </w:tc>
        <w:tc>
          <w:tcPr>
            <w:tcW w:w="1100" w:type="dxa"/>
            <w:shd w:val="clear" w:color="auto" w:fill="1F3864"/>
            <w:tcMar>
              <w:top w:w="80" w:type="dxa"/>
              <w:left w:w="120" w:type="dxa"/>
              <w:bottom w:w="80" w:type="dxa"/>
              <w:right w:w="120" w:type="dxa"/>
            </w:tcMar>
            <w:vAlign w:val="center"/>
          </w:tcPr>
          <w:p w14:paraId="02F38FCF">
            <w:pPr>
              <w:pStyle w:val="27"/>
            </w:pPr>
            <w:r>
              <w:t>LightGBM</w:t>
            </w:r>
          </w:p>
        </w:tc>
      </w:tr>
      <w:tr w14:paraId="74B93F13">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360" w:type="dxa"/>
            <w:tcMar>
              <w:top w:w="80" w:type="dxa"/>
              <w:left w:w="120" w:type="dxa"/>
              <w:bottom w:w="80" w:type="dxa"/>
              <w:right w:w="120" w:type="dxa"/>
            </w:tcMar>
          </w:tcPr>
          <w:p w14:paraId="2CC36DDB">
            <w:pPr>
              <w:pStyle w:val="26"/>
            </w:pPr>
            <w:r>
              <w:rPr>
                <w:b/>
                <w:bCs/>
                <w:color w:val="1F3864"/>
              </w:rPr>
              <w:t>A (top 80% of volume)</w:t>
            </w:r>
          </w:p>
        </w:tc>
        <w:tc>
          <w:tcPr>
            <w:tcW w:w="900" w:type="dxa"/>
            <w:tcMar>
              <w:top w:w="80" w:type="dxa"/>
              <w:left w:w="120" w:type="dxa"/>
              <w:bottom w:w="80" w:type="dxa"/>
              <w:right w:w="120" w:type="dxa"/>
            </w:tcMar>
          </w:tcPr>
          <w:p w14:paraId="09EA740F">
            <w:pPr>
              <w:pStyle w:val="26"/>
            </w:pPr>
            <w:r>
              <w:t>54</w:t>
            </w:r>
          </w:p>
        </w:tc>
        <w:tc>
          <w:tcPr>
            <w:tcW w:w="1100" w:type="dxa"/>
            <w:tcMar>
              <w:top w:w="80" w:type="dxa"/>
              <w:left w:w="120" w:type="dxa"/>
              <w:bottom w:w="80" w:type="dxa"/>
              <w:right w:w="120" w:type="dxa"/>
            </w:tcMar>
          </w:tcPr>
          <w:p w14:paraId="7697B1D2">
            <w:pPr>
              <w:pStyle w:val="26"/>
            </w:pPr>
            <w:r>
              <w:t>97.5</w:t>
            </w:r>
          </w:p>
        </w:tc>
        <w:tc>
          <w:tcPr>
            <w:tcW w:w="1500" w:type="dxa"/>
            <w:tcMar>
              <w:top w:w="80" w:type="dxa"/>
              <w:left w:w="120" w:type="dxa"/>
              <w:bottom w:w="80" w:type="dxa"/>
              <w:right w:w="120" w:type="dxa"/>
            </w:tcMar>
          </w:tcPr>
          <w:p w14:paraId="31DE2398">
            <w:pPr>
              <w:pStyle w:val="26"/>
            </w:pPr>
            <w:r>
              <w:t>100.6</w:t>
            </w:r>
          </w:p>
        </w:tc>
        <w:tc>
          <w:tcPr>
            <w:tcW w:w="1100" w:type="dxa"/>
            <w:tcMar>
              <w:top w:w="80" w:type="dxa"/>
              <w:left w:w="120" w:type="dxa"/>
              <w:bottom w:w="80" w:type="dxa"/>
              <w:right w:w="120" w:type="dxa"/>
            </w:tcMar>
          </w:tcPr>
          <w:p w14:paraId="65D93989">
            <w:pPr>
              <w:pStyle w:val="26"/>
            </w:pPr>
            <w:r>
              <w:t>94.5</w:t>
            </w:r>
          </w:p>
        </w:tc>
        <w:tc>
          <w:tcPr>
            <w:tcW w:w="1300" w:type="dxa"/>
            <w:tcMar>
              <w:top w:w="80" w:type="dxa"/>
              <w:left w:w="120" w:type="dxa"/>
              <w:bottom w:w="80" w:type="dxa"/>
              <w:right w:w="120" w:type="dxa"/>
            </w:tcMar>
          </w:tcPr>
          <w:p w14:paraId="726456BB">
            <w:pPr>
              <w:pStyle w:val="26"/>
            </w:pPr>
            <w:r>
              <w:t>98.9</w:t>
            </w:r>
          </w:p>
        </w:tc>
        <w:tc>
          <w:tcPr>
            <w:tcW w:w="1100" w:type="dxa"/>
            <w:tcMar>
              <w:top w:w="80" w:type="dxa"/>
              <w:left w:w="120" w:type="dxa"/>
              <w:bottom w:w="80" w:type="dxa"/>
              <w:right w:w="120" w:type="dxa"/>
            </w:tcMar>
          </w:tcPr>
          <w:p w14:paraId="6358F815">
            <w:pPr>
              <w:pStyle w:val="26"/>
            </w:pPr>
            <w:r>
              <w:t>79.4</w:t>
            </w:r>
          </w:p>
        </w:tc>
      </w:tr>
      <w:tr w14:paraId="41A293F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360" w:type="dxa"/>
            <w:shd w:val="clear" w:color="auto" w:fill="F5F7F7"/>
            <w:tcMar>
              <w:top w:w="80" w:type="dxa"/>
              <w:left w:w="120" w:type="dxa"/>
              <w:bottom w:w="80" w:type="dxa"/>
              <w:right w:w="120" w:type="dxa"/>
            </w:tcMar>
          </w:tcPr>
          <w:p w14:paraId="2D64A06B">
            <w:pPr>
              <w:pStyle w:val="26"/>
            </w:pPr>
            <w:r>
              <w:rPr>
                <w:b/>
                <w:bCs/>
                <w:color w:val="1F3864"/>
              </w:rPr>
              <w:t>B (next 15%)</w:t>
            </w:r>
          </w:p>
        </w:tc>
        <w:tc>
          <w:tcPr>
            <w:tcW w:w="900" w:type="dxa"/>
            <w:shd w:val="clear" w:color="auto" w:fill="F5F7F7"/>
            <w:tcMar>
              <w:top w:w="80" w:type="dxa"/>
              <w:left w:w="120" w:type="dxa"/>
              <w:bottom w:w="80" w:type="dxa"/>
              <w:right w:w="120" w:type="dxa"/>
            </w:tcMar>
          </w:tcPr>
          <w:p w14:paraId="1BA81D08">
            <w:pPr>
              <w:pStyle w:val="26"/>
            </w:pPr>
            <w:r>
              <w:t>49</w:t>
            </w:r>
          </w:p>
        </w:tc>
        <w:tc>
          <w:tcPr>
            <w:tcW w:w="1100" w:type="dxa"/>
            <w:shd w:val="clear" w:color="auto" w:fill="F5F7F7"/>
            <w:tcMar>
              <w:top w:w="80" w:type="dxa"/>
              <w:left w:w="120" w:type="dxa"/>
              <w:bottom w:w="80" w:type="dxa"/>
              <w:right w:w="120" w:type="dxa"/>
            </w:tcMar>
          </w:tcPr>
          <w:p w14:paraId="54E1623D">
            <w:pPr>
              <w:pStyle w:val="26"/>
            </w:pPr>
            <w:r>
              <w:t>111.7</w:t>
            </w:r>
          </w:p>
        </w:tc>
        <w:tc>
          <w:tcPr>
            <w:tcW w:w="1500" w:type="dxa"/>
            <w:shd w:val="clear" w:color="auto" w:fill="F5F7F7"/>
            <w:tcMar>
              <w:top w:w="80" w:type="dxa"/>
              <w:left w:w="120" w:type="dxa"/>
              <w:bottom w:w="80" w:type="dxa"/>
              <w:right w:w="120" w:type="dxa"/>
            </w:tcMar>
          </w:tcPr>
          <w:p w14:paraId="2879A125">
            <w:pPr>
              <w:pStyle w:val="26"/>
            </w:pPr>
            <w:r>
              <w:t>122.9</w:t>
            </w:r>
          </w:p>
        </w:tc>
        <w:tc>
          <w:tcPr>
            <w:tcW w:w="1100" w:type="dxa"/>
            <w:shd w:val="clear" w:color="auto" w:fill="F5F7F7"/>
            <w:tcMar>
              <w:top w:w="80" w:type="dxa"/>
              <w:left w:w="120" w:type="dxa"/>
              <w:bottom w:w="80" w:type="dxa"/>
              <w:right w:w="120" w:type="dxa"/>
            </w:tcMar>
          </w:tcPr>
          <w:p w14:paraId="174CB9D1">
            <w:pPr>
              <w:pStyle w:val="26"/>
            </w:pPr>
            <w:r>
              <w:t>116.2</w:t>
            </w:r>
          </w:p>
        </w:tc>
        <w:tc>
          <w:tcPr>
            <w:tcW w:w="1300" w:type="dxa"/>
            <w:shd w:val="clear" w:color="auto" w:fill="F5F7F7"/>
            <w:tcMar>
              <w:top w:w="80" w:type="dxa"/>
              <w:left w:w="120" w:type="dxa"/>
              <w:bottom w:w="80" w:type="dxa"/>
              <w:right w:w="120" w:type="dxa"/>
            </w:tcMar>
          </w:tcPr>
          <w:p w14:paraId="3C7D1BFB">
            <w:pPr>
              <w:pStyle w:val="26"/>
            </w:pPr>
            <w:r>
              <w:t>143.2</w:t>
            </w:r>
          </w:p>
        </w:tc>
        <w:tc>
          <w:tcPr>
            <w:tcW w:w="1100" w:type="dxa"/>
            <w:shd w:val="clear" w:color="auto" w:fill="F5F7F7"/>
            <w:tcMar>
              <w:top w:w="80" w:type="dxa"/>
              <w:left w:w="120" w:type="dxa"/>
              <w:bottom w:w="80" w:type="dxa"/>
              <w:right w:w="120" w:type="dxa"/>
            </w:tcMar>
          </w:tcPr>
          <w:p w14:paraId="3593F312">
            <w:pPr>
              <w:pStyle w:val="26"/>
            </w:pPr>
            <w:r>
              <w:t>105.7</w:t>
            </w:r>
          </w:p>
        </w:tc>
      </w:tr>
      <w:tr w14:paraId="5BF71BAC">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360" w:type="dxa"/>
            <w:tcMar>
              <w:top w:w="80" w:type="dxa"/>
              <w:left w:w="120" w:type="dxa"/>
              <w:bottom w:w="80" w:type="dxa"/>
              <w:right w:w="120" w:type="dxa"/>
            </w:tcMar>
          </w:tcPr>
          <w:p w14:paraId="07B0E819">
            <w:pPr>
              <w:pStyle w:val="26"/>
            </w:pPr>
            <w:r>
              <w:rPr>
                <w:b/>
                <w:bCs/>
                <w:color w:val="1F3864"/>
              </w:rPr>
              <w:t>C (last 5%)</w:t>
            </w:r>
          </w:p>
        </w:tc>
        <w:tc>
          <w:tcPr>
            <w:tcW w:w="900" w:type="dxa"/>
            <w:tcMar>
              <w:top w:w="80" w:type="dxa"/>
              <w:left w:w="120" w:type="dxa"/>
              <w:bottom w:w="80" w:type="dxa"/>
              <w:right w:w="120" w:type="dxa"/>
            </w:tcMar>
          </w:tcPr>
          <w:p w14:paraId="08F4BE94">
            <w:pPr>
              <w:pStyle w:val="26"/>
            </w:pPr>
            <w:r>
              <w:t>170</w:t>
            </w:r>
          </w:p>
        </w:tc>
        <w:tc>
          <w:tcPr>
            <w:tcW w:w="1100" w:type="dxa"/>
            <w:tcMar>
              <w:top w:w="80" w:type="dxa"/>
              <w:left w:w="120" w:type="dxa"/>
              <w:bottom w:w="80" w:type="dxa"/>
              <w:right w:w="120" w:type="dxa"/>
            </w:tcMar>
          </w:tcPr>
          <w:p w14:paraId="6029CD66">
            <w:pPr>
              <w:pStyle w:val="26"/>
            </w:pPr>
            <w:r>
              <w:t>163.5</w:t>
            </w:r>
          </w:p>
        </w:tc>
        <w:tc>
          <w:tcPr>
            <w:tcW w:w="1500" w:type="dxa"/>
            <w:tcMar>
              <w:top w:w="80" w:type="dxa"/>
              <w:left w:w="120" w:type="dxa"/>
              <w:bottom w:w="80" w:type="dxa"/>
              <w:right w:w="120" w:type="dxa"/>
            </w:tcMar>
          </w:tcPr>
          <w:p w14:paraId="67CF28CC">
            <w:pPr>
              <w:pStyle w:val="26"/>
            </w:pPr>
            <w:r>
              <w:t>150.6</w:t>
            </w:r>
          </w:p>
        </w:tc>
        <w:tc>
          <w:tcPr>
            <w:tcW w:w="1100" w:type="dxa"/>
            <w:tcMar>
              <w:top w:w="80" w:type="dxa"/>
              <w:left w:w="120" w:type="dxa"/>
              <w:bottom w:w="80" w:type="dxa"/>
              <w:right w:w="120" w:type="dxa"/>
            </w:tcMar>
          </w:tcPr>
          <w:p w14:paraId="453D999B">
            <w:pPr>
              <w:pStyle w:val="26"/>
            </w:pPr>
            <w:r>
              <w:t>151.6</w:t>
            </w:r>
          </w:p>
        </w:tc>
        <w:tc>
          <w:tcPr>
            <w:tcW w:w="1300" w:type="dxa"/>
            <w:tcMar>
              <w:top w:w="80" w:type="dxa"/>
              <w:left w:w="120" w:type="dxa"/>
              <w:bottom w:w="80" w:type="dxa"/>
              <w:right w:w="120" w:type="dxa"/>
            </w:tcMar>
          </w:tcPr>
          <w:p w14:paraId="6F791C4A">
            <w:pPr>
              <w:pStyle w:val="26"/>
            </w:pPr>
            <w:r>
              <w:t>302.0</w:t>
            </w:r>
          </w:p>
        </w:tc>
        <w:tc>
          <w:tcPr>
            <w:tcW w:w="1100" w:type="dxa"/>
            <w:tcMar>
              <w:top w:w="80" w:type="dxa"/>
              <w:left w:w="120" w:type="dxa"/>
              <w:bottom w:w="80" w:type="dxa"/>
              <w:right w:w="120" w:type="dxa"/>
            </w:tcMar>
          </w:tcPr>
          <w:p w14:paraId="400B8BF9">
            <w:pPr>
              <w:pStyle w:val="26"/>
            </w:pPr>
            <w:r>
              <w:t>149.5</w:t>
            </w:r>
          </w:p>
        </w:tc>
      </w:tr>
    </w:tbl>
    <w:p w14:paraId="66FEC39C">
      <w:pPr>
        <w:pStyle w:val="25"/>
      </w:pPr>
      <w:r>
        <w:t>Source: Sponsor ERP billing extract; team rolling-origin backtest, 8 folds, weeks ending 26 Nov 2023 - 30 Jun 2024.</w:t>
      </w:r>
    </w:p>
    <w:p w14:paraId="4B44A6C4">
      <w:r>
        <w:t>Timing matters as much as product. Figure 7.3 overlays the aggregate forecasts on actual demand across the 32 test weeks. During the ramp-up from February to April 2024, the moving average and SES were as accurate as LightGBM (fold WAPEs of 66.3% for SES and 64.8% for LightGBM in the fold starting 17 March). The difference appears at the turning points. When the season ended in May and June, the averaging methods kept projecting peak-season volume, with fold WAPEs of 233% and 283% for the moving average, while LightGBM, informed by calendar and last-year features, followed demand down (144% and 94%). For a seasonal business, the end of the season is exactly when excess stock is created, so this is where accuracy is worth most.</w:t>
      </w:r>
    </w:p>
    <w:p w14:paraId="05851C90">
      <w:pPr>
        <w:keepNext/>
        <w:spacing w:before="120" w:after="40" w:line="240" w:lineRule="auto"/>
        <w:jc w:val="center"/>
      </w:pPr>
      <w:r>
        <w:drawing>
          <wp:inline distT="0" distB="0" distL="114300" distR="114300">
            <wp:extent cx="5760720" cy="2586355"/>
            <wp:effectExtent l="0" t="0" r="508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stretch>
                      <a:fillRect/>
                    </a:stretch>
                  </pic:blipFill>
                  <pic:spPr>
                    <a:xfrm>
                      <a:off x="0" y="0"/>
                      <a:ext cx="5760720" cy="2586700"/>
                    </a:xfrm>
                    <a:prstGeom prst="rect">
                      <a:avLst/>
                    </a:prstGeom>
                  </pic:spPr>
                </pic:pic>
              </a:graphicData>
            </a:graphic>
          </wp:inline>
        </w:drawing>
      </w:r>
    </w:p>
    <w:p w14:paraId="5A32750B">
      <w:pPr>
        <w:pStyle w:val="10"/>
        <w:jc w:val="center"/>
      </w:pPr>
      <w:r>
        <w:t>Figure 7.</w:t>
      </w:r>
      <w:r>
        <w:fldChar w:fldCharType="begin"/>
      </w:r>
      <w:r>
        <w:instrText xml:space="preserve">SEQ Figure \* ARABIC \s 1</w:instrText>
      </w:r>
      <w:r>
        <w:fldChar w:fldCharType="separate"/>
      </w:r>
      <w:r>
        <w:t>3</w:t>
      </w:r>
      <w:r>
        <w:fldChar w:fldCharType="end"/>
      </w:r>
      <w:bookmarkStart w:id="79" w:name="_Toc24936"/>
      <w:r>
        <w:t>: Actual versus forecast demand, all series combined, across the eight backtest folds</w:t>
      </w:r>
      <w:bookmarkEnd w:id="79"/>
    </w:p>
    <w:p w14:paraId="622870F8">
      <w:pPr>
        <w:pStyle w:val="25"/>
        <w:jc w:val="center"/>
      </w:pPr>
      <w:r>
        <w:t>Source: Sponsor ERP billing extract; team rolling-origin backtest, 8 folds, weeks ending 26 Nov 2023 - 30 Jun 2024.</w:t>
      </w:r>
    </w:p>
    <w:p w14:paraId="2BAD63EC">
      <w:r>
        <w:t>LightGBM's main weakness is bias at the peak. It under-forecast February-to-May demand by 17% while over-forecasting the off-season by 8%, whereas the moving average was nearly unbiased at the peak (-4%) but over-forecast the off-season by 48%. In 2024 the peak was earlier and steeper than in 2023, and a model that learns partly from last year's pattern adapts with a lag. The practical remedy, adopted in our recommendations, is to set peak-season buffers from errors measured in the peak itself.</w:t>
      </w:r>
    </w:p>
    <w:p w14:paraId="24AC3AF8">
      <w:r>
        <w:t>Accuracy also decays with horizon (Figure 7.4). LightGBM's WAPE is about 72% one and two weeks ahead and rises to about 97% three and four weeks ahead. One week ahead, the naive rule is almost as good (73.3%), but it deteriorates quickly thereafter. With a two-week lead time, the one- and two-week horizons are the ones that drive replenishment.</w:t>
      </w:r>
    </w:p>
    <w:p w14:paraId="4CC8352C">
      <w:pPr>
        <w:keepNext/>
        <w:spacing w:before="120" w:after="40" w:line="240" w:lineRule="auto"/>
        <w:jc w:val="center"/>
      </w:pPr>
      <w:r>
        <w:drawing>
          <wp:inline distT="0" distB="0" distL="114300" distR="114300">
            <wp:extent cx="5760720" cy="2482215"/>
            <wp:effectExtent l="0" t="0" r="508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a:stretch>
                      <a:fillRect/>
                    </a:stretch>
                  </pic:blipFill>
                  <pic:spPr>
                    <a:xfrm>
                      <a:off x="0" y="0"/>
                      <a:ext cx="5760720" cy="2482566"/>
                    </a:xfrm>
                    <a:prstGeom prst="rect">
                      <a:avLst/>
                    </a:prstGeom>
                  </pic:spPr>
                </pic:pic>
              </a:graphicData>
            </a:graphic>
          </wp:inline>
        </w:drawing>
      </w:r>
    </w:p>
    <w:p w14:paraId="1C0429AD">
      <w:pPr>
        <w:pStyle w:val="10"/>
        <w:jc w:val="center"/>
      </w:pPr>
      <w:r>
        <w:t>Figure 7.</w:t>
      </w:r>
      <w:r>
        <w:fldChar w:fldCharType="begin"/>
      </w:r>
      <w:r>
        <w:instrText xml:space="preserve">SEQ Figure \* ARABIC \s 1</w:instrText>
      </w:r>
      <w:r>
        <w:fldChar w:fldCharType="separate"/>
      </w:r>
      <w:r>
        <w:t>4</w:t>
      </w:r>
      <w:r>
        <w:fldChar w:fldCharType="end"/>
      </w:r>
      <w:bookmarkStart w:id="80" w:name="_Toc18071"/>
      <w:r>
        <w:t>: Weekly WAPE by forecast horizon</w:t>
      </w:r>
      <w:bookmarkEnd w:id="80"/>
    </w:p>
    <w:p w14:paraId="353DA4F9">
      <w:pPr>
        <w:pStyle w:val="25"/>
        <w:jc w:val="center"/>
      </w:pPr>
      <w:r>
        <w:t>Source: Sponsor ERP billing extract; team rolling-origin backtest, 8 folds, weeks ending 26 Nov 2023 - 30 Jun 2024.</w:t>
      </w:r>
    </w:p>
    <w:p w14:paraId="0BEBA2F6">
      <w:pPr>
        <w:pStyle w:val="4"/>
      </w:pPr>
      <w:bookmarkStart w:id="81" w:name="_Toc15361"/>
      <w:r>
        <w:t>Does choosing a model per series help?</w:t>
      </w:r>
      <w:bookmarkEnd w:id="81"/>
    </w:p>
    <w:p w14:paraId="0B8F9AE2">
      <w:r>
        <w:t>A common design, and the one used in the project dashboard's model tournament, picks the best method for each series from past accuracy. We tested this honestly: for each series we selected the method with the lowest error over the first four folds, then measured it on the last four. Naive and the moving average were selected most often (63 and 56 series), LightGBM for 31. The per-series selection achieved a WAPE of 98.6% over the last four folds, worse than applying LightGBM to every series (84.9%). With only a few months of sparse history per series, past winners are largely winners by chance; a single global model is both more accurate and simpler to govern.</w:t>
      </w:r>
    </w:p>
    <w:p w14:paraId="71B08A0D">
      <w:pPr>
        <w:spacing w:after="60"/>
      </w:pPr>
    </w:p>
    <w:tbl>
      <w:tblPr>
        <w:tblStyle w:val="9"/>
        <w:tblW w:w="9360" w:type="dxa"/>
        <w:tblInd w:w="0" w:type="dxa"/>
        <w:tblBorders>
          <w:top w:val="none" w:color="auto" w:sz="0" w:space="0"/>
          <w:left w:val="single" w:color="0F6B72" w:sz="24"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360"/>
      </w:tblGrid>
      <w:tr w14:paraId="234AF023">
        <w:tblPrEx>
          <w:tblCellMar>
            <w:top w:w="0" w:type="dxa"/>
            <w:left w:w="10" w:type="dxa"/>
            <w:bottom w:w="0" w:type="dxa"/>
            <w:right w:w="10" w:type="dxa"/>
          </w:tblCellMar>
        </w:tblPrEx>
        <w:trPr>
          <w:cantSplit/>
        </w:trPr>
        <w:tc>
          <w:tcPr>
            <w:tcW w:w="9360" w:type="dxa"/>
            <w:shd w:val="clear" w:color="auto" w:fill="EAF1F1"/>
            <w:tcMar>
              <w:top w:w="120" w:type="dxa"/>
              <w:left w:w="200" w:type="dxa"/>
              <w:bottom w:w="120" w:type="dxa"/>
              <w:right w:w="200" w:type="dxa"/>
            </w:tcMar>
          </w:tcPr>
          <w:p w14:paraId="48B3550F">
            <w:pPr>
              <w:pStyle w:val="28"/>
            </w:pPr>
            <w:r>
              <w:t>Key Takeaways</w:t>
            </w:r>
          </w:p>
          <w:p w14:paraId="6AAC216D">
            <w:pPr>
              <w:pStyle w:val="29"/>
              <w:numPr>
                <w:ilvl w:val="0"/>
                <w:numId w:val="4"/>
              </w:numPr>
            </w:pPr>
            <w:r>
              <w:t>A single global LightGBM model is the most accurate method: 24% lower four-week-bucket error than the moving average, and 21% lower weekly error on the series that carry 80% of volume.</w:t>
            </w:r>
          </w:p>
          <w:p w14:paraId="07C6B42B">
            <w:pPr>
              <w:pStyle w:val="29"/>
              <w:numPr>
                <w:ilvl w:val="0"/>
                <w:numId w:val="4"/>
              </w:numPr>
            </w:pPr>
            <w:r>
              <w:t>Its edge is greatest at seasonal turning points, where averages over-forecast; its weakness is a lag at the start of an early, steep peak.</w:t>
            </w:r>
          </w:p>
          <w:p w14:paraId="4290440D">
            <w:pPr>
              <w:pStyle w:val="29"/>
              <w:numPr>
                <w:ilvl w:val="0"/>
                <w:numId w:val="4"/>
              </w:numPr>
            </w:pPr>
            <w:r>
              <w:t>Choosing a model per series on past accuracy is worse than one global model; weekly SKU × branch forecasts should inform, not dictate, decisions taken over four-week buckets.</w:t>
            </w:r>
          </w:p>
        </w:tc>
      </w:tr>
    </w:tbl>
    <w:p w14:paraId="7AB00DA1">
      <w:pPr>
        <w:pStyle w:val="2"/>
      </w:pPr>
      <w:bookmarkStart w:id="82" w:name="_Toc3087"/>
      <w:r>
        <w:t>Chapter 8: Deployment, Validation and Responsible AI</w:t>
      </w:r>
      <w:bookmarkEnd w:id="82"/>
    </w:p>
    <w:p w14:paraId="6B2126C6">
      <w:r>
        <w:t>A forecast that is accurate in a backtest but misused in production does more harm than no forecast at all. This chapter describes how the model would reach planners, how it should be evaluated before it is trusted, where its risks lie, and how it should be monitored. Because the model forecasts products rather than people, the main responsible-AI questions concern consistency across branches and product groups, explainability to planners, and the integrity of the numbers shown to decision-makers.</w:t>
      </w:r>
    </w:p>
    <w:p w14:paraId="48DB0DB9">
      <w:pPr>
        <w:pStyle w:val="3"/>
      </w:pPr>
      <w:bookmarkStart w:id="83" w:name="_Toc15971"/>
      <w:r>
        <w:t>8.1  Deployment and Evaluation</w:t>
      </w:r>
      <w:bookmarkEnd w:id="83"/>
    </w:p>
    <w:p w14:paraId="434862BD">
      <w:r>
        <w:rPr>
          <w:b/>
          <w:bCs/>
        </w:rPr>
        <w:t>Current delivery vehicle.</w:t>
      </w:r>
      <w:r>
        <w:t xml:space="preserve"> The project produced a Streamlit planner dashboard with twelve views in four groups: exploratory analysis (data quality radar, cleaning studio, statistical deep-dive and an explorer), SKU demand forecasting (forecast view, model leaderboard and hierarchical reconciliation), operations (forecast monitoring and drift, inventory intelligence and a scenario simulator) and executive reporting. It runs locally and has also been deployed as a hosted web application for sponsor demonstrations.</w:t>
      </w:r>
    </w:p>
    <w:p w14:paraId="0818A553">
      <w:r>
        <w:rPr>
          <w:b/>
          <w:bCs/>
        </w:rPr>
        <w:t>Proposed production path.</w:t>
      </w:r>
      <w:r>
        <w:t xml:space="preserve"> We recommend a weekly batch rather than an interactive model. Each Monday, the latest week of billings is extracted, validated and appended to the weekly matrix; the global LightGBM model is retrained on all history (about four minutes on a laptop); and forecasts for the next four weeks, with error-based safety stocks, are written to a table that the dashboard and the planners' existing spreadsheets read. Series with fewer than eight weeks of history receive the moving-average forecast until they qualify. Planners can review and override forecasts, and every override is logged so that its value can be measured, as recommended by Fildes et al. (2009).</w:t>
      </w:r>
    </w:p>
    <w:p w14:paraId="54F947B2">
      <w:r>
        <w:rPr>
          <w:b/>
          <w:bCs/>
        </w:rPr>
        <w:t>Evaluation before reliance.</w:t>
      </w:r>
      <w:r>
        <w:t xml:space="preserve"> The backtest establishes that the model beats simple rules on history; it does not establish that it beats experienced planners. We therefore recommend a shadow pilot of at least twelve weeks, covering the February-to-May 2027 peak, at MAA (the largest branch) and COK (the fastest-growing). During the pilot, planners continue to decide as today while the model's forecasts are recorded alongside theirs; the comparison of four-week-bucket WAPE, bias and stock outcomes then decides whether to scale.</w:t>
      </w:r>
    </w:p>
    <w:p w14:paraId="011BD8CF">
      <w:r>
        <w:rPr>
          <w:b/>
          <w:bCs/>
        </w:rPr>
        <w:t>A required correction to the dashboard.</w:t>
      </w:r>
      <w:r>
        <w:t xml:space="preserve"> Our audit found that the dashboard's model leaderboard fits each candidate model on a SKU's full history and scores it on the same weeks, and that its accuracy display substitutes a bounded proxy whenever WAPE exceeds 100%. Both practices overstate accuracy relative to the out-of-sample figures in Chapter 7. Before planners use the leaderboard, it must be rebuilt on the rolling-origin results, and the synthetic test records noted in Section 3.3 must be removed from its data file.</w:t>
      </w:r>
    </w:p>
    <w:p w14:paraId="5699C9F0">
      <w:pPr>
        <w:pStyle w:val="3"/>
      </w:pPr>
      <w:bookmarkStart w:id="84" w:name="_Toc6943"/>
      <w:r>
        <w:t>8.2  Fairness, Explainability and Risk</w:t>
      </w:r>
      <w:bookmarkEnd w:id="84"/>
    </w:p>
    <w:p w14:paraId="10DAF1E8">
      <w:r>
        <w:rPr>
          <w:b/>
          <w:bCs/>
        </w:rPr>
        <w:t>Consistency across branches and product groups.</w:t>
      </w:r>
      <w:r>
        <w:t xml:space="preserve"> The model makes no decisions about individuals, so classical fairness metrics do not apply. The relevant question is whether forecast quality, and hence service, is systematically worse for some branches or products. Table 8.1 shows that LightGBM improves on the moving average in every branch, with WAPE ranging from 75.9% to 89.3%. COK, the fastest-growing branch, has the highest error under both methods, which is consistent with growth eroding the value of history. Across demand classes and volume tiers (Section 7.3), the long tail of sporadic series is forecast poorly by every method; for these, the fair and efficient response is a simple rule and a modest buffer rather than false precision.</w:t>
      </w:r>
    </w:p>
    <w:p w14:paraId="7104FC09">
      <w:pPr>
        <w:pStyle w:val="10"/>
        <w:keepNext/>
      </w:pPr>
      <w:r>
        <w:t>Table 8.</w:t>
      </w:r>
      <w:r>
        <w:fldChar w:fldCharType="begin"/>
      </w:r>
      <w:r>
        <w:instrText xml:space="preserve">SEQ Table \* ARABIC \s 1</w:instrText>
      </w:r>
      <w:r>
        <w:fldChar w:fldCharType="separate"/>
      </w:r>
      <w:r>
        <w:t>1</w:t>
      </w:r>
      <w:r>
        <w:fldChar w:fldCharType="end"/>
      </w:r>
      <w:bookmarkStart w:id="85" w:name="_Toc18747"/>
      <w:r>
        <w:t>: Weekly WAPE (%) by branch</w:t>
      </w:r>
      <w:bookmarkEnd w:id="85"/>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1000"/>
        <w:gridCol w:w="1300"/>
        <w:gridCol w:w="1100"/>
        <w:gridCol w:w="1700"/>
        <w:gridCol w:w="1000"/>
        <w:gridCol w:w="1200"/>
        <w:gridCol w:w="2060"/>
      </w:tblGrid>
      <w:tr w14:paraId="5DDE980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1000" w:type="dxa"/>
            <w:shd w:val="clear" w:color="auto" w:fill="1F3864"/>
            <w:tcMar>
              <w:top w:w="80" w:type="dxa"/>
              <w:left w:w="120" w:type="dxa"/>
              <w:bottom w:w="80" w:type="dxa"/>
              <w:right w:w="120" w:type="dxa"/>
            </w:tcMar>
            <w:vAlign w:val="center"/>
          </w:tcPr>
          <w:p w14:paraId="2534E715">
            <w:pPr>
              <w:pStyle w:val="27"/>
            </w:pPr>
            <w:r>
              <w:t>Branch</w:t>
            </w:r>
          </w:p>
        </w:tc>
        <w:tc>
          <w:tcPr>
            <w:tcW w:w="1300" w:type="dxa"/>
            <w:shd w:val="clear" w:color="auto" w:fill="1F3864"/>
            <w:tcMar>
              <w:top w:w="80" w:type="dxa"/>
              <w:left w:w="120" w:type="dxa"/>
              <w:bottom w:w="80" w:type="dxa"/>
              <w:right w:w="120" w:type="dxa"/>
            </w:tcMar>
            <w:vAlign w:val="center"/>
          </w:tcPr>
          <w:p w14:paraId="1512BD8C">
            <w:pPr>
              <w:pStyle w:val="27"/>
            </w:pPr>
            <w:r>
              <w:t>Share of volume %</w:t>
            </w:r>
          </w:p>
        </w:tc>
        <w:tc>
          <w:tcPr>
            <w:tcW w:w="1100" w:type="dxa"/>
            <w:shd w:val="clear" w:color="auto" w:fill="1F3864"/>
            <w:tcMar>
              <w:top w:w="80" w:type="dxa"/>
              <w:left w:w="120" w:type="dxa"/>
              <w:bottom w:w="80" w:type="dxa"/>
              <w:right w:w="120" w:type="dxa"/>
            </w:tcMar>
            <w:vAlign w:val="center"/>
          </w:tcPr>
          <w:p w14:paraId="200208BD">
            <w:pPr>
              <w:pStyle w:val="27"/>
            </w:pPr>
            <w:r>
              <w:t>Naive</w:t>
            </w:r>
          </w:p>
        </w:tc>
        <w:tc>
          <w:tcPr>
            <w:tcW w:w="1700" w:type="dxa"/>
            <w:shd w:val="clear" w:color="auto" w:fill="1F3864"/>
            <w:tcMar>
              <w:top w:w="80" w:type="dxa"/>
              <w:left w:w="120" w:type="dxa"/>
              <w:bottom w:w="80" w:type="dxa"/>
              <w:right w:w="120" w:type="dxa"/>
            </w:tcMar>
            <w:vAlign w:val="center"/>
          </w:tcPr>
          <w:p w14:paraId="67C94A4D">
            <w:pPr>
              <w:pStyle w:val="27"/>
            </w:pPr>
            <w:r>
              <w:t>Moving average (8w)</w:t>
            </w:r>
          </w:p>
        </w:tc>
        <w:tc>
          <w:tcPr>
            <w:tcW w:w="1000" w:type="dxa"/>
            <w:shd w:val="clear" w:color="auto" w:fill="1F3864"/>
            <w:tcMar>
              <w:top w:w="80" w:type="dxa"/>
              <w:left w:w="120" w:type="dxa"/>
              <w:bottom w:w="80" w:type="dxa"/>
              <w:right w:w="120" w:type="dxa"/>
            </w:tcMar>
            <w:vAlign w:val="center"/>
          </w:tcPr>
          <w:p w14:paraId="54F77A72">
            <w:pPr>
              <w:pStyle w:val="27"/>
            </w:pPr>
            <w:r>
              <w:t>SES</w:t>
            </w:r>
          </w:p>
        </w:tc>
        <w:tc>
          <w:tcPr>
            <w:tcW w:w="1200" w:type="dxa"/>
            <w:shd w:val="clear" w:color="auto" w:fill="1F3864"/>
            <w:tcMar>
              <w:top w:w="80" w:type="dxa"/>
              <w:left w:w="120" w:type="dxa"/>
              <w:bottom w:w="80" w:type="dxa"/>
              <w:right w:w="120" w:type="dxa"/>
            </w:tcMar>
            <w:vAlign w:val="center"/>
          </w:tcPr>
          <w:p w14:paraId="1859F6DF">
            <w:pPr>
              <w:pStyle w:val="27"/>
            </w:pPr>
            <w:r>
              <w:t>LightGBM</w:t>
            </w:r>
          </w:p>
        </w:tc>
        <w:tc>
          <w:tcPr>
            <w:tcW w:w="2060" w:type="dxa"/>
            <w:shd w:val="clear" w:color="auto" w:fill="1F3864"/>
            <w:tcMar>
              <w:top w:w="80" w:type="dxa"/>
              <w:left w:w="120" w:type="dxa"/>
              <w:bottom w:w="80" w:type="dxa"/>
              <w:right w:w="120" w:type="dxa"/>
            </w:tcMar>
            <w:vAlign w:val="center"/>
          </w:tcPr>
          <w:p w14:paraId="65E6A37A">
            <w:pPr>
              <w:pStyle w:val="27"/>
            </w:pPr>
            <w:r>
              <w:t>LightGBM vs moving average</w:t>
            </w:r>
          </w:p>
        </w:tc>
      </w:tr>
      <w:tr w14:paraId="47F328F7">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000" w:type="dxa"/>
            <w:tcMar>
              <w:top w:w="80" w:type="dxa"/>
              <w:left w:w="120" w:type="dxa"/>
              <w:bottom w:w="80" w:type="dxa"/>
              <w:right w:w="120" w:type="dxa"/>
            </w:tcMar>
          </w:tcPr>
          <w:p w14:paraId="70D56F0D">
            <w:pPr>
              <w:pStyle w:val="26"/>
            </w:pPr>
            <w:r>
              <w:rPr>
                <w:b/>
                <w:bCs/>
                <w:color w:val="1F3864"/>
              </w:rPr>
              <w:t>MAA</w:t>
            </w:r>
          </w:p>
        </w:tc>
        <w:tc>
          <w:tcPr>
            <w:tcW w:w="1300" w:type="dxa"/>
            <w:tcMar>
              <w:top w:w="80" w:type="dxa"/>
              <w:left w:w="120" w:type="dxa"/>
              <w:bottom w:w="80" w:type="dxa"/>
              <w:right w:w="120" w:type="dxa"/>
            </w:tcMar>
          </w:tcPr>
          <w:p w14:paraId="4B7D9F8A">
            <w:pPr>
              <w:pStyle w:val="26"/>
            </w:pPr>
            <w:r>
              <w:t>35.1</w:t>
            </w:r>
          </w:p>
        </w:tc>
        <w:tc>
          <w:tcPr>
            <w:tcW w:w="1100" w:type="dxa"/>
            <w:tcMar>
              <w:top w:w="80" w:type="dxa"/>
              <w:left w:w="120" w:type="dxa"/>
              <w:bottom w:w="80" w:type="dxa"/>
              <w:right w:w="120" w:type="dxa"/>
            </w:tcMar>
          </w:tcPr>
          <w:p w14:paraId="577C445F">
            <w:pPr>
              <w:pStyle w:val="26"/>
            </w:pPr>
            <w:r>
              <w:t>97.3</w:t>
            </w:r>
          </w:p>
        </w:tc>
        <w:tc>
          <w:tcPr>
            <w:tcW w:w="1700" w:type="dxa"/>
            <w:tcMar>
              <w:top w:w="80" w:type="dxa"/>
              <w:left w:w="120" w:type="dxa"/>
              <w:bottom w:w="80" w:type="dxa"/>
              <w:right w:w="120" w:type="dxa"/>
            </w:tcMar>
          </w:tcPr>
          <w:p w14:paraId="5F14C3CF">
            <w:pPr>
              <w:pStyle w:val="26"/>
            </w:pPr>
            <w:r>
              <w:t>113.4</w:t>
            </w:r>
          </w:p>
        </w:tc>
        <w:tc>
          <w:tcPr>
            <w:tcW w:w="1000" w:type="dxa"/>
            <w:tcMar>
              <w:top w:w="80" w:type="dxa"/>
              <w:left w:w="120" w:type="dxa"/>
              <w:bottom w:w="80" w:type="dxa"/>
              <w:right w:w="120" w:type="dxa"/>
            </w:tcMar>
          </w:tcPr>
          <w:p w14:paraId="5F97B0B0">
            <w:pPr>
              <w:pStyle w:val="26"/>
            </w:pPr>
            <w:r>
              <w:t>105.7</w:t>
            </w:r>
          </w:p>
        </w:tc>
        <w:tc>
          <w:tcPr>
            <w:tcW w:w="1200" w:type="dxa"/>
            <w:tcMar>
              <w:top w:w="80" w:type="dxa"/>
              <w:left w:w="120" w:type="dxa"/>
              <w:bottom w:w="80" w:type="dxa"/>
              <w:right w:w="120" w:type="dxa"/>
            </w:tcMar>
          </w:tcPr>
          <w:p w14:paraId="34990463">
            <w:pPr>
              <w:pStyle w:val="26"/>
            </w:pPr>
            <w:r>
              <w:t>88.1</w:t>
            </w:r>
          </w:p>
        </w:tc>
        <w:tc>
          <w:tcPr>
            <w:tcW w:w="2060" w:type="dxa"/>
            <w:tcMar>
              <w:top w:w="80" w:type="dxa"/>
              <w:left w:w="120" w:type="dxa"/>
              <w:bottom w:w="80" w:type="dxa"/>
              <w:right w:w="120" w:type="dxa"/>
            </w:tcMar>
          </w:tcPr>
          <w:p w14:paraId="122E79D9">
            <w:pPr>
              <w:pStyle w:val="26"/>
            </w:pPr>
            <w:r>
              <w:t>-22%</w:t>
            </w:r>
          </w:p>
        </w:tc>
      </w:tr>
      <w:tr w14:paraId="477CBE6F">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000" w:type="dxa"/>
            <w:shd w:val="clear" w:color="auto" w:fill="F5F7F7"/>
            <w:tcMar>
              <w:top w:w="80" w:type="dxa"/>
              <w:left w:w="120" w:type="dxa"/>
              <w:bottom w:w="80" w:type="dxa"/>
              <w:right w:w="120" w:type="dxa"/>
            </w:tcMar>
          </w:tcPr>
          <w:p w14:paraId="3921233E">
            <w:pPr>
              <w:pStyle w:val="26"/>
            </w:pPr>
            <w:r>
              <w:rPr>
                <w:b/>
                <w:bCs/>
                <w:color w:val="1F3864"/>
              </w:rPr>
              <w:t>SBD</w:t>
            </w:r>
          </w:p>
        </w:tc>
        <w:tc>
          <w:tcPr>
            <w:tcW w:w="1300" w:type="dxa"/>
            <w:shd w:val="clear" w:color="auto" w:fill="F5F7F7"/>
            <w:tcMar>
              <w:top w:w="80" w:type="dxa"/>
              <w:left w:w="120" w:type="dxa"/>
              <w:bottom w:w="80" w:type="dxa"/>
              <w:right w:w="120" w:type="dxa"/>
            </w:tcMar>
          </w:tcPr>
          <w:p w14:paraId="392ECA40">
            <w:pPr>
              <w:pStyle w:val="26"/>
            </w:pPr>
            <w:r>
              <w:t>28.3</w:t>
            </w:r>
          </w:p>
        </w:tc>
        <w:tc>
          <w:tcPr>
            <w:tcW w:w="1100" w:type="dxa"/>
            <w:shd w:val="clear" w:color="auto" w:fill="F5F7F7"/>
            <w:tcMar>
              <w:top w:w="80" w:type="dxa"/>
              <w:left w:w="120" w:type="dxa"/>
              <w:bottom w:w="80" w:type="dxa"/>
              <w:right w:w="120" w:type="dxa"/>
            </w:tcMar>
          </w:tcPr>
          <w:p w14:paraId="7A78BAE8">
            <w:pPr>
              <w:pStyle w:val="26"/>
            </w:pPr>
            <w:r>
              <w:t>109.6</w:t>
            </w:r>
          </w:p>
        </w:tc>
        <w:tc>
          <w:tcPr>
            <w:tcW w:w="1700" w:type="dxa"/>
            <w:shd w:val="clear" w:color="auto" w:fill="F5F7F7"/>
            <w:tcMar>
              <w:top w:w="80" w:type="dxa"/>
              <w:left w:w="120" w:type="dxa"/>
              <w:bottom w:w="80" w:type="dxa"/>
              <w:right w:w="120" w:type="dxa"/>
            </w:tcMar>
          </w:tcPr>
          <w:p w14:paraId="162C3C24">
            <w:pPr>
              <w:pStyle w:val="26"/>
            </w:pPr>
            <w:r>
              <w:t>96.3</w:t>
            </w:r>
          </w:p>
        </w:tc>
        <w:tc>
          <w:tcPr>
            <w:tcW w:w="1000" w:type="dxa"/>
            <w:shd w:val="clear" w:color="auto" w:fill="F5F7F7"/>
            <w:tcMar>
              <w:top w:w="80" w:type="dxa"/>
              <w:left w:w="120" w:type="dxa"/>
              <w:bottom w:w="80" w:type="dxa"/>
              <w:right w:w="120" w:type="dxa"/>
            </w:tcMar>
          </w:tcPr>
          <w:p w14:paraId="1CB7583B">
            <w:pPr>
              <w:pStyle w:val="26"/>
            </w:pPr>
            <w:r>
              <w:t>91.2</w:t>
            </w:r>
          </w:p>
        </w:tc>
        <w:tc>
          <w:tcPr>
            <w:tcW w:w="1200" w:type="dxa"/>
            <w:shd w:val="clear" w:color="auto" w:fill="F5F7F7"/>
            <w:tcMar>
              <w:top w:w="80" w:type="dxa"/>
              <w:left w:w="120" w:type="dxa"/>
              <w:bottom w:w="80" w:type="dxa"/>
              <w:right w:w="120" w:type="dxa"/>
            </w:tcMar>
          </w:tcPr>
          <w:p w14:paraId="282F9B3A">
            <w:pPr>
              <w:pStyle w:val="26"/>
            </w:pPr>
            <w:r>
              <w:t>83.4</w:t>
            </w:r>
          </w:p>
        </w:tc>
        <w:tc>
          <w:tcPr>
            <w:tcW w:w="2060" w:type="dxa"/>
            <w:shd w:val="clear" w:color="auto" w:fill="F5F7F7"/>
            <w:tcMar>
              <w:top w:w="80" w:type="dxa"/>
              <w:left w:w="120" w:type="dxa"/>
              <w:bottom w:w="80" w:type="dxa"/>
              <w:right w:w="120" w:type="dxa"/>
            </w:tcMar>
          </w:tcPr>
          <w:p w14:paraId="498658E3">
            <w:pPr>
              <w:pStyle w:val="26"/>
            </w:pPr>
            <w:r>
              <w:t>-13%</w:t>
            </w:r>
          </w:p>
        </w:tc>
      </w:tr>
      <w:tr w14:paraId="14F0CE0B">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000" w:type="dxa"/>
            <w:tcMar>
              <w:top w:w="80" w:type="dxa"/>
              <w:left w:w="120" w:type="dxa"/>
              <w:bottom w:w="80" w:type="dxa"/>
              <w:right w:w="120" w:type="dxa"/>
            </w:tcMar>
          </w:tcPr>
          <w:p w14:paraId="433B4075">
            <w:pPr>
              <w:pStyle w:val="26"/>
            </w:pPr>
            <w:r>
              <w:rPr>
                <w:b/>
                <w:bCs/>
                <w:color w:val="1F3864"/>
              </w:rPr>
              <w:t>SBD1</w:t>
            </w:r>
          </w:p>
        </w:tc>
        <w:tc>
          <w:tcPr>
            <w:tcW w:w="1300" w:type="dxa"/>
            <w:tcMar>
              <w:top w:w="80" w:type="dxa"/>
              <w:left w:w="120" w:type="dxa"/>
              <w:bottom w:w="80" w:type="dxa"/>
              <w:right w:w="120" w:type="dxa"/>
            </w:tcMar>
          </w:tcPr>
          <w:p w14:paraId="44F813FA">
            <w:pPr>
              <w:pStyle w:val="26"/>
            </w:pPr>
            <w:r>
              <w:t>15.7</w:t>
            </w:r>
          </w:p>
        </w:tc>
        <w:tc>
          <w:tcPr>
            <w:tcW w:w="1100" w:type="dxa"/>
            <w:tcMar>
              <w:top w:w="80" w:type="dxa"/>
              <w:left w:w="120" w:type="dxa"/>
              <w:bottom w:w="80" w:type="dxa"/>
              <w:right w:w="120" w:type="dxa"/>
            </w:tcMar>
          </w:tcPr>
          <w:p w14:paraId="70418207">
            <w:pPr>
              <w:pStyle w:val="26"/>
            </w:pPr>
            <w:r>
              <w:t>91.3</w:t>
            </w:r>
          </w:p>
        </w:tc>
        <w:tc>
          <w:tcPr>
            <w:tcW w:w="1700" w:type="dxa"/>
            <w:tcMar>
              <w:top w:w="80" w:type="dxa"/>
              <w:left w:w="120" w:type="dxa"/>
              <w:bottom w:w="80" w:type="dxa"/>
              <w:right w:w="120" w:type="dxa"/>
            </w:tcMar>
          </w:tcPr>
          <w:p w14:paraId="5772FC3F">
            <w:pPr>
              <w:pStyle w:val="26"/>
            </w:pPr>
            <w:r>
              <w:t>96.1</w:t>
            </w:r>
          </w:p>
        </w:tc>
        <w:tc>
          <w:tcPr>
            <w:tcW w:w="1000" w:type="dxa"/>
            <w:tcMar>
              <w:top w:w="80" w:type="dxa"/>
              <w:left w:w="120" w:type="dxa"/>
              <w:bottom w:w="80" w:type="dxa"/>
              <w:right w:w="120" w:type="dxa"/>
            </w:tcMar>
          </w:tcPr>
          <w:p w14:paraId="6E87EEEF">
            <w:pPr>
              <w:pStyle w:val="26"/>
            </w:pPr>
            <w:r>
              <w:t>91.0</w:t>
            </w:r>
          </w:p>
        </w:tc>
        <w:tc>
          <w:tcPr>
            <w:tcW w:w="1200" w:type="dxa"/>
            <w:tcMar>
              <w:top w:w="80" w:type="dxa"/>
              <w:left w:w="120" w:type="dxa"/>
              <w:bottom w:w="80" w:type="dxa"/>
              <w:right w:w="120" w:type="dxa"/>
            </w:tcMar>
          </w:tcPr>
          <w:p w14:paraId="3B44B04A">
            <w:pPr>
              <w:pStyle w:val="26"/>
            </w:pPr>
            <w:r>
              <w:t>75.9</w:t>
            </w:r>
          </w:p>
        </w:tc>
        <w:tc>
          <w:tcPr>
            <w:tcW w:w="2060" w:type="dxa"/>
            <w:tcMar>
              <w:top w:w="80" w:type="dxa"/>
              <w:left w:w="120" w:type="dxa"/>
              <w:bottom w:w="80" w:type="dxa"/>
              <w:right w:w="120" w:type="dxa"/>
            </w:tcMar>
          </w:tcPr>
          <w:p w14:paraId="6CFF6DEA">
            <w:pPr>
              <w:pStyle w:val="26"/>
            </w:pPr>
            <w:r>
              <w:t>-21%</w:t>
            </w:r>
          </w:p>
        </w:tc>
      </w:tr>
      <w:tr w14:paraId="7DD78443">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000" w:type="dxa"/>
            <w:shd w:val="clear" w:color="auto" w:fill="F5F7F7"/>
            <w:tcMar>
              <w:top w:w="80" w:type="dxa"/>
              <w:left w:w="120" w:type="dxa"/>
              <w:bottom w:w="80" w:type="dxa"/>
              <w:right w:w="120" w:type="dxa"/>
            </w:tcMar>
          </w:tcPr>
          <w:p w14:paraId="24D1D76A">
            <w:pPr>
              <w:pStyle w:val="26"/>
            </w:pPr>
            <w:r>
              <w:rPr>
                <w:b/>
                <w:bCs/>
                <w:color w:val="1F3864"/>
              </w:rPr>
              <w:t>COK</w:t>
            </w:r>
          </w:p>
        </w:tc>
        <w:tc>
          <w:tcPr>
            <w:tcW w:w="1300" w:type="dxa"/>
            <w:shd w:val="clear" w:color="auto" w:fill="F5F7F7"/>
            <w:tcMar>
              <w:top w:w="80" w:type="dxa"/>
              <w:left w:w="120" w:type="dxa"/>
              <w:bottom w:w="80" w:type="dxa"/>
              <w:right w:w="120" w:type="dxa"/>
            </w:tcMar>
          </w:tcPr>
          <w:p w14:paraId="39CA4DDF">
            <w:pPr>
              <w:pStyle w:val="26"/>
            </w:pPr>
            <w:r>
              <w:t>10.8</w:t>
            </w:r>
          </w:p>
        </w:tc>
        <w:tc>
          <w:tcPr>
            <w:tcW w:w="1100" w:type="dxa"/>
            <w:shd w:val="clear" w:color="auto" w:fill="F5F7F7"/>
            <w:tcMar>
              <w:top w:w="80" w:type="dxa"/>
              <w:left w:w="120" w:type="dxa"/>
              <w:bottom w:w="80" w:type="dxa"/>
              <w:right w:w="120" w:type="dxa"/>
            </w:tcMar>
          </w:tcPr>
          <w:p w14:paraId="6876EC65">
            <w:pPr>
              <w:pStyle w:val="26"/>
            </w:pPr>
            <w:r>
              <w:t>111.8</w:t>
            </w:r>
          </w:p>
        </w:tc>
        <w:tc>
          <w:tcPr>
            <w:tcW w:w="1700" w:type="dxa"/>
            <w:shd w:val="clear" w:color="auto" w:fill="F5F7F7"/>
            <w:tcMar>
              <w:top w:w="80" w:type="dxa"/>
              <w:left w:w="120" w:type="dxa"/>
              <w:bottom w:w="80" w:type="dxa"/>
              <w:right w:w="120" w:type="dxa"/>
            </w:tcMar>
          </w:tcPr>
          <w:p w14:paraId="27E2B105">
            <w:pPr>
              <w:pStyle w:val="26"/>
            </w:pPr>
            <w:r>
              <w:t>116.1</w:t>
            </w:r>
          </w:p>
        </w:tc>
        <w:tc>
          <w:tcPr>
            <w:tcW w:w="1000" w:type="dxa"/>
            <w:shd w:val="clear" w:color="auto" w:fill="F5F7F7"/>
            <w:tcMar>
              <w:top w:w="80" w:type="dxa"/>
              <w:left w:w="120" w:type="dxa"/>
              <w:bottom w:w="80" w:type="dxa"/>
              <w:right w:w="120" w:type="dxa"/>
            </w:tcMar>
          </w:tcPr>
          <w:p w14:paraId="39892CA2">
            <w:pPr>
              <w:pStyle w:val="26"/>
            </w:pPr>
            <w:r>
              <w:t>109.9</w:t>
            </w:r>
          </w:p>
        </w:tc>
        <w:tc>
          <w:tcPr>
            <w:tcW w:w="1200" w:type="dxa"/>
            <w:shd w:val="clear" w:color="auto" w:fill="F5F7F7"/>
            <w:tcMar>
              <w:top w:w="80" w:type="dxa"/>
              <w:left w:w="120" w:type="dxa"/>
              <w:bottom w:w="80" w:type="dxa"/>
              <w:right w:w="120" w:type="dxa"/>
            </w:tcMar>
          </w:tcPr>
          <w:p w14:paraId="5F858B72">
            <w:pPr>
              <w:pStyle w:val="26"/>
            </w:pPr>
            <w:r>
              <w:t>89.3</w:t>
            </w:r>
          </w:p>
        </w:tc>
        <w:tc>
          <w:tcPr>
            <w:tcW w:w="2060" w:type="dxa"/>
            <w:shd w:val="clear" w:color="auto" w:fill="F5F7F7"/>
            <w:tcMar>
              <w:top w:w="80" w:type="dxa"/>
              <w:left w:w="120" w:type="dxa"/>
              <w:bottom w:w="80" w:type="dxa"/>
              <w:right w:w="120" w:type="dxa"/>
            </w:tcMar>
          </w:tcPr>
          <w:p w14:paraId="2F4E104D">
            <w:pPr>
              <w:pStyle w:val="26"/>
            </w:pPr>
            <w:r>
              <w:t>-23%</w:t>
            </w:r>
          </w:p>
        </w:tc>
      </w:tr>
      <w:tr w14:paraId="657DBBC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1000" w:type="dxa"/>
            <w:tcMar>
              <w:top w:w="80" w:type="dxa"/>
              <w:left w:w="120" w:type="dxa"/>
              <w:bottom w:w="80" w:type="dxa"/>
              <w:right w:w="120" w:type="dxa"/>
            </w:tcMar>
          </w:tcPr>
          <w:p w14:paraId="6F606060">
            <w:pPr>
              <w:pStyle w:val="26"/>
            </w:pPr>
            <w:r>
              <w:rPr>
                <w:b/>
                <w:bCs/>
                <w:color w:val="1F3864"/>
              </w:rPr>
              <w:t>BLR</w:t>
            </w:r>
          </w:p>
        </w:tc>
        <w:tc>
          <w:tcPr>
            <w:tcW w:w="1300" w:type="dxa"/>
            <w:tcMar>
              <w:top w:w="80" w:type="dxa"/>
              <w:left w:w="120" w:type="dxa"/>
              <w:bottom w:w="80" w:type="dxa"/>
              <w:right w:w="120" w:type="dxa"/>
            </w:tcMar>
          </w:tcPr>
          <w:p w14:paraId="2D24C317">
            <w:pPr>
              <w:pStyle w:val="26"/>
            </w:pPr>
            <w:r>
              <w:t>10.1</w:t>
            </w:r>
          </w:p>
        </w:tc>
        <w:tc>
          <w:tcPr>
            <w:tcW w:w="1100" w:type="dxa"/>
            <w:tcMar>
              <w:top w:w="80" w:type="dxa"/>
              <w:left w:w="120" w:type="dxa"/>
              <w:bottom w:w="80" w:type="dxa"/>
              <w:right w:w="120" w:type="dxa"/>
            </w:tcMar>
          </w:tcPr>
          <w:p w14:paraId="3795CA96">
            <w:pPr>
              <w:pStyle w:val="26"/>
            </w:pPr>
            <w:r>
              <w:t>94.4</w:t>
            </w:r>
          </w:p>
        </w:tc>
        <w:tc>
          <w:tcPr>
            <w:tcW w:w="1700" w:type="dxa"/>
            <w:tcMar>
              <w:top w:w="80" w:type="dxa"/>
              <w:left w:w="120" w:type="dxa"/>
              <w:bottom w:w="80" w:type="dxa"/>
              <w:right w:w="120" w:type="dxa"/>
            </w:tcMar>
          </w:tcPr>
          <w:p w14:paraId="39134651">
            <w:pPr>
              <w:pStyle w:val="26"/>
            </w:pPr>
            <w:r>
              <w:t>102.2</w:t>
            </w:r>
          </w:p>
        </w:tc>
        <w:tc>
          <w:tcPr>
            <w:tcW w:w="1000" w:type="dxa"/>
            <w:tcMar>
              <w:top w:w="80" w:type="dxa"/>
              <w:left w:w="120" w:type="dxa"/>
              <w:bottom w:w="80" w:type="dxa"/>
              <w:right w:w="120" w:type="dxa"/>
            </w:tcMar>
          </w:tcPr>
          <w:p w14:paraId="548C38D8">
            <w:pPr>
              <w:pStyle w:val="26"/>
            </w:pPr>
            <w:r>
              <w:t>98.0</w:t>
            </w:r>
          </w:p>
        </w:tc>
        <w:tc>
          <w:tcPr>
            <w:tcW w:w="1200" w:type="dxa"/>
            <w:tcMar>
              <w:top w:w="80" w:type="dxa"/>
              <w:left w:w="120" w:type="dxa"/>
              <w:bottom w:w="80" w:type="dxa"/>
              <w:right w:w="120" w:type="dxa"/>
            </w:tcMar>
          </w:tcPr>
          <w:p w14:paraId="22D0200C">
            <w:pPr>
              <w:pStyle w:val="26"/>
            </w:pPr>
            <w:r>
              <w:t>86.6</w:t>
            </w:r>
          </w:p>
        </w:tc>
        <w:tc>
          <w:tcPr>
            <w:tcW w:w="2060" w:type="dxa"/>
            <w:tcMar>
              <w:top w:w="80" w:type="dxa"/>
              <w:left w:w="120" w:type="dxa"/>
              <w:bottom w:w="80" w:type="dxa"/>
              <w:right w:w="120" w:type="dxa"/>
            </w:tcMar>
          </w:tcPr>
          <w:p w14:paraId="2408633A">
            <w:pPr>
              <w:pStyle w:val="26"/>
            </w:pPr>
            <w:r>
              <w:t>-15%</w:t>
            </w:r>
          </w:p>
        </w:tc>
      </w:tr>
    </w:tbl>
    <w:p w14:paraId="0AEB5706">
      <w:pPr>
        <w:pStyle w:val="25"/>
      </w:pPr>
      <w:r>
        <w:t>Source: Sponsor ERP billing extract; team rolling-origin backtest, 8 folds, weeks ending 26 Nov 2023 - 30 Jun 2024.</w:t>
      </w:r>
    </w:p>
    <w:p w14:paraId="08CC6D38">
      <w:r>
        <w:rPr>
          <w:b/>
          <w:bCs/>
        </w:rPr>
        <w:t>Explainability.</w:t>
      </w:r>
      <w:r>
        <w:t xml:space="preserve"> A planner needs to understand why a forecast is high or low before acting on it. Three layers of explanation are available. Globally, the feature importances in Chapter 6 show that the model is driven mainly by recent run-rates, adjusted for seasonality and product identity, which matches planners' own intuition. For an individual forecast, the dashboard can show the inputs that matter most (the 4-, 8- and 13-week averages, last year's demand in the same weeks and the seasonal index) next to the forecast, and SHAP values (Lundberg &amp; Lee, 2017) can attribute a specific forecast to its features. Finally, the seasonal SBA challenger provides a transparent cross-check: where the two disagree sharply, the forecast should be reviewed.</w:t>
      </w:r>
    </w:p>
    <w:p w14:paraId="1FD67663">
      <w:r>
        <w:rPr>
          <w:b/>
          <w:bCs/>
        </w:rPr>
        <w:t>Risks the sponsor should know about.</w:t>
      </w:r>
    </w:p>
    <w:p w14:paraId="67CE0517">
      <w:pPr>
        <w:pStyle w:val="22"/>
        <w:numPr>
          <w:ilvl w:val="0"/>
          <w:numId w:val="5"/>
        </w:numPr>
        <w:spacing w:after="80"/>
      </w:pPr>
      <w:r>
        <w:rPr>
          <w:b/>
          <w:bCs/>
        </w:rPr>
        <w:t>Censored demand:</w:t>
      </w:r>
      <w:r>
        <w:t xml:space="preserve"> billings understate demand when stock ran out, so the model learns to under-forecast exactly the models that sell out; peak-season bias of about -17% is partly this effect.</w:t>
      </w:r>
    </w:p>
    <w:p w14:paraId="23924C9D">
      <w:pPr>
        <w:pStyle w:val="22"/>
        <w:numPr>
          <w:ilvl w:val="0"/>
          <w:numId w:val="5"/>
        </w:numPr>
        <w:spacing w:after="80"/>
      </w:pPr>
      <w:r>
        <w:rPr>
          <w:b/>
          <w:bCs/>
        </w:rPr>
        <w:t>Structural breaks:</w:t>
      </w:r>
      <w:r>
        <w:t xml:space="preserve"> the April 2024 change in extract structure shows that upstream system changes can silently alter the data; automated checks (Section 8.3) must catch such breaks before retraining.</w:t>
      </w:r>
    </w:p>
    <w:p w14:paraId="15F33EFF">
      <w:pPr>
        <w:pStyle w:val="22"/>
        <w:numPr>
          <w:ilvl w:val="0"/>
          <w:numId w:val="5"/>
        </w:numPr>
        <w:spacing w:after="80"/>
      </w:pPr>
      <w:r>
        <w:rPr>
          <w:b/>
          <w:bCs/>
        </w:rPr>
        <w:t>Season-start lag:</w:t>
      </w:r>
      <w:r>
        <w:t xml:space="preserve"> in an early or unusually hot season, the model adapts with a lag; peak buffers should be set from peak-season errors, and planners should be able to apply an explicit seasonal uplift.</w:t>
      </w:r>
    </w:p>
    <w:p w14:paraId="2F5B0495">
      <w:pPr>
        <w:pStyle w:val="22"/>
        <w:numPr>
          <w:ilvl w:val="0"/>
          <w:numId w:val="5"/>
        </w:numPr>
        <w:spacing w:after="80"/>
      </w:pPr>
      <w:r>
        <w:rPr>
          <w:b/>
          <w:bCs/>
        </w:rPr>
        <w:t>New products:</w:t>
      </w:r>
      <w:r>
        <w:t xml:space="preserve"> models with little history are forecast by a fallback rule; launches need planner input.</w:t>
      </w:r>
    </w:p>
    <w:p w14:paraId="7AB5C4CC">
      <w:pPr>
        <w:pStyle w:val="22"/>
        <w:numPr>
          <w:ilvl w:val="0"/>
          <w:numId w:val="5"/>
        </w:numPr>
        <w:spacing w:after="80"/>
      </w:pPr>
      <w:r>
        <w:rPr>
          <w:b/>
          <w:bCs/>
        </w:rPr>
        <w:t>Automation bias:</w:t>
      </w:r>
      <w:r>
        <w:t xml:space="preserve"> a confident-looking dashboard can lead planners to accept forecasts uncritically; showing error bands and logging overrides keeps judgement in the loop.</w:t>
      </w:r>
    </w:p>
    <w:p w14:paraId="26DED89E">
      <w:pPr>
        <w:pStyle w:val="3"/>
      </w:pPr>
      <w:bookmarkStart w:id="86" w:name="_Toc22578"/>
      <w:r>
        <w:t>8.3  Monitoring Plan</w:t>
      </w:r>
      <w:bookmarkEnd w:id="86"/>
    </w:p>
    <w:p w14:paraId="266B0DA6">
      <w:r>
        <w:t>The project codebase already contains drift and tracking-signal monitors, but their default health thresholds (for example, WAPE below 25% counts as healthy) were set without reference to the achievable accuracy for this portfolio and would flag every series permanently. We recommend relative thresholds, anchored on the backtest, as set out in Table 8.2.</w:t>
      </w:r>
    </w:p>
    <w:p w14:paraId="050992EA">
      <w:pPr>
        <w:pStyle w:val="10"/>
        <w:keepNext/>
      </w:pPr>
      <w:r>
        <w:t>Table 8.</w:t>
      </w:r>
      <w:r>
        <w:fldChar w:fldCharType="begin"/>
      </w:r>
      <w:r>
        <w:instrText xml:space="preserve">SEQ Table \* ARABIC \s 1</w:instrText>
      </w:r>
      <w:r>
        <w:fldChar w:fldCharType="separate"/>
      </w:r>
      <w:r>
        <w:t>2</w:t>
      </w:r>
      <w:r>
        <w:fldChar w:fldCharType="end"/>
      </w:r>
      <w:bookmarkStart w:id="87" w:name="_Toc16535"/>
      <w:r>
        <w:t>: Monitoring metrics, triggers and actions</w:t>
      </w:r>
      <w:bookmarkEnd w:id="87"/>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2900"/>
        <w:gridCol w:w="1500"/>
        <w:gridCol w:w="2600"/>
        <w:gridCol w:w="2360"/>
      </w:tblGrid>
      <w:tr w14:paraId="62D3EAA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2900" w:type="dxa"/>
            <w:shd w:val="clear" w:color="auto" w:fill="1F3864"/>
            <w:tcMar>
              <w:top w:w="80" w:type="dxa"/>
              <w:left w:w="120" w:type="dxa"/>
              <w:bottom w:w="80" w:type="dxa"/>
              <w:right w:w="120" w:type="dxa"/>
            </w:tcMar>
            <w:vAlign w:val="center"/>
          </w:tcPr>
          <w:p w14:paraId="0B68C5E0">
            <w:pPr>
              <w:pStyle w:val="27"/>
            </w:pPr>
            <w:r>
              <w:t>What is monitored</w:t>
            </w:r>
          </w:p>
        </w:tc>
        <w:tc>
          <w:tcPr>
            <w:tcW w:w="1500" w:type="dxa"/>
            <w:shd w:val="clear" w:color="auto" w:fill="1F3864"/>
            <w:tcMar>
              <w:top w:w="80" w:type="dxa"/>
              <w:left w:w="120" w:type="dxa"/>
              <w:bottom w:w="80" w:type="dxa"/>
              <w:right w:w="120" w:type="dxa"/>
            </w:tcMar>
            <w:vAlign w:val="center"/>
          </w:tcPr>
          <w:p w14:paraId="3D5948DC">
            <w:pPr>
              <w:pStyle w:val="27"/>
            </w:pPr>
            <w:r>
              <w:t>Frequency</w:t>
            </w:r>
          </w:p>
        </w:tc>
        <w:tc>
          <w:tcPr>
            <w:tcW w:w="2600" w:type="dxa"/>
            <w:shd w:val="clear" w:color="auto" w:fill="1F3864"/>
            <w:tcMar>
              <w:top w:w="80" w:type="dxa"/>
              <w:left w:w="120" w:type="dxa"/>
              <w:bottom w:w="80" w:type="dxa"/>
              <w:right w:w="120" w:type="dxa"/>
            </w:tcMar>
            <w:vAlign w:val="center"/>
          </w:tcPr>
          <w:p w14:paraId="6E1FA201">
            <w:pPr>
              <w:pStyle w:val="27"/>
            </w:pPr>
            <w:r>
              <w:t>Trigger</w:t>
            </w:r>
          </w:p>
        </w:tc>
        <w:tc>
          <w:tcPr>
            <w:tcW w:w="2360" w:type="dxa"/>
            <w:shd w:val="clear" w:color="auto" w:fill="1F3864"/>
            <w:tcMar>
              <w:top w:w="80" w:type="dxa"/>
              <w:left w:w="120" w:type="dxa"/>
              <w:bottom w:w="80" w:type="dxa"/>
              <w:right w:w="120" w:type="dxa"/>
            </w:tcMar>
            <w:vAlign w:val="center"/>
          </w:tcPr>
          <w:p w14:paraId="7F76E73C">
            <w:pPr>
              <w:pStyle w:val="27"/>
            </w:pPr>
            <w:r>
              <w:t>Action</w:t>
            </w:r>
          </w:p>
        </w:tc>
      </w:tr>
      <w:tr w14:paraId="56AB7BC9">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900" w:type="dxa"/>
            <w:tcMar>
              <w:top w:w="80" w:type="dxa"/>
              <w:left w:w="120" w:type="dxa"/>
              <w:bottom w:w="80" w:type="dxa"/>
              <w:right w:w="120" w:type="dxa"/>
            </w:tcMar>
          </w:tcPr>
          <w:p w14:paraId="26045B39">
            <w:pPr>
              <w:pStyle w:val="26"/>
            </w:pPr>
            <w:r>
              <w:rPr>
                <w:b/>
                <w:bCs/>
                <w:color w:val="1F3864"/>
              </w:rPr>
              <w:t>Data integrity: duplicates, blank invoice numbers, ODU/IDU structure, negative quantities</w:t>
            </w:r>
          </w:p>
        </w:tc>
        <w:tc>
          <w:tcPr>
            <w:tcW w:w="1500" w:type="dxa"/>
            <w:tcMar>
              <w:top w:w="80" w:type="dxa"/>
              <w:left w:w="120" w:type="dxa"/>
              <w:bottom w:w="80" w:type="dxa"/>
              <w:right w:w="120" w:type="dxa"/>
            </w:tcMar>
          </w:tcPr>
          <w:p w14:paraId="205634A9">
            <w:pPr>
              <w:pStyle w:val="26"/>
            </w:pPr>
            <w:r>
              <w:t>Every load</w:t>
            </w:r>
          </w:p>
        </w:tc>
        <w:tc>
          <w:tcPr>
            <w:tcW w:w="2600" w:type="dxa"/>
            <w:tcMar>
              <w:top w:w="80" w:type="dxa"/>
              <w:left w:w="120" w:type="dxa"/>
              <w:bottom w:w="80" w:type="dxa"/>
              <w:right w:w="120" w:type="dxa"/>
            </w:tcMar>
          </w:tcPr>
          <w:p w14:paraId="7879A8E8">
            <w:pPr>
              <w:pStyle w:val="26"/>
            </w:pPr>
            <w:r>
              <w:t>Any exact duplicate, blank key field or new line type</w:t>
            </w:r>
          </w:p>
        </w:tc>
        <w:tc>
          <w:tcPr>
            <w:tcW w:w="2360" w:type="dxa"/>
            <w:tcMar>
              <w:top w:w="80" w:type="dxa"/>
              <w:left w:w="120" w:type="dxa"/>
              <w:bottom w:w="80" w:type="dxa"/>
              <w:right w:w="120" w:type="dxa"/>
            </w:tcMar>
          </w:tcPr>
          <w:p w14:paraId="19877DBF">
            <w:pPr>
              <w:pStyle w:val="26"/>
            </w:pPr>
            <w:r>
              <w:t>Block the load; alert data owner</w:t>
            </w:r>
          </w:p>
        </w:tc>
      </w:tr>
      <w:tr w14:paraId="482C285C">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900" w:type="dxa"/>
            <w:shd w:val="clear" w:color="auto" w:fill="F5F7F7"/>
            <w:tcMar>
              <w:top w:w="80" w:type="dxa"/>
              <w:left w:w="120" w:type="dxa"/>
              <w:bottom w:w="80" w:type="dxa"/>
              <w:right w:w="120" w:type="dxa"/>
            </w:tcMar>
          </w:tcPr>
          <w:p w14:paraId="0A52A478">
            <w:pPr>
              <w:pStyle w:val="26"/>
            </w:pPr>
            <w:r>
              <w:rPr>
                <w:b/>
                <w:bCs/>
                <w:color w:val="1F3864"/>
              </w:rPr>
              <w:t>4-week-bucket WAPE by branch vs. moving-average benchmark</w:t>
            </w:r>
          </w:p>
        </w:tc>
        <w:tc>
          <w:tcPr>
            <w:tcW w:w="1500" w:type="dxa"/>
            <w:shd w:val="clear" w:color="auto" w:fill="F5F7F7"/>
            <w:tcMar>
              <w:top w:w="80" w:type="dxa"/>
              <w:left w:w="120" w:type="dxa"/>
              <w:bottom w:w="80" w:type="dxa"/>
              <w:right w:w="120" w:type="dxa"/>
            </w:tcMar>
          </w:tcPr>
          <w:p w14:paraId="270D889A">
            <w:pPr>
              <w:pStyle w:val="26"/>
            </w:pPr>
            <w:r>
              <w:t>Weekly (rolling 8 weeks)</w:t>
            </w:r>
          </w:p>
        </w:tc>
        <w:tc>
          <w:tcPr>
            <w:tcW w:w="2600" w:type="dxa"/>
            <w:shd w:val="clear" w:color="auto" w:fill="F5F7F7"/>
            <w:tcMar>
              <w:top w:w="80" w:type="dxa"/>
              <w:left w:w="120" w:type="dxa"/>
              <w:bottom w:w="80" w:type="dxa"/>
              <w:right w:w="120" w:type="dxa"/>
            </w:tcMar>
          </w:tcPr>
          <w:p w14:paraId="79BBFB77">
            <w:pPr>
              <w:pStyle w:val="26"/>
            </w:pPr>
            <w:r>
              <w:t>Model worse than benchmark for 2 consecutive periods</w:t>
            </w:r>
          </w:p>
        </w:tc>
        <w:tc>
          <w:tcPr>
            <w:tcW w:w="2360" w:type="dxa"/>
            <w:shd w:val="clear" w:color="auto" w:fill="F5F7F7"/>
            <w:tcMar>
              <w:top w:w="80" w:type="dxa"/>
              <w:left w:w="120" w:type="dxa"/>
              <w:bottom w:w="80" w:type="dxa"/>
              <w:right w:w="120" w:type="dxa"/>
            </w:tcMar>
          </w:tcPr>
          <w:p w14:paraId="23462609">
            <w:pPr>
              <w:pStyle w:val="26"/>
            </w:pPr>
            <w:r>
              <w:t>Planner review; investigate features and data</w:t>
            </w:r>
          </w:p>
        </w:tc>
      </w:tr>
      <w:tr w14:paraId="144E904F">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900" w:type="dxa"/>
            <w:tcMar>
              <w:top w:w="80" w:type="dxa"/>
              <w:left w:w="120" w:type="dxa"/>
              <w:bottom w:w="80" w:type="dxa"/>
              <w:right w:w="120" w:type="dxa"/>
            </w:tcMar>
          </w:tcPr>
          <w:p w14:paraId="770CFA3D">
            <w:pPr>
              <w:pStyle w:val="26"/>
            </w:pPr>
            <w:r>
              <w:rPr>
                <w:b/>
                <w:bCs/>
                <w:color w:val="1F3864"/>
              </w:rPr>
              <w:t>Bias by branch, peak vs. off-peak</w:t>
            </w:r>
          </w:p>
        </w:tc>
        <w:tc>
          <w:tcPr>
            <w:tcW w:w="1500" w:type="dxa"/>
            <w:tcMar>
              <w:top w:w="80" w:type="dxa"/>
              <w:left w:w="120" w:type="dxa"/>
              <w:bottom w:w="80" w:type="dxa"/>
              <w:right w:w="120" w:type="dxa"/>
            </w:tcMar>
          </w:tcPr>
          <w:p w14:paraId="240F49A7">
            <w:pPr>
              <w:pStyle w:val="26"/>
            </w:pPr>
            <w:r>
              <w:t>Weekly</w:t>
            </w:r>
          </w:p>
        </w:tc>
        <w:tc>
          <w:tcPr>
            <w:tcW w:w="2600" w:type="dxa"/>
            <w:tcMar>
              <w:top w:w="80" w:type="dxa"/>
              <w:left w:w="120" w:type="dxa"/>
              <w:bottom w:w="80" w:type="dxa"/>
              <w:right w:w="120" w:type="dxa"/>
            </w:tcMar>
          </w:tcPr>
          <w:p w14:paraId="08229F87">
            <w:pPr>
              <w:pStyle w:val="26"/>
            </w:pPr>
            <w:r>
              <w:t>Tracking signal beyond ±4 (cumulative error ÷ mean absolute error)</w:t>
            </w:r>
          </w:p>
        </w:tc>
        <w:tc>
          <w:tcPr>
            <w:tcW w:w="2360" w:type="dxa"/>
            <w:tcMar>
              <w:top w:w="80" w:type="dxa"/>
              <w:left w:w="120" w:type="dxa"/>
              <w:bottom w:w="80" w:type="dxa"/>
              <w:right w:w="120" w:type="dxa"/>
            </w:tcMar>
          </w:tcPr>
          <w:p w14:paraId="1EFCA3D9">
            <w:pPr>
              <w:pStyle w:val="26"/>
            </w:pPr>
            <w:r>
              <w:t>Recalibrate buffers; consider seasonal uplift</w:t>
            </w:r>
          </w:p>
        </w:tc>
      </w:tr>
      <w:tr w14:paraId="2BC578B3">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900" w:type="dxa"/>
            <w:shd w:val="clear" w:color="auto" w:fill="F5F7F7"/>
            <w:tcMar>
              <w:top w:w="80" w:type="dxa"/>
              <w:left w:w="120" w:type="dxa"/>
              <w:bottom w:w="80" w:type="dxa"/>
              <w:right w:w="120" w:type="dxa"/>
            </w:tcMar>
          </w:tcPr>
          <w:p w14:paraId="1DE03D2D">
            <w:pPr>
              <w:pStyle w:val="26"/>
            </w:pPr>
            <w:r>
              <w:rPr>
                <w:b/>
                <w:bCs/>
                <w:color w:val="1F3864"/>
              </w:rPr>
              <w:t>Demand distribution drift</w:t>
            </w:r>
          </w:p>
        </w:tc>
        <w:tc>
          <w:tcPr>
            <w:tcW w:w="1500" w:type="dxa"/>
            <w:shd w:val="clear" w:color="auto" w:fill="F5F7F7"/>
            <w:tcMar>
              <w:top w:w="80" w:type="dxa"/>
              <w:left w:w="120" w:type="dxa"/>
              <w:bottom w:w="80" w:type="dxa"/>
              <w:right w:w="120" w:type="dxa"/>
            </w:tcMar>
          </w:tcPr>
          <w:p w14:paraId="6C526535">
            <w:pPr>
              <w:pStyle w:val="26"/>
            </w:pPr>
            <w:r>
              <w:t>Monthly</w:t>
            </w:r>
          </w:p>
        </w:tc>
        <w:tc>
          <w:tcPr>
            <w:tcW w:w="2600" w:type="dxa"/>
            <w:shd w:val="clear" w:color="auto" w:fill="F5F7F7"/>
            <w:tcMar>
              <w:top w:w="80" w:type="dxa"/>
              <w:left w:w="120" w:type="dxa"/>
              <w:bottom w:w="80" w:type="dxa"/>
              <w:right w:w="120" w:type="dxa"/>
            </w:tcMar>
          </w:tcPr>
          <w:p w14:paraId="7FAC16CD">
            <w:pPr>
              <w:pStyle w:val="26"/>
            </w:pPr>
            <w:r>
              <w:t>Population stability index above 0.25 vs. training window</w:t>
            </w:r>
          </w:p>
        </w:tc>
        <w:tc>
          <w:tcPr>
            <w:tcW w:w="2360" w:type="dxa"/>
            <w:shd w:val="clear" w:color="auto" w:fill="F5F7F7"/>
            <w:tcMar>
              <w:top w:w="80" w:type="dxa"/>
              <w:left w:w="120" w:type="dxa"/>
              <w:bottom w:w="80" w:type="dxa"/>
              <w:right w:w="120" w:type="dxa"/>
            </w:tcMar>
          </w:tcPr>
          <w:p w14:paraId="3B6A8AFF">
            <w:pPr>
              <w:pStyle w:val="26"/>
            </w:pPr>
            <w:r>
              <w:t>Retrain and re-run backtest before release</w:t>
            </w:r>
          </w:p>
        </w:tc>
      </w:tr>
      <w:tr w14:paraId="17F1F303">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900" w:type="dxa"/>
            <w:tcMar>
              <w:top w:w="80" w:type="dxa"/>
              <w:left w:w="120" w:type="dxa"/>
              <w:bottom w:w="80" w:type="dxa"/>
              <w:right w:w="120" w:type="dxa"/>
            </w:tcMar>
          </w:tcPr>
          <w:p w14:paraId="4DBA3C66">
            <w:pPr>
              <w:pStyle w:val="26"/>
            </w:pPr>
            <w:r>
              <w:rPr>
                <w:b/>
                <w:bCs/>
                <w:color w:val="1F3864"/>
              </w:rPr>
              <w:t>Achieved cycle service and fill rate</w:t>
            </w:r>
          </w:p>
        </w:tc>
        <w:tc>
          <w:tcPr>
            <w:tcW w:w="1500" w:type="dxa"/>
            <w:tcMar>
              <w:top w:w="80" w:type="dxa"/>
              <w:left w:w="120" w:type="dxa"/>
              <w:bottom w:w="80" w:type="dxa"/>
              <w:right w:w="120" w:type="dxa"/>
            </w:tcMar>
          </w:tcPr>
          <w:p w14:paraId="029C0427">
            <w:pPr>
              <w:pStyle w:val="26"/>
            </w:pPr>
            <w:r>
              <w:t>Monthly</w:t>
            </w:r>
          </w:p>
        </w:tc>
        <w:tc>
          <w:tcPr>
            <w:tcW w:w="2600" w:type="dxa"/>
            <w:tcMar>
              <w:top w:w="80" w:type="dxa"/>
              <w:left w:w="120" w:type="dxa"/>
              <w:bottom w:w="80" w:type="dxa"/>
              <w:right w:w="120" w:type="dxa"/>
            </w:tcMar>
          </w:tcPr>
          <w:p w14:paraId="317DEE73">
            <w:pPr>
              <w:pStyle w:val="26"/>
            </w:pPr>
            <w:r>
              <w:t>Cycle service more than 3 points below target</w:t>
            </w:r>
          </w:p>
        </w:tc>
        <w:tc>
          <w:tcPr>
            <w:tcW w:w="2360" w:type="dxa"/>
            <w:tcMar>
              <w:top w:w="80" w:type="dxa"/>
              <w:left w:w="120" w:type="dxa"/>
              <w:bottom w:w="80" w:type="dxa"/>
              <w:right w:w="120" w:type="dxa"/>
            </w:tcMar>
          </w:tcPr>
          <w:p w14:paraId="2844A7F7">
            <w:pPr>
              <w:pStyle w:val="26"/>
            </w:pPr>
            <w:r>
              <w:t>Recompute safety stocks from recent errors</w:t>
            </w:r>
          </w:p>
        </w:tc>
      </w:tr>
      <w:tr w14:paraId="499A348B">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900" w:type="dxa"/>
            <w:shd w:val="clear" w:color="auto" w:fill="F5F7F7"/>
            <w:tcMar>
              <w:top w:w="80" w:type="dxa"/>
              <w:left w:w="120" w:type="dxa"/>
              <w:bottom w:w="80" w:type="dxa"/>
              <w:right w:w="120" w:type="dxa"/>
            </w:tcMar>
          </w:tcPr>
          <w:p w14:paraId="4AC123A2">
            <w:pPr>
              <w:pStyle w:val="26"/>
            </w:pPr>
            <w:r>
              <w:rPr>
                <w:b/>
                <w:bCs/>
                <w:color w:val="1F3864"/>
              </w:rPr>
              <w:t>Planner overrides</w:t>
            </w:r>
          </w:p>
        </w:tc>
        <w:tc>
          <w:tcPr>
            <w:tcW w:w="1500" w:type="dxa"/>
            <w:shd w:val="clear" w:color="auto" w:fill="F5F7F7"/>
            <w:tcMar>
              <w:top w:w="80" w:type="dxa"/>
              <w:left w:w="120" w:type="dxa"/>
              <w:bottom w:w="80" w:type="dxa"/>
              <w:right w:w="120" w:type="dxa"/>
            </w:tcMar>
          </w:tcPr>
          <w:p w14:paraId="17A1DCDB">
            <w:pPr>
              <w:pStyle w:val="26"/>
            </w:pPr>
            <w:r>
              <w:t>Monthly</w:t>
            </w:r>
          </w:p>
        </w:tc>
        <w:tc>
          <w:tcPr>
            <w:tcW w:w="2600" w:type="dxa"/>
            <w:shd w:val="clear" w:color="auto" w:fill="F5F7F7"/>
            <w:tcMar>
              <w:top w:w="80" w:type="dxa"/>
              <w:left w:w="120" w:type="dxa"/>
              <w:bottom w:w="80" w:type="dxa"/>
              <w:right w:w="120" w:type="dxa"/>
            </w:tcMar>
          </w:tcPr>
          <w:p w14:paraId="6FE5FD8B">
            <w:pPr>
              <w:pStyle w:val="26"/>
            </w:pPr>
            <w:r>
              <w:t>Overrides that worsen accuracy on balance</w:t>
            </w:r>
          </w:p>
        </w:tc>
        <w:tc>
          <w:tcPr>
            <w:tcW w:w="2360" w:type="dxa"/>
            <w:shd w:val="clear" w:color="auto" w:fill="F5F7F7"/>
            <w:tcMar>
              <w:top w:w="80" w:type="dxa"/>
              <w:left w:w="120" w:type="dxa"/>
              <w:bottom w:w="80" w:type="dxa"/>
              <w:right w:w="120" w:type="dxa"/>
            </w:tcMar>
          </w:tcPr>
          <w:p w14:paraId="2DF06F2C">
            <w:pPr>
              <w:pStyle w:val="26"/>
            </w:pPr>
            <w:r>
              <w:t>Review override guidance</w:t>
            </w:r>
          </w:p>
        </w:tc>
      </w:tr>
    </w:tbl>
    <w:p w14:paraId="3FB48DE8">
      <w:pPr>
        <w:pStyle w:val="25"/>
      </w:pPr>
      <w:r>
        <w:t>Source: Team analysis.</w:t>
      </w:r>
    </w:p>
    <w:p w14:paraId="0CBE53C0">
      <w:r>
        <w:t>The model is retrained weekly as part of the batch. A full rolling-origin backtest should be repeated monthly and before any change to features or parameters, so that each released model version carries out-of-sample evidence.</w:t>
      </w:r>
    </w:p>
    <w:p w14:paraId="068F9C66">
      <w:pPr>
        <w:spacing w:after="60"/>
      </w:pPr>
    </w:p>
    <w:tbl>
      <w:tblPr>
        <w:tblStyle w:val="9"/>
        <w:tblW w:w="9360" w:type="dxa"/>
        <w:tblInd w:w="0" w:type="dxa"/>
        <w:tblBorders>
          <w:top w:val="none" w:color="auto" w:sz="0" w:space="0"/>
          <w:left w:val="single" w:color="0F6B72" w:sz="24"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360"/>
      </w:tblGrid>
      <w:tr w14:paraId="6A0D7A62">
        <w:tblPrEx>
          <w:tblBorders>
            <w:top w:val="none" w:color="auto" w:sz="0" w:space="0"/>
            <w:left w:val="single" w:color="0F6B72" w:sz="24"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9360" w:type="dxa"/>
            <w:shd w:val="clear" w:color="auto" w:fill="EAF1F1"/>
            <w:tcMar>
              <w:top w:w="120" w:type="dxa"/>
              <w:left w:w="200" w:type="dxa"/>
              <w:bottom w:w="120" w:type="dxa"/>
              <w:right w:w="200" w:type="dxa"/>
            </w:tcMar>
          </w:tcPr>
          <w:p w14:paraId="03CC21B2">
            <w:pPr>
              <w:pStyle w:val="28"/>
            </w:pPr>
            <w:r>
              <w:t>Key Takeaways</w:t>
            </w:r>
          </w:p>
          <w:p w14:paraId="4DCBA627">
            <w:pPr>
              <w:pStyle w:val="29"/>
              <w:numPr>
                <w:ilvl w:val="0"/>
                <w:numId w:val="4"/>
              </w:numPr>
            </w:pPr>
            <w:r>
              <w:t>The single biggest deployment risk is false confidence: the dashboard currently shows in-sample accuracy and contains synthetic test records, both of which must be fixed before planners rely on it.</w:t>
            </w:r>
          </w:p>
          <w:p w14:paraId="52D40374">
            <w:pPr>
              <w:pStyle w:val="29"/>
              <w:numPr>
                <w:ilvl w:val="0"/>
                <w:numId w:val="4"/>
              </w:numPr>
            </w:pPr>
            <w:r>
              <w:t>Mitigation: release forecasts through a weekly batch with out-of-sample monitoring, and prove value in a shadow pilot at MAA and COK through the 2027 peak.</w:t>
            </w:r>
          </w:p>
        </w:tc>
      </w:tr>
    </w:tbl>
    <w:p w14:paraId="66206F64">
      <w:pPr>
        <w:pStyle w:val="2"/>
      </w:pPr>
      <w:bookmarkStart w:id="88" w:name="_Toc23512"/>
      <w:r>
        <w:t>Chapter 9: Business Impact and Recommendations</w:t>
      </w:r>
      <w:bookmarkEnd w:id="88"/>
    </w:p>
    <w:p w14:paraId="29E76F6A">
      <w:r>
        <w:t>For the manufacturer, a forecast is worth what it changes in inventory and service. The clearest measurable effect of moving from the moving-average rule to the global model is less excess stock at the same service: about 5,336 fewer units of surplus cover across the network at the end of each two-week cycle, roughly 19% less. This chapter quantifies that effect, sets out our recommendations, and lays out a roadmap.</w:t>
      </w:r>
    </w:p>
    <w:p w14:paraId="7160B7CF">
      <w:pPr>
        <w:pStyle w:val="3"/>
      </w:pPr>
      <w:bookmarkStart w:id="89" w:name="_Toc16951"/>
      <w:r>
        <w:t>9.1  Recommendations and Business Impact</w:t>
      </w:r>
      <w:bookmarkEnd w:id="89"/>
    </w:p>
    <w:p w14:paraId="4DCE0487">
      <w:pPr>
        <w:pStyle w:val="4"/>
      </w:pPr>
      <w:bookmarkStart w:id="90" w:name="_Toc5462"/>
      <w:r>
        <w:t>Quantifying the inventory effect</w:t>
      </w:r>
      <w:bookmarkEnd w:id="90"/>
    </w:p>
    <w:p w14:paraId="485C0247">
      <w:r>
        <w:t>Using the method described in Section 4.2, we set safety stocks from each method's own forecast errors in December 2023 to February 2024 and tested them from March to June 2024 across 204 series with sufficient history. Table 9.1 and Figure 9.1 summarise the results.</w:t>
      </w:r>
    </w:p>
    <w:p w14:paraId="354B05A6">
      <w:pPr>
        <w:pStyle w:val="10"/>
        <w:keepNext/>
      </w:pPr>
      <w:r>
        <w:t>Table 9.</w:t>
      </w:r>
      <w:r>
        <w:fldChar w:fldCharType="begin"/>
      </w:r>
      <w:r>
        <w:instrText xml:space="preserve">SEQ Table \* ARABIC \s 1</w:instrText>
      </w:r>
      <w:r>
        <w:fldChar w:fldCharType="separate"/>
      </w:r>
      <w:r>
        <w:t>1</w:t>
      </w:r>
      <w:r>
        <w:fldChar w:fldCharType="end"/>
      </w:r>
      <w:bookmarkStart w:id="91" w:name="_Toc25919"/>
      <w:r>
        <w:t>: Out-of-sample inventory performance of error-based safety stocks, March to June 2024</w:t>
      </w:r>
      <w:bookmarkEnd w:id="91"/>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3060"/>
        <w:gridCol w:w="1600"/>
        <w:gridCol w:w="1500"/>
        <w:gridCol w:w="1500"/>
        <w:gridCol w:w="1700"/>
      </w:tblGrid>
      <w:tr w14:paraId="4E71717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3060" w:type="dxa"/>
            <w:shd w:val="clear" w:color="auto" w:fill="1F3864"/>
            <w:tcMar>
              <w:top w:w="80" w:type="dxa"/>
              <w:left w:w="120" w:type="dxa"/>
              <w:bottom w:w="80" w:type="dxa"/>
              <w:right w:w="120" w:type="dxa"/>
            </w:tcMar>
            <w:vAlign w:val="center"/>
          </w:tcPr>
          <w:p w14:paraId="4FC81A53">
            <w:pPr>
              <w:pStyle w:val="27"/>
            </w:pPr>
            <w:r>
              <w:t>Forecast method</w:t>
            </w:r>
          </w:p>
        </w:tc>
        <w:tc>
          <w:tcPr>
            <w:tcW w:w="1600" w:type="dxa"/>
            <w:shd w:val="clear" w:color="auto" w:fill="1F3864"/>
            <w:tcMar>
              <w:top w:w="80" w:type="dxa"/>
              <w:left w:w="120" w:type="dxa"/>
              <w:bottom w:w="80" w:type="dxa"/>
              <w:right w:w="120" w:type="dxa"/>
            </w:tcMar>
            <w:vAlign w:val="center"/>
          </w:tcPr>
          <w:p w14:paraId="44988775">
            <w:pPr>
              <w:pStyle w:val="27"/>
            </w:pPr>
            <w:r>
              <w:t>Safety stock (units)</w:t>
            </w:r>
          </w:p>
        </w:tc>
        <w:tc>
          <w:tcPr>
            <w:tcW w:w="1500" w:type="dxa"/>
            <w:shd w:val="clear" w:color="auto" w:fill="1F3864"/>
            <w:tcMar>
              <w:top w:w="80" w:type="dxa"/>
              <w:left w:w="120" w:type="dxa"/>
              <w:bottom w:w="80" w:type="dxa"/>
              <w:right w:w="120" w:type="dxa"/>
            </w:tcMar>
            <w:vAlign w:val="center"/>
          </w:tcPr>
          <w:p w14:paraId="4206B830">
            <w:pPr>
              <w:pStyle w:val="27"/>
            </w:pPr>
            <w:r>
              <w:t>Cycle service %</w:t>
            </w:r>
          </w:p>
        </w:tc>
        <w:tc>
          <w:tcPr>
            <w:tcW w:w="1500" w:type="dxa"/>
            <w:shd w:val="clear" w:color="auto" w:fill="1F3864"/>
            <w:tcMar>
              <w:top w:w="80" w:type="dxa"/>
              <w:left w:w="120" w:type="dxa"/>
              <w:bottom w:w="80" w:type="dxa"/>
              <w:right w:w="120" w:type="dxa"/>
            </w:tcMar>
            <w:vAlign w:val="center"/>
          </w:tcPr>
          <w:p w14:paraId="3FA7FE25">
            <w:pPr>
              <w:pStyle w:val="27"/>
            </w:pPr>
            <w:r>
              <w:t>Unit fill rate %</w:t>
            </w:r>
          </w:p>
        </w:tc>
        <w:tc>
          <w:tcPr>
            <w:tcW w:w="1700" w:type="dxa"/>
            <w:shd w:val="clear" w:color="auto" w:fill="1F3864"/>
            <w:tcMar>
              <w:top w:w="80" w:type="dxa"/>
              <w:left w:w="120" w:type="dxa"/>
              <w:bottom w:w="80" w:type="dxa"/>
              <w:right w:w="120" w:type="dxa"/>
            </w:tcMar>
            <w:vAlign w:val="center"/>
          </w:tcPr>
          <w:p w14:paraId="7B5B8690">
            <w:pPr>
              <w:pStyle w:val="27"/>
            </w:pPr>
            <w:r>
              <w:t>Excess cover per cycle (units)</w:t>
            </w:r>
          </w:p>
        </w:tc>
      </w:tr>
      <w:tr w14:paraId="4B895FB8">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060" w:type="dxa"/>
            <w:tcMar>
              <w:top w:w="80" w:type="dxa"/>
              <w:left w:w="120" w:type="dxa"/>
              <w:bottom w:w="80" w:type="dxa"/>
              <w:right w:w="120" w:type="dxa"/>
            </w:tcMar>
          </w:tcPr>
          <w:p w14:paraId="3F02987B">
            <w:pPr>
              <w:pStyle w:val="26"/>
            </w:pPr>
            <w:r>
              <w:rPr>
                <w:b/>
                <w:bCs/>
                <w:color w:val="1F3864"/>
              </w:rPr>
              <w:t>Naive</w:t>
            </w:r>
          </w:p>
        </w:tc>
        <w:tc>
          <w:tcPr>
            <w:tcW w:w="1600" w:type="dxa"/>
            <w:tcMar>
              <w:top w:w="80" w:type="dxa"/>
              <w:left w:w="120" w:type="dxa"/>
              <w:bottom w:w="80" w:type="dxa"/>
              <w:right w:w="120" w:type="dxa"/>
            </w:tcMar>
          </w:tcPr>
          <w:p w14:paraId="512D6783">
            <w:pPr>
              <w:pStyle w:val="26"/>
            </w:pPr>
            <w:r>
              <w:t>27,038</w:t>
            </w:r>
          </w:p>
        </w:tc>
        <w:tc>
          <w:tcPr>
            <w:tcW w:w="1500" w:type="dxa"/>
            <w:tcMar>
              <w:top w:w="80" w:type="dxa"/>
              <w:left w:w="120" w:type="dxa"/>
              <w:bottom w:w="80" w:type="dxa"/>
              <w:right w:w="120" w:type="dxa"/>
            </w:tcMar>
          </w:tcPr>
          <w:p w14:paraId="143EC2B5">
            <w:pPr>
              <w:pStyle w:val="26"/>
            </w:pPr>
            <w:r>
              <w:t>90.4</w:t>
            </w:r>
          </w:p>
        </w:tc>
        <w:tc>
          <w:tcPr>
            <w:tcW w:w="1500" w:type="dxa"/>
            <w:tcMar>
              <w:top w:w="80" w:type="dxa"/>
              <w:left w:w="120" w:type="dxa"/>
              <w:bottom w:w="80" w:type="dxa"/>
              <w:right w:w="120" w:type="dxa"/>
            </w:tcMar>
          </w:tcPr>
          <w:p w14:paraId="170A91BC">
            <w:pPr>
              <w:pStyle w:val="26"/>
            </w:pPr>
            <w:r>
              <w:t>85.7</w:t>
            </w:r>
          </w:p>
        </w:tc>
        <w:tc>
          <w:tcPr>
            <w:tcW w:w="1700" w:type="dxa"/>
            <w:tcMar>
              <w:top w:w="80" w:type="dxa"/>
              <w:left w:w="120" w:type="dxa"/>
              <w:bottom w:w="80" w:type="dxa"/>
              <w:right w:w="120" w:type="dxa"/>
            </w:tcMar>
          </w:tcPr>
          <w:p w14:paraId="158BCD85">
            <w:pPr>
              <w:pStyle w:val="26"/>
            </w:pPr>
            <w:r>
              <w:t>27,947</w:t>
            </w:r>
          </w:p>
        </w:tc>
      </w:tr>
      <w:tr w14:paraId="5CF4DA09">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060" w:type="dxa"/>
            <w:shd w:val="clear" w:color="auto" w:fill="F5F7F7"/>
            <w:tcMar>
              <w:top w:w="80" w:type="dxa"/>
              <w:left w:w="120" w:type="dxa"/>
              <w:bottom w:w="80" w:type="dxa"/>
              <w:right w:w="120" w:type="dxa"/>
            </w:tcMar>
          </w:tcPr>
          <w:p w14:paraId="43D01869">
            <w:pPr>
              <w:pStyle w:val="26"/>
            </w:pPr>
            <w:r>
              <w:rPr>
                <w:b/>
                <w:bCs/>
                <w:color w:val="1F3864"/>
              </w:rPr>
              <w:t>Moving Average (8w)</w:t>
            </w:r>
          </w:p>
        </w:tc>
        <w:tc>
          <w:tcPr>
            <w:tcW w:w="1600" w:type="dxa"/>
            <w:shd w:val="clear" w:color="auto" w:fill="F5F7F7"/>
            <w:tcMar>
              <w:top w:w="80" w:type="dxa"/>
              <w:left w:w="120" w:type="dxa"/>
              <w:bottom w:w="80" w:type="dxa"/>
              <w:right w:w="120" w:type="dxa"/>
            </w:tcMar>
          </w:tcPr>
          <w:p w14:paraId="75A67AA7">
            <w:pPr>
              <w:pStyle w:val="26"/>
            </w:pPr>
            <w:r>
              <w:t>23,345</w:t>
            </w:r>
          </w:p>
        </w:tc>
        <w:tc>
          <w:tcPr>
            <w:tcW w:w="1500" w:type="dxa"/>
            <w:shd w:val="clear" w:color="auto" w:fill="F5F7F7"/>
            <w:tcMar>
              <w:top w:w="80" w:type="dxa"/>
              <w:left w:w="120" w:type="dxa"/>
              <w:bottom w:w="80" w:type="dxa"/>
              <w:right w:w="120" w:type="dxa"/>
            </w:tcMar>
          </w:tcPr>
          <w:p w14:paraId="636EE42E">
            <w:pPr>
              <w:pStyle w:val="26"/>
            </w:pPr>
            <w:r>
              <w:t>92.2</w:t>
            </w:r>
          </w:p>
        </w:tc>
        <w:tc>
          <w:tcPr>
            <w:tcW w:w="1500" w:type="dxa"/>
            <w:shd w:val="clear" w:color="auto" w:fill="F5F7F7"/>
            <w:tcMar>
              <w:top w:w="80" w:type="dxa"/>
              <w:left w:w="120" w:type="dxa"/>
              <w:bottom w:w="80" w:type="dxa"/>
              <w:right w:w="120" w:type="dxa"/>
            </w:tcMar>
          </w:tcPr>
          <w:p w14:paraId="25FD9EEE">
            <w:pPr>
              <w:pStyle w:val="26"/>
            </w:pPr>
            <w:r>
              <w:t>87.8</w:t>
            </w:r>
          </w:p>
        </w:tc>
        <w:tc>
          <w:tcPr>
            <w:tcW w:w="1700" w:type="dxa"/>
            <w:shd w:val="clear" w:color="auto" w:fill="F5F7F7"/>
            <w:tcMar>
              <w:top w:w="80" w:type="dxa"/>
              <w:left w:w="120" w:type="dxa"/>
              <w:bottom w:w="80" w:type="dxa"/>
              <w:right w:w="120" w:type="dxa"/>
            </w:tcMar>
          </w:tcPr>
          <w:p w14:paraId="4E88AC43">
            <w:pPr>
              <w:pStyle w:val="26"/>
            </w:pPr>
            <w:r>
              <w:t>27,804</w:t>
            </w:r>
          </w:p>
        </w:tc>
      </w:tr>
      <w:tr w14:paraId="1B32E9F6">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060" w:type="dxa"/>
            <w:tcMar>
              <w:top w:w="80" w:type="dxa"/>
              <w:left w:w="120" w:type="dxa"/>
              <w:bottom w:w="80" w:type="dxa"/>
              <w:right w:w="120" w:type="dxa"/>
            </w:tcMar>
          </w:tcPr>
          <w:p w14:paraId="36B977D9">
            <w:pPr>
              <w:pStyle w:val="26"/>
            </w:pPr>
            <w:r>
              <w:rPr>
                <w:b/>
                <w:bCs/>
                <w:color w:val="1F3864"/>
              </w:rPr>
              <w:t>SBA</w:t>
            </w:r>
          </w:p>
        </w:tc>
        <w:tc>
          <w:tcPr>
            <w:tcW w:w="1600" w:type="dxa"/>
            <w:tcMar>
              <w:top w:w="80" w:type="dxa"/>
              <w:left w:w="120" w:type="dxa"/>
              <w:bottom w:w="80" w:type="dxa"/>
              <w:right w:w="120" w:type="dxa"/>
            </w:tcMar>
          </w:tcPr>
          <w:p w14:paraId="31E6FD38">
            <w:pPr>
              <w:pStyle w:val="26"/>
            </w:pPr>
            <w:r>
              <w:t>25,221</w:t>
            </w:r>
          </w:p>
        </w:tc>
        <w:tc>
          <w:tcPr>
            <w:tcW w:w="1500" w:type="dxa"/>
            <w:tcMar>
              <w:top w:w="80" w:type="dxa"/>
              <w:left w:w="120" w:type="dxa"/>
              <w:bottom w:w="80" w:type="dxa"/>
              <w:right w:w="120" w:type="dxa"/>
            </w:tcMar>
          </w:tcPr>
          <w:p w14:paraId="2E35587C">
            <w:pPr>
              <w:pStyle w:val="26"/>
            </w:pPr>
            <w:r>
              <w:t>90.7</w:t>
            </w:r>
          </w:p>
        </w:tc>
        <w:tc>
          <w:tcPr>
            <w:tcW w:w="1500" w:type="dxa"/>
            <w:tcMar>
              <w:top w:w="80" w:type="dxa"/>
              <w:left w:w="120" w:type="dxa"/>
              <w:bottom w:w="80" w:type="dxa"/>
              <w:right w:w="120" w:type="dxa"/>
            </w:tcMar>
          </w:tcPr>
          <w:p w14:paraId="2AA030E2">
            <w:pPr>
              <w:pStyle w:val="26"/>
            </w:pPr>
            <w:r>
              <w:t>82.9</w:t>
            </w:r>
          </w:p>
        </w:tc>
        <w:tc>
          <w:tcPr>
            <w:tcW w:w="1700" w:type="dxa"/>
            <w:tcMar>
              <w:top w:w="80" w:type="dxa"/>
              <w:left w:w="120" w:type="dxa"/>
              <w:bottom w:w="80" w:type="dxa"/>
              <w:right w:w="120" w:type="dxa"/>
            </w:tcMar>
          </w:tcPr>
          <w:p w14:paraId="07A2C187">
            <w:pPr>
              <w:pStyle w:val="26"/>
            </w:pPr>
            <w:r>
              <w:t>28,388</w:t>
            </w:r>
          </w:p>
        </w:tc>
      </w:tr>
      <w:tr w14:paraId="0046041D">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060" w:type="dxa"/>
            <w:shd w:val="clear" w:color="auto" w:fill="F5F7F7"/>
            <w:tcMar>
              <w:top w:w="80" w:type="dxa"/>
              <w:left w:w="120" w:type="dxa"/>
              <w:bottom w:w="80" w:type="dxa"/>
              <w:right w:w="120" w:type="dxa"/>
            </w:tcMar>
          </w:tcPr>
          <w:p w14:paraId="6CD2D56D">
            <w:pPr>
              <w:pStyle w:val="26"/>
            </w:pPr>
            <w:r>
              <w:rPr>
                <w:b/>
                <w:bCs/>
                <w:color w:val="1F3864"/>
              </w:rPr>
              <w:t>Seasonal SBA</w:t>
            </w:r>
          </w:p>
        </w:tc>
        <w:tc>
          <w:tcPr>
            <w:tcW w:w="1600" w:type="dxa"/>
            <w:shd w:val="clear" w:color="auto" w:fill="F5F7F7"/>
            <w:tcMar>
              <w:top w:w="80" w:type="dxa"/>
              <w:left w:w="120" w:type="dxa"/>
              <w:bottom w:w="80" w:type="dxa"/>
              <w:right w:w="120" w:type="dxa"/>
            </w:tcMar>
          </w:tcPr>
          <w:p w14:paraId="737A27FD">
            <w:pPr>
              <w:pStyle w:val="26"/>
            </w:pPr>
            <w:r>
              <w:t>26,819</w:t>
            </w:r>
          </w:p>
        </w:tc>
        <w:tc>
          <w:tcPr>
            <w:tcW w:w="1500" w:type="dxa"/>
            <w:shd w:val="clear" w:color="auto" w:fill="F5F7F7"/>
            <w:tcMar>
              <w:top w:w="80" w:type="dxa"/>
              <w:left w:w="120" w:type="dxa"/>
              <w:bottom w:w="80" w:type="dxa"/>
              <w:right w:w="120" w:type="dxa"/>
            </w:tcMar>
          </w:tcPr>
          <w:p w14:paraId="6D8E2D4A">
            <w:pPr>
              <w:pStyle w:val="26"/>
            </w:pPr>
            <w:r>
              <w:t>92.2</w:t>
            </w:r>
          </w:p>
        </w:tc>
        <w:tc>
          <w:tcPr>
            <w:tcW w:w="1500" w:type="dxa"/>
            <w:shd w:val="clear" w:color="auto" w:fill="F5F7F7"/>
            <w:tcMar>
              <w:top w:w="80" w:type="dxa"/>
              <w:left w:w="120" w:type="dxa"/>
              <w:bottom w:w="80" w:type="dxa"/>
              <w:right w:w="120" w:type="dxa"/>
            </w:tcMar>
          </w:tcPr>
          <w:p w14:paraId="04C97865">
            <w:pPr>
              <w:pStyle w:val="26"/>
            </w:pPr>
            <w:r>
              <w:t>85.9</w:t>
            </w:r>
          </w:p>
        </w:tc>
        <w:tc>
          <w:tcPr>
            <w:tcW w:w="1700" w:type="dxa"/>
            <w:shd w:val="clear" w:color="auto" w:fill="F5F7F7"/>
            <w:tcMar>
              <w:top w:w="80" w:type="dxa"/>
              <w:left w:w="120" w:type="dxa"/>
              <w:bottom w:w="80" w:type="dxa"/>
              <w:right w:w="120" w:type="dxa"/>
            </w:tcMar>
          </w:tcPr>
          <w:p w14:paraId="5DE64A77">
            <w:pPr>
              <w:pStyle w:val="26"/>
            </w:pPr>
            <w:r>
              <w:t>30,955</w:t>
            </w:r>
          </w:p>
        </w:tc>
      </w:tr>
      <w:tr w14:paraId="08B5E99D">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060" w:type="dxa"/>
            <w:tcMar>
              <w:top w:w="80" w:type="dxa"/>
              <w:left w:w="120" w:type="dxa"/>
              <w:bottom w:w="80" w:type="dxa"/>
              <w:right w:w="120" w:type="dxa"/>
            </w:tcMar>
          </w:tcPr>
          <w:p w14:paraId="12A98BAE">
            <w:pPr>
              <w:pStyle w:val="26"/>
            </w:pPr>
            <w:r>
              <w:rPr>
                <w:b/>
                <w:bCs/>
                <w:color w:val="1F3864"/>
              </w:rPr>
              <w:t>LightGBM</w:t>
            </w:r>
          </w:p>
        </w:tc>
        <w:tc>
          <w:tcPr>
            <w:tcW w:w="1600" w:type="dxa"/>
            <w:tcMar>
              <w:top w:w="80" w:type="dxa"/>
              <w:left w:w="120" w:type="dxa"/>
              <w:bottom w:w="80" w:type="dxa"/>
              <w:right w:w="120" w:type="dxa"/>
            </w:tcMar>
          </w:tcPr>
          <w:p w14:paraId="3108EE3B">
            <w:pPr>
              <w:pStyle w:val="26"/>
            </w:pPr>
            <w:r>
              <w:t>23,066</w:t>
            </w:r>
          </w:p>
        </w:tc>
        <w:tc>
          <w:tcPr>
            <w:tcW w:w="1500" w:type="dxa"/>
            <w:tcMar>
              <w:top w:w="80" w:type="dxa"/>
              <w:left w:w="120" w:type="dxa"/>
              <w:bottom w:w="80" w:type="dxa"/>
              <w:right w:w="120" w:type="dxa"/>
            </w:tcMar>
          </w:tcPr>
          <w:p w14:paraId="158351C7">
            <w:pPr>
              <w:pStyle w:val="26"/>
            </w:pPr>
            <w:r>
              <w:t>92.6</w:t>
            </w:r>
          </w:p>
        </w:tc>
        <w:tc>
          <w:tcPr>
            <w:tcW w:w="1500" w:type="dxa"/>
            <w:tcMar>
              <w:top w:w="80" w:type="dxa"/>
              <w:left w:w="120" w:type="dxa"/>
              <w:bottom w:w="80" w:type="dxa"/>
              <w:right w:w="120" w:type="dxa"/>
            </w:tcMar>
          </w:tcPr>
          <w:p w14:paraId="316DBA6F">
            <w:pPr>
              <w:pStyle w:val="26"/>
            </w:pPr>
            <w:r>
              <w:t>87.8</w:t>
            </w:r>
          </w:p>
        </w:tc>
        <w:tc>
          <w:tcPr>
            <w:tcW w:w="1700" w:type="dxa"/>
            <w:tcMar>
              <w:top w:w="80" w:type="dxa"/>
              <w:left w:w="120" w:type="dxa"/>
              <w:bottom w:w="80" w:type="dxa"/>
              <w:right w:w="120" w:type="dxa"/>
            </w:tcMar>
          </w:tcPr>
          <w:p w14:paraId="1F273A7A">
            <w:pPr>
              <w:pStyle w:val="26"/>
            </w:pPr>
            <w:r>
              <w:t>22,468</w:t>
            </w:r>
          </w:p>
        </w:tc>
      </w:tr>
      <w:tr w14:paraId="02FDB8AF">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3060" w:type="dxa"/>
            <w:shd w:val="clear" w:color="auto" w:fill="F5F7F7"/>
            <w:tcMar>
              <w:top w:w="80" w:type="dxa"/>
              <w:left w:w="120" w:type="dxa"/>
              <w:bottom w:w="80" w:type="dxa"/>
              <w:right w:w="120" w:type="dxa"/>
            </w:tcMar>
          </w:tcPr>
          <w:p w14:paraId="31AD38EE">
            <w:pPr>
              <w:pStyle w:val="26"/>
            </w:pPr>
            <w:r>
              <w:rPr>
                <w:b/>
                <w:bCs/>
                <w:color w:val="1F3864"/>
              </w:rPr>
              <w:t>Ensemble (LightGBM + Seasonal SBA)</w:t>
            </w:r>
          </w:p>
        </w:tc>
        <w:tc>
          <w:tcPr>
            <w:tcW w:w="1600" w:type="dxa"/>
            <w:shd w:val="clear" w:color="auto" w:fill="F5F7F7"/>
            <w:tcMar>
              <w:top w:w="80" w:type="dxa"/>
              <w:left w:w="120" w:type="dxa"/>
              <w:bottom w:w="80" w:type="dxa"/>
              <w:right w:w="120" w:type="dxa"/>
            </w:tcMar>
          </w:tcPr>
          <w:p w14:paraId="244CFF32">
            <w:pPr>
              <w:pStyle w:val="26"/>
            </w:pPr>
            <w:r>
              <w:t>23,619</w:t>
            </w:r>
          </w:p>
        </w:tc>
        <w:tc>
          <w:tcPr>
            <w:tcW w:w="1500" w:type="dxa"/>
            <w:shd w:val="clear" w:color="auto" w:fill="F5F7F7"/>
            <w:tcMar>
              <w:top w:w="80" w:type="dxa"/>
              <w:left w:w="120" w:type="dxa"/>
              <w:bottom w:w="80" w:type="dxa"/>
              <w:right w:w="120" w:type="dxa"/>
            </w:tcMar>
          </w:tcPr>
          <w:p w14:paraId="6712615E">
            <w:pPr>
              <w:pStyle w:val="26"/>
            </w:pPr>
            <w:r>
              <w:t>91.9</w:t>
            </w:r>
          </w:p>
        </w:tc>
        <w:tc>
          <w:tcPr>
            <w:tcW w:w="1500" w:type="dxa"/>
            <w:shd w:val="clear" w:color="auto" w:fill="F5F7F7"/>
            <w:tcMar>
              <w:top w:w="80" w:type="dxa"/>
              <w:left w:w="120" w:type="dxa"/>
              <w:bottom w:w="80" w:type="dxa"/>
              <w:right w:w="120" w:type="dxa"/>
            </w:tcMar>
          </w:tcPr>
          <w:p w14:paraId="699A16A9">
            <w:pPr>
              <w:pStyle w:val="26"/>
            </w:pPr>
            <w:r>
              <w:t>86.5</w:t>
            </w:r>
          </w:p>
        </w:tc>
        <w:tc>
          <w:tcPr>
            <w:tcW w:w="1700" w:type="dxa"/>
            <w:shd w:val="clear" w:color="auto" w:fill="F5F7F7"/>
            <w:tcMar>
              <w:top w:w="80" w:type="dxa"/>
              <w:left w:w="120" w:type="dxa"/>
              <w:bottom w:w="80" w:type="dxa"/>
              <w:right w:w="120" w:type="dxa"/>
            </w:tcMar>
          </w:tcPr>
          <w:p w14:paraId="1524B109">
            <w:pPr>
              <w:pStyle w:val="26"/>
            </w:pPr>
            <w:r>
              <w:t>25,447</w:t>
            </w:r>
          </w:p>
        </w:tc>
      </w:tr>
    </w:tbl>
    <w:p w14:paraId="5E1F6162">
      <w:pPr>
        <w:pStyle w:val="25"/>
      </w:pPr>
      <w:r>
        <w:t>Source: Sponsor ERP billing extract; team rolling-origin backtest, 8 folds, weeks ending 26 Nov 2023 - 30 Jun 2024. Lead time 2 weeks; 95% target cycle service level.</w:t>
      </w:r>
    </w:p>
    <w:p w14:paraId="15CDEA9E">
      <w:pPr>
        <w:keepNext/>
        <w:spacing w:before="120" w:after="40" w:line="240" w:lineRule="auto"/>
        <w:jc w:val="center"/>
      </w:pPr>
      <w:r>
        <w:drawing>
          <wp:inline distT="0" distB="0" distL="114300" distR="114300">
            <wp:extent cx="5760720" cy="2205990"/>
            <wp:effectExtent l="0" t="0" r="508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5760720" cy="2206233"/>
                    </a:xfrm>
                    <a:prstGeom prst="rect">
                      <a:avLst/>
                    </a:prstGeom>
                  </pic:spPr>
                </pic:pic>
              </a:graphicData>
            </a:graphic>
          </wp:inline>
        </w:drawing>
      </w:r>
    </w:p>
    <w:p w14:paraId="1EFD06B7">
      <w:pPr>
        <w:pStyle w:val="10"/>
        <w:jc w:val="center"/>
      </w:pPr>
      <w:r>
        <w:t>Figure 9.</w:t>
      </w:r>
      <w:r>
        <w:fldChar w:fldCharType="begin"/>
      </w:r>
      <w:r>
        <w:instrText xml:space="preserve">SEQ Figure \* ARABIC \s 1</w:instrText>
      </w:r>
      <w:r>
        <w:fldChar w:fldCharType="separate"/>
      </w:r>
      <w:r>
        <w:t>1</w:t>
      </w:r>
      <w:r>
        <w:fldChar w:fldCharType="end"/>
      </w:r>
      <w:bookmarkStart w:id="92" w:name="_Toc3181"/>
      <w:r>
        <w:t>: Excess cover and fill rate by forecast method, March to June 2024</w:t>
      </w:r>
      <w:bookmarkEnd w:id="92"/>
    </w:p>
    <w:p w14:paraId="4D40ACAB">
      <w:pPr>
        <w:pStyle w:val="25"/>
        <w:jc w:val="center"/>
      </w:pPr>
      <w:r>
        <w:t>Source: Sponsor ERP billing extract; team rolling-origin backtest, 8 folds, weeks ending 26 Nov 2023 - 30 Jun 2024.</w:t>
      </w:r>
    </w:p>
    <w:p w14:paraId="29528BB1">
      <w:r>
        <w:t>Three results matter. First, the global model achieves the same fill rate as the moving average (87.8%) with slightly less safety stock and 19% less excess cover: the gain comes mainly from not over-forecasting after the peak, the error pattern documented in Chapter 7. Second, no method reached the 95% cycle-service target in this period; the best achieved 92.6%. The March-to-June 2024 window contained the earliest and steepest peak in the data, so buffers calibrated on the preceding winter were too small, which is why buffers must be recalibrated as the season turns. Third, the classical intermittent methods (SBA and seasonal SBA) delivered worse service with more stock, confirming that the accuracy ranking carries through to inventory outcomes.</w:t>
      </w:r>
    </w:p>
    <w:p w14:paraId="0A7790F7">
      <w:r>
        <w:rPr>
          <w:b/>
          <w:bCs/>
        </w:rPr>
        <w:t>Financial translation (indicative).</w:t>
      </w:r>
      <w:r>
        <w:t xml:space="preserve"> At the project's working assumption of ₹25,000 per unit, 5,336 fewer units of surplus cover correspond to about ₹13.3 crore less stock positioned at any time, and, at a 15% annual holding cost, about ₹2.0 crore a year in carrying cost. These figures exclude two benefits we could not measure from billing data, fewer emergency inter-branch transfers and fewer lost peak-season sales, and depend on assumptions that the manufacturer should replace with its own costs.</w:t>
      </w:r>
    </w:p>
    <w:p w14:paraId="17751146">
      <w:pPr>
        <w:pStyle w:val="4"/>
      </w:pPr>
      <w:bookmarkStart w:id="93" w:name="_Toc15027"/>
      <w:r>
        <w:t>Recommendations</w:t>
      </w:r>
      <w:bookmarkEnd w:id="93"/>
    </w:p>
    <w:p w14:paraId="6D2EC233">
      <w:pPr>
        <w:pStyle w:val="22"/>
        <w:numPr>
          <w:ilvl w:val="0"/>
          <w:numId w:val="6"/>
        </w:numPr>
        <w:spacing w:after="80"/>
      </w:pPr>
      <w:r>
        <w:rPr>
          <w:b/>
          <w:bCs/>
        </w:rPr>
        <w:t>Repair the data foundation before scaling.</w:t>
      </w:r>
      <w:r>
        <w:t xml:space="preserve"> Recover invoice numbers for April to June 2024 to settle whether the 4,463 duplicate lines (36,276 units, about a quarter of that quarter's volume) are real; formally adopt the outdoor unit as the unit of demand; and add automated integrity checks to every data load. </w:t>
      </w:r>
      <w:r>
        <w:rPr>
          <w:i/>
          <w:iCs/>
        </w:rPr>
        <w:t>Impact:</w:t>
      </w:r>
      <w:r>
        <w:t xml:space="preserve"> removes the largest single uncertainty in recent demand.</w:t>
      </w:r>
    </w:p>
    <w:p w14:paraId="3D9B5D36">
      <w:pPr>
        <w:pStyle w:val="22"/>
        <w:numPr>
          <w:ilvl w:val="0"/>
          <w:numId w:val="6"/>
        </w:numPr>
        <w:spacing w:after="80"/>
      </w:pPr>
      <w:r>
        <w:rPr>
          <w:b/>
          <w:bCs/>
        </w:rPr>
        <w:t>Adopt the global LightGBM model as the weekly baseline forecast.</w:t>
      </w:r>
      <w:r>
        <w:t xml:space="preserve"> Run it as a weekly batch at SKU × branch level, with the moving average as fallback for series with fewer than eight weeks of history, and commit replenishment on four-week buckets. </w:t>
      </w:r>
      <w:r>
        <w:rPr>
          <w:i/>
          <w:iCs/>
        </w:rPr>
        <w:t>Impact:</w:t>
      </w:r>
      <w:r>
        <w:t xml:space="preserve"> about 24% lower four-week-bucket error than the moving average.</w:t>
      </w:r>
    </w:p>
    <w:p w14:paraId="74E834F4">
      <w:pPr>
        <w:pStyle w:val="22"/>
        <w:numPr>
          <w:ilvl w:val="0"/>
          <w:numId w:val="6"/>
        </w:numPr>
        <w:spacing w:after="80"/>
      </w:pPr>
      <w:r>
        <w:rPr>
          <w:b/>
          <w:bCs/>
        </w:rPr>
        <w:t>Set safety stocks from measured forecast error, recalibrated monthly and separately for the peak.</w:t>
      </w:r>
      <w:r>
        <w:t xml:space="preserve"> Use each series' recent out-of-sample errors (or their empirical quantiles) rather than fixed cover rules. </w:t>
      </w:r>
      <w:r>
        <w:rPr>
          <w:i/>
          <w:iCs/>
        </w:rPr>
        <w:t>Impact:</w:t>
      </w:r>
      <w:r>
        <w:t xml:space="preserve"> about 19% less excess cover at equal fill rate; indicatively ₹2.0 crore a year in carrying cost.</w:t>
      </w:r>
    </w:p>
    <w:p w14:paraId="2D21DE10">
      <w:pPr>
        <w:pStyle w:val="22"/>
        <w:numPr>
          <w:ilvl w:val="0"/>
          <w:numId w:val="6"/>
        </w:numPr>
        <w:spacing w:after="80"/>
      </w:pPr>
      <w:r>
        <w:rPr>
          <w:b/>
          <w:bCs/>
        </w:rPr>
        <w:t>Pilot in shadow mode at MAA and COK through the February-to-May 2027 peak</w:t>
      </w:r>
      <w:r>
        <w:t xml:space="preserve"> before planners rely on the model. </w:t>
      </w:r>
      <w:r>
        <w:rPr>
          <w:i/>
          <w:iCs/>
        </w:rPr>
        <w:t>Impact:</w:t>
      </w:r>
      <w:r>
        <w:t xml:space="preserve"> tests the model against planners' actual forecasts rather than proxies.</w:t>
      </w:r>
    </w:p>
    <w:p w14:paraId="23D6C944">
      <w:pPr>
        <w:pStyle w:val="22"/>
        <w:numPr>
          <w:ilvl w:val="0"/>
          <w:numId w:val="6"/>
        </w:numPr>
        <w:spacing w:after="80"/>
      </w:pPr>
      <w:r>
        <w:rPr>
          <w:b/>
          <w:bCs/>
        </w:rPr>
        <w:t>Correct the dashboard before wider use.</w:t>
      </w:r>
      <w:r>
        <w:t xml:space="preserve"> Replace the in-sample leaderboard with rolling-origin results, remove the synthetic test records and adopt the relative monitoring thresholds in Table 8.2. </w:t>
      </w:r>
      <w:r>
        <w:rPr>
          <w:i/>
          <w:iCs/>
        </w:rPr>
        <w:t>Impact:</w:t>
      </w:r>
      <w:r>
        <w:t xml:space="preserve"> prevents overstated accuracy from reaching decision-makers.</w:t>
      </w:r>
    </w:p>
    <w:p w14:paraId="20DE21A5">
      <w:pPr>
        <w:pStyle w:val="22"/>
        <w:numPr>
          <w:ilvl w:val="0"/>
          <w:numId w:val="6"/>
        </w:numPr>
        <w:spacing w:after="80"/>
      </w:pPr>
      <w:r>
        <w:rPr>
          <w:b/>
          <w:bCs/>
        </w:rPr>
        <w:t>Concentrate planner attention where volume is.</w:t>
      </w:r>
      <w:r>
        <w:t xml:space="preserve"> The 16 models that make up 80% of volume merit weekly review; the long tail of sporadic series should run on simple rules with modest buffers. </w:t>
      </w:r>
      <w:r>
        <w:rPr>
          <w:i/>
          <w:iCs/>
        </w:rPr>
        <w:t>Impact:</w:t>
      </w:r>
      <w:r>
        <w:t xml:space="preserve"> better use of scarce planning time.</w:t>
      </w:r>
    </w:p>
    <w:p w14:paraId="211F05FE">
      <w:pPr>
        <w:pStyle w:val="3"/>
      </w:pPr>
      <w:bookmarkStart w:id="94" w:name="_Toc18972"/>
      <w:r>
        <w:t>9.2  Implementation Roadmap</w:t>
      </w:r>
      <w:bookmarkEnd w:id="94"/>
    </w:p>
    <w:p w14:paraId="4178F07C">
      <w:pPr>
        <w:pStyle w:val="10"/>
        <w:keepNext/>
      </w:pPr>
      <w:r>
        <w:t>Table 9.</w:t>
      </w:r>
      <w:r>
        <w:fldChar w:fldCharType="begin"/>
      </w:r>
      <w:r>
        <w:instrText xml:space="preserve">SEQ Table \* ARABIC \s 1</w:instrText>
      </w:r>
      <w:r>
        <w:fldChar w:fldCharType="separate"/>
      </w:r>
      <w:r>
        <w:t>2</w:t>
      </w:r>
      <w:r>
        <w:fldChar w:fldCharType="end"/>
      </w:r>
      <w:bookmarkStart w:id="95" w:name="_Toc13085"/>
      <w:r>
        <w:t>: Implementation roadmap</w:t>
      </w:r>
      <w:bookmarkEnd w:id="95"/>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2800"/>
        <w:gridCol w:w="2500"/>
        <w:gridCol w:w="1700"/>
        <w:gridCol w:w="2360"/>
      </w:tblGrid>
      <w:tr w14:paraId="180488A3">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2800" w:type="dxa"/>
            <w:shd w:val="clear" w:color="auto" w:fill="1F3864"/>
            <w:tcMar>
              <w:top w:w="80" w:type="dxa"/>
              <w:left w:w="120" w:type="dxa"/>
              <w:bottom w:w="80" w:type="dxa"/>
              <w:right w:w="120" w:type="dxa"/>
            </w:tcMar>
            <w:vAlign w:val="center"/>
          </w:tcPr>
          <w:p w14:paraId="24184C97">
            <w:pPr>
              <w:pStyle w:val="27"/>
            </w:pPr>
            <w:r>
              <w:t>Recommendation</w:t>
            </w:r>
          </w:p>
        </w:tc>
        <w:tc>
          <w:tcPr>
            <w:tcW w:w="2500" w:type="dxa"/>
            <w:shd w:val="clear" w:color="auto" w:fill="1F3864"/>
            <w:tcMar>
              <w:top w:w="80" w:type="dxa"/>
              <w:left w:w="120" w:type="dxa"/>
              <w:bottom w:w="80" w:type="dxa"/>
              <w:right w:w="120" w:type="dxa"/>
            </w:tcMar>
            <w:vAlign w:val="center"/>
          </w:tcPr>
          <w:p w14:paraId="7815956C">
            <w:pPr>
              <w:pStyle w:val="27"/>
            </w:pPr>
            <w:r>
              <w:t>Owner</w:t>
            </w:r>
          </w:p>
        </w:tc>
        <w:tc>
          <w:tcPr>
            <w:tcW w:w="1700" w:type="dxa"/>
            <w:shd w:val="clear" w:color="auto" w:fill="1F3864"/>
            <w:tcMar>
              <w:top w:w="80" w:type="dxa"/>
              <w:left w:w="120" w:type="dxa"/>
              <w:bottom w:w="80" w:type="dxa"/>
              <w:right w:w="120" w:type="dxa"/>
            </w:tcMar>
            <w:vAlign w:val="center"/>
          </w:tcPr>
          <w:p w14:paraId="0AFE8E25">
            <w:pPr>
              <w:pStyle w:val="27"/>
            </w:pPr>
            <w:r>
              <w:t>Timeline</w:t>
            </w:r>
          </w:p>
        </w:tc>
        <w:tc>
          <w:tcPr>
            <w:tcW w:w="2360" w:type="dxa"/>
            <w:shd w:val="clear" w:color="auto" w:fill="1F3864"/>
            <w:tcMar>
              <w:top w:w="80" w:type="dxa"/>
              <w:left w:w="120" w:type="dxa"/>
              <w:bottom w:w="80" w:type="dxa"/>
              <w:right w:w="120" w:type="dxa"/>
            </w:tcMar>
            <w:vAlign w:val="center"/>
          </w:tcPr>
          <w:p w14:paraId="71B29A4E">
            <w:pPr>
              <w:pStyle w:val="27"/>
            </w:pPr>
            <w:r>
              <w:t>Expected impact</w:t>
            </w:r>
          </w:p>
        </w:tc>
      </w:tr>
      <w:tr w14:paraId="626B11C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00" w:type="dxa"/>
            <w:tcMar>
              <w:top w:w="80" w:type="dxa"/>
              <w:left w:w="120" w:type="dxa"/>
              <w:bottom w:w="80" w:type="dxa"/>
              <w:right w:w="120" w:type="dxa"/>
            </w:tcMar>
          </w:tcPr>
          <w:p w14:paraId="79120235">
            <w:pPr>
              <w:pStyle w:val="26"/>
            </w:pPr>
            <w:r>
              <w:rPr>
                <w:b/>
                <w:bCs/>
                <w:color w:val="1F3864"/>
              </w:rPr>
              <w:t>1. Repair data foundation</w:t>
            </w:r>
          </w:p>
        </w:tc>
        <w:tc>
          <w:tcPr>
            <w:tcW w:w="2500" w:type="dxa"/>
            <w:tcMar>
              <w:top w:w="80" w:type="dxa"/>
              <w:left w:w="120" w:type="dxa"/>
              <w:bottom w:w="80" w:type="dxa"/>
              <w:right w:w="120" w:type="dxa"/>
            </w:tcMar>
          </w:tcPr>
          <w:p w14:paraId="40A6A0C3">
            <w:pPr>
              <w:pStyle w:val="26"/>
            </w:pPr>
            <w:r>
              <w:t>Manufacturer IT / data owner, with Deloitte</w:t>
            </w:r>
          </w:p>
        </w:tc>
        <w:tc>
          <w:tcPr>
            <w:tcW w:w="1700" w:type="dxa"/>
            <w:tcMar>
              <w:top w:w="80" w:type="dxa"/>
              <w:left w:w="120" w:type="dxa"/>
              <w:bottom w:w="80" w:type="dxa"/>
              <w:right w:w="120" w:type="dxa"/>
            </w:tcMar>
          </w:tcPr>
          <w:p w14:paraId="08AA896F">
            <w:pPr>
              <w:pStyle w:val="26"/>
            </w:pPr>
            <w:r>
              <w:t>Weeks 1-4</w:t>
            </w:r>
          </w:p>
        </w:tc>
        <w:tc>
          <w:tcPr>
            <w:tcW w:w="2360" w:type="dxa"/>
            <w:tcMar>
              <w:top w:w="80" w:type="dxa"/>
              <w:left w:w="120" w:type="dxa"/>
              <w:bottom w:w="80" w:type="dxa"/>
              <w:right w:w="120" w:type="dxa"/>
            </w:tcMar>
          </w:tcPr>
          <w:p w14:paraId="70138D7A">
            <w:pPr>
              <w:pStyle w:val="26"/>
            </w:pPr>
            <w:r>
              <w:t>Resolves ~26% uncertainty in latest-quarter volume</w:t>
            </w:r>
          </w:p>
        </w:tc>
      </w:tr>
      <w:tr w14:paraId="0A9FF8E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00" w:type="dxa"/>
            <w:shd w:val="clear" w:color="auto" w:fill="F5F7F7"/>
            <w:tcMar>
              <w:top w:w="80" w:type="dxa"/>
              <w:left w:w="120" w:type="dxa"/>
              <w:bottom w:w="80" w:type="dxa"/>
              <w:right w:w="120" w:type="dxa"/>
            </w:tcMar>
          </w:tcPr>
          <w:p w14:paraId="486864C5">
            <w:pPr>
              <w:pStyle w:val="26"/>
            </w:pPr>
            <w:r>
              <w:rPr>
                <w:b/>
                <w:bCs/>
                <w:color w:val="1F3864"/>
              </w:rPr>
              <w:t>5. Correct the dashboard</w:t>
            </w:r>
          </w:p>
        </w:tc>
        <w:tc>
          <w:tcPr>
            <w:tcW w:w="2500" w:type="dxa"/>
            <w:shd w:val="clear" w:color="auto" w:fill="F5F7F7"/>
            <w:tcMar>
              <w:top w:w="80" w:type="dxa"/>
              <w:left w:w="120" w:type="dxa"/>
              <w:bottom w:w="80" w:type="dxa"/>
              <w:right w:w="120" w:type="dxa"/>
            </w:tcMar>
          </w:tcPr>
          <w:p w14:paraId="0620FF96">
            <w:pPr>
              <w:pStyle w:val="26"/>
            </w:pPr>
            <w:r>
              <w:t>Project team / Deloitte analytics</w:t>
            </w:r>
          </w:p>
        </w:tc>
        <w:tc>
          <w:tcPr>
            <w:tcW w:w="1700" w:type="dxa"/>
            <w:shd w:val="clear" w:color="auto" w:fill="F5F7F7"/>
            <w:tcMar>
              <w:top w:w="80" w:type="dxa"/>
              <w:left w:w="120" w:type="dxa"/>
              <w:bottom w:w="80" w:type="dxa"/>
              <w:right w:w="120" w:type="dxa"/>
            </w:tcMar>
          </w:tcPr>
          <w:p w14:paraId="6AF6A6FB">
            <w:pPr>
              <w:pStyle w:val="26"/>
            </w:pPr>
            <w:r>
              <w:t>Weeks 1-6</w:t>
            </w:r>
          </w:p>
        </w:tc>
        <w:tc>
          <w:tcPr>
            <w:tcW w:w="2360" w:type="dxa"/>
            <w:shd w:val="clear" w:color="auto" w:fill="F5F7F7"/>
            <w:tcMar>
              <w:top w:w="80" w:type="dxa"/>
              <w:left w:w="120" w:type="dxa"/>
              <w:bottom w:w="80" w:type="dxa"/>
              <w:right w:w="120" w:type="dxa"/>
            </w:tcMar>
          </w:tcPr>
          <w:p w14:paraId="735F6444">
            <w:pPr>
              <w:pStyle w:val="26"/>
            </w:pPr>
            <w:r>
              <w:t>Only out-of-sample accuracy shown to planners</w:t>
            </w:r>
          </w:p>
        </w:tc>
      </w:tr>
      <w:tr w14:paraId="7800B3ED">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00" w:type="dxa"/>
            <w:tcMar>
              <w:top w:w="80" w:type="dxa"/>
              <w:left w:w="120" w:type="dxa"/>
              <w:bottom w:w="80" w:type="dxa"/>
              <w:right w:w="120" w:type="dxa"/>
            </w:tcMar>
          </w:tcPr>
          <w:p w14:paraId="7A0A183D">
            <w:pPr>
              <w:pStyle w:val="26"/>
            </w:pPr>
            <w:r>
              <w:rPr>
                <w:b/>
                <w:bCs/>
                <w:color w:val="1F3864"/>
              </w:rPr>
              <w:t>2. Weekly LightGBM baseline with fallback</w:t>
            </w:r>
          </w:p>
        </w:tc>
        <w:tc>
          <w:tcPr>
            <w:tcW w:w="2500" w:type="dxa"/>
            <w:tcMar>
              <w:top w:w="80" w:type="dxa"/>
              <w:left w:w="120" w:type="dxa"/>
              <w:bottom w:w="80" w:type="dxa"/>
              <w:right w:w="120" w:type="dxa"/>
            </w:tcMar>
          </w:tcPr>
          <w:p w14:paraId="2430DFCE">
            <w:pPr>
              <w:pStyle w:val="26"/>
            </w:pPr>
            <w:r>
              <w:t>Deloitte analytics with central supply planning</w:t>
            </w:r>
          </w:p>
        </w:tc>
        <w:tc>
          <w:tcPr>
            <w:tcW w:w="1700" w:type="dxa"/>
            <w:tcMar>
              <w:top w:w="80" w:type="dxa"/>
              <w:left w:w="120" w:type="dxa"/>
              <w:bottom w:w="80" w:type="dxa"/>
              <w:right w:w="120" w:type="dxa"/>
            </w:tcMar>
          </w:tcPr>
          <w:p w14:paraId="3B203DD1">
            <w:pPr>
              <w:pStyle w:val="26"/>
            </w:pPr>
            <w:r>
              <w:t>Weeks 4-12</w:t>
            </w:r>
          </w:p>
        </w:tc>
        <w:tc>
          <w:tcPr>
            <w:tcW w:w="2360" w:type="dxa"/>
            <w:tcMar>
              <w:top w:w="80" w:type="dxa"/>
              <w:left w:w="120" w:type="dxa"/>
              <w:bottom w:w="80" w:type="dxa"/>
              <w:right w:w="120" w:type="dxa"/>
            </w:tcMar>
          </w:tcPr>
          <w:p w14:paraId="39D8CB20">
            <w:pPr>
              <w:pStyle w:val="26"/>
            </w:pPr>
            <w:r>
              <w:t>~24% lower four-week-bucket error</w:t>
            </w:r>
          </w:p>
        </w:tc>
      </w:tr>
      <w:tr w14:paraId="1573B04F">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00" w:type="dxa"/>
            <w:shd w:val="clear" w:color="auto" w:fill="F5F7F7"/>
            <w:tcMar>
              <w:top w:w="80" w:type="dxa"/>
              <w:left w:w="120" w:type="dxa"/>
              <w:bottom w:w="80" w:type="dxa"/>
              <w:right w:w="120" w:type="dxa"/>
            </w:tcMar>
          </w:tcPr>
          <w:p w14:paraId="09207E73">
            <w:pPr>
              <w:pStyle w:val="26"/>
            </w:pPr>
            <w:r>
              <w:rPr>
                <w:b/>
                <w:bCs/>
                <w:color w:val="1F3864"/>
              </w:rPr>
              <w:t>3. Error-based safety stocks</w:t>
            </w:r>
          </w:p>
        </w:tc>
        <w:tc>
          <w:tcPr>
            <w:tcW w:w="2500" w:type="dxa"/>
            <w:shd w:val="clear" w:color="auto" w:fill="F5F7F7"/>
            <w:tcMar>
              <w:top w:w="80" w:type="dxa"/>
              <w:left w:w="120" w:type="dxa"/>
              <w:bottom w:w="80" w:type="dxa"/>
              <w:right w:w="120" w:type="dxa"/>
            </w:tcMar>
          </w:tcPr>
          <w:p w14:paraId="58A9E82D">
            <w:pPr>
              <w:pStyle w:val="26"/>
            </w:pPr>
            <w:r>
              <w:t>Central supply planning</w:t>
            </w:r>
          </w:p>
        </w:tc>
        <w:tc>
          <w:tcPr>
            <w:tcW w:w="1700" w:type="dxa"/>
            <w:shd w:val="clear" w:color="auto" w:fill="F5F7F7"/>
            <w:tcMar>
              <w:top w:w="80" w:type="dxa"/>
              <w:left w:w="120" w:type="dxa"/>
              <w:bottom w:w="80" w:type="dxa"/>
              <w:right w:w="120" w:type="dxa"/>
            </w:tcMar>
          </w:tcPr>
          <w:p w14:paraId="3C19C677">
            <w:pPr>
              <w:pStyle w:val="26"/>
            </w:pPr>
            <w:r>
              <w:t>Weeks 8-16</w:t>
            </w:r>
          </w:p>
        </w:tc>
        <w:tc>
          <w:tcPr>
            <w:tcW w:w="2360" w:type="dxa"/>
            <w:shd w:val="clear" w:color="auto" w:fill="F5F7F7"/>
            <w:tcMar>
              <w:top w:w="80" w:type="dxa"/>
              <w:left w:w="120" w:type="dxa"/>
              <w:bottom w:w="80" w:type="dxa"/>
              <w:right w:w="120" w:type="dxa"/>
            </w:tcMar>
          </w:tcPr>
          <w:p w14:paraId="42D7B093">
            <w:pPr>
              <w:pStyle w:val="26"/>
            </w:pPr>
            <w:r>
              <w:t>~19% less excess cover at equal fill rate</w:t>
            </w:r>
          </w:p>
        </w:tc>
      </w:tr>
      <w:tr w14:paraId="5DCF81B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00" w:type="dxa"/>
            <w:tcMar>
              <w:top w:w="80" w:type="dxa"/>
              <w:left w:w="120" w:type="dxa"/>
              <w:bottom w:w="80" w:type="dxa"/>
              <w:right w:w="120" w:type="dxa"/>
            </w:tcMar>
          </w:tcPr>
          <w:p w14:paraId="551DC7E9">
            <w:pPr>
              <w:pStyle w:val="26"/>
            </w:pPr>
            <w:r>
              <w:rPr>
                <w:b/>
                <w:bCs/>
                <w:color w:val="1F3864"/>
              </w:rPr>
              <w:t>4. Shadow pilot at MAA and COK</w:t>
            </w:r>
          </w:p>
        </w:tc>
        <w:tc>
          <w:tcPr>
            <w:tcW w:w="2500" w:type="dxa"/>
            <w:tcMar>
              <w:top w:w="80" w:type="dxa"/>
              <w:left w:w="120" w:type="dxa"/>
              <w:bottom w:w="80" w:type="dxa"/>
              <w:right w:w="120" w:type="dxa"/>
            </w:tcMar>
          </w:tcPr>
          <w:p w14:paraId="559078CD">
            <w:pPr>
              <w:pStyle w:val="26"/>
            </w:pPr>
            <w:r>
              <w:t>Branch planners (MAA, COK); Deloitte</w:t>
            </w:r>
          </w:p>
        </w:tc>
        <w:tc>
          <w:tcPr>
            <w:tcW w:w="1700" w:type="dxa"/>
            <w:tcMar>
              <w:top w:w="80" w:type="dxa"/>
              <w:left w:w="120" w:type="dxa"/>
              <w:bottom w:w="80" w:type="dxa"/>
              <w:right w:w="120" w:type="dxa"/>
            </w:tcMar>
          </w:tcPr>
          <w:p w14:paraId="491A709E">
            <w:pPr>
              <w:pStyle w:val="26"/>
            </w:pPr>
            <w:r>
              <w:t>Jan-Jun 2027 (peak season)</w:t>
            </w:r>
          </w:p>
        </w:tc>
        <w:tc>
          <w:tcPr>
            <w:tcW w:w="2360" w:type="dxa"/>
            <w:tcMar>
              <w:top w:w="80" w:type="dxa"/>
              <w:left w:w="120" w:type="dxa"/>
              <w:bottom w:w="80" w:type="dxa"/>
              <w:right w:w="120" w:type="dxa"/>
            </w:tcMar>
          </w:tcPr>
          <w:p w14:paraId="2530DF73">
            <w:pPr>
              <w:pStyle w:val="26"/>
            </w:pPr>
            <w:r>
              <w:t>Go / no-go evidence for network roll-out</w:t>
            </w:r>
          </w:p>
        </w:tc>
      </w:tr>
      <w:tr w14:paraId="1A620C43">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800" w:type="dxa"/>
            <w:shd w:val="clear" w:color="auto" w:fill="F5F7F7"/>
            <w:tcMar>
              <w:top w:w="80" w:type="dxa"/>
              <w:left w:w="120" w:type="dxa"/>
              <w:bottom w:w="80" w:type="dxa"/>
              <w:right w:w="120" w:type="dxa"/>
            </w:tcMar>
          </w:tcPr>
          <w:p w14:paraId="30C46941">
            <w:pPr>
              <w:pStyle w:val="26"/>
            </w:pPr>
            <w:r>
              <w:rPr>
                <w:b/>
                <w:bCs/>
                <w:color w:val="1F3864"/>
              </w:rPr>
              <w:t>6. Focus planner review on top models</w:t>
            </w:r>
          </w:p>
        </w:tc>
        <w:tc>
          <w:tcPr>
            <w:tcW w:w="2500" w:type="dxa"/>
            <w:shd w:val="clear" w:color="auto" w:fill="F5F7F7"/>
            <w:tcMar>
              <w:top w:w="80" w:type="dxa"/>
              <w:left w:w="120" w:type="dxa"/>
              <w:bottom w:w="80" w:type="dxa"/>
              <w:right w:w="120" w:type="dxa"/>
            </w:tcMar>
          </w:tcPr>
          <w:p w14:paraId="1567277A">
            <w:pPr>
              <w:pStyle w:val="26"/>
            </w:pPr>
            <w:r>
              <w:t>Central supply planning</w:t>
            </w:r>
          </w:p>
        </w:tc>
        <w:tc>
          <w:tcPr>
            <w:tcW w:w="1700" w:type="dxa"/>
            <w:shd w:val="clear" w:color="auto" w:fill="F5F7F7"/>
            <w:tcMar>
              <w:top w:w="80" w:type="dxa"/>
              <w:left w:w="120" w:type="dxa"/>
              <w:bottom w:w="80" w:type="dxa"/>
              <w:right w:w="120" w:type="dxa"/>
            </w:tcMar>
          </w:tcPr>
          <w:p w14:paraId="1B4DF505">
            <w:pPr>
              <w:pStyle w:val="26"/>
            </w:pPr>
            <w:r>
              <w:t>From pilot onwards</w:t>
            </w:r>
          </w:p>
        </w:tc>
        <w:tc>
          <w:tcPr>
            <w:tcW w:w="2360" w:type="dxa"/>
            <w:shd w:val="clear" w:color="auto" w:fill="F5F7F7"/>
            <w:tcMar>
              <w:top w:w="80" w:type="dxa"/>
              <w:left w:w="120" w:type="dxa"/>
              <w:bottom w:w="80" w:type="dxa"/>
              <w:right w:w="120" w:type="dxa"/>
            </w:tcMar>
          </w:tcPr>
          <w:p w14:paraId="0F6FFE27">
            <w:pPr>
              <w:pStyle w:val="26"/>
            </w:pPr>
            <w:r>
              <w:t>Planner time aligned with 80% of volume</w:t>
            </w:r>
          </w:p>
        </w:tc>
      </w:tr>
    </w:tbl>
    <w:p w14:paraId="3A3C5CA7">
      <w:pPr>
        <w:pStyle w:val="25"/>
      </w:pPr>
      <w:r>
        <w:t>Source: Team analysis.</w:t>
      </w:r>
    </w:p>
    <w:p w14:paraId="7A8B6B47">
      <w:pPr>
        <w:spacing w:after="60"/>
      </w:pPr>
    </w:p>
    <w:tbl>
      <w:tblPr>
        <w:tblStyle w:val="9"/>
        <w:tblW w:w="9360" w:type="dxa"/>
        <w:tblInd w:w="0" w:type="dxa"/>
        <w:tblBorders>
          <w:top w:val="none" w:color="auto" w:sz="0" w:space="0"/>
          <w:left w:val="single" w:color="0F6B72" w:sz="24"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360"/>
      </w:tblGrid>
      <w:tr w14:paraId="059477C7">
        <w:tblPrEx>
          <w:tblBorders>
            <w:top w:val="none" w:color="auto" w:sz="0" w:space="0"/>
            <w:left w:val="single" w:color="0F6B72" w:sz="24"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9360" w:type="dxa"/>
            <w:shd w:val="clear" w:color="auto" w:fill="EAF1F1"/>
            <w:tcMar>
              <w:top w:w="120" w:type="dxa"/>
              <w:left w:w="200" w:type="dxa"/>
              <w:bottom w:w="120" w:type="dxa"/>
              <w:right w:w="200" w:type="dxa"/>
            </w:tcMar>
          </w:tcPr>
          <w:p w14:paraId="56326F3F">
            <w:pPr>
              <w:pStyle w:val="28"/>
            </w:pPr>
            <w:r>
              <w:t>Key Takeaways</w:t>
            </w:r>
          </w:p>
          <w:p w14:paraId="062B3C3C">
            <w:pPr>
              <w:pStyle w:val="29"/>
              <w:numPr>
                <w:ilvl w:val="0"/>
                <w:numId w:val="4"/>
              </w:numPr>
            </w:pPr>
            <w:r>
              <w:t>Act first on the data: until the April to June 2024 duplicates are resolved at source, about a quarter of recent demand is uncertain, and every forecast inherits that uncertainty.</w:t>
            </w:r>
          </w:p>
          <w:p w14:paraId="440B2430">
            <w:pPr>
              <w:pStyle w:val="29"/>
              <w:numPr>
                <w:ilvl w:val="0"/>
                <w:numId w:val="4"/>
              </w:numPr>
            </w:pPr>
            <w:r>
              <w:t>Then deploy the global model with error-based buffers: at equal fill rate it carries about 19% less surplus stock than the moving-average rule.</w:t>
            </w:r>
          </w:p>
        </w:tc>
      </w:tr>
    </w:tbl>
    <w:p w14:paraId="68C61C55">
      <w:pPr>
        <w:pStyle w:val="2"/>
      </w:pPr>
      <w:bookmarkStart w:id="96" w:name="_Toc22648"/>
      <w:r>
        <w:t>Chapter 10: Limitations and Future Scope</w:t>
      </w:r>
      <w:bookmarkEnd w:id="96"/>
    </w:p>
    <w:p w14:paraId="288DAC09">
      <w:r>
        <w:t>Our results are more modest, and in some respects more uncertain, than a reader of the project's interim materials might expect. We state the limitations plainly because the sponsor's decisions depend on knowing where the evidence is strong and where it is not.</w:t>
      </w:r>
    </w:p>
    <w:p w14:paraId="60038DEA">
      <w:pPr>
        <w:pStyle w:val="3"/>
      </w:pPr>
      <w:bookmarkStart w:id="97" w:name="_Toc30491"/>
      <w:r>
        <w:t>10.1  Limitations</w:t>
      </w:r>
      <w:bookmarkEnd w:id="97"/>
    </w:p>
    <w:p w14:paraId="650D3259">
      <w:r>
        <w:rPr>
          <w:b/>
          <w:bCs/>
        </w:rPr>
        <w:t>Billing is not demand.</w:t>
      </w:r>
      <w:r>
        <w:t xml:space="preserve"> The history records shipments to dealers. Stock-outs suppress recorded demand, dealer ordering amplifies and shifts it (Lee et al., 1997), and the December spike is probably channel stocking rather than consumption. A model trained on billings learns to reproduce these distortions, including under-forecasting models that habitually sell out.</w:t>
      </w:r>
    </w:p>
    <w:p w14:paraId="357AD081">
      <w:r>
        <w:rPr>
          <w:b/>
          <w:bCs/>
        </w:rPr>
        <w:t>Short history and a structural break.</w:t>
      </w:r>
      <w:r>
        <w:t xml:space="preserve"> With 103 weeks, the data contain barely two summer peaks, so seasonal patterns are estimated from one or two observations per week of the year. The last quarter, the most relevant for forecasting 2024, was recorded differently, lacks invoice numbers, and contains duplicates whose status we could not verify; our results would change if those 4,463 lines prove genuine.</w:t>
      </w:r>
    </w:p>
    <w:p w14:paraId="48DE6297">
      <w:r>
        <w:rPr>
          <w:b/>
          <w:bCs/>
        </w:rPr>
        <w:t>A single test season.</w:t>
      </w:r>
      <w:r>
        <w:t xml:space="preserve"> The 32 test weeks cover one winter and one summer. Model rankings were consistent across branches, classes and tiers, but one season cannot reveal how the methods behave in an unusually cool or late summer.</w:t>
      </w:r>
    </w:p>
    <w:p w14:paraId="5A1A7E2C">
      <w:r>
        <w:rPr>
          <w:b/>
          <w:bCs/>
        </w:rPr>
        <w:t>No external drivers.</w:t>
      </w:r>
      <w:r>
        <w:t xml:space="preserve"> We had no weather, price, promotion, dealer-scheme or competitor data. Temperature in particular is a plausible leading indicator of the timing of the peak, which is the model's main weakness.</w:t>
      </w:r>
    </w:p>
    <w:p w14:paraId="159E449F">
      <w:r>
        <w:rPr>
          <w:b/>
          <w:bCs/>
        </w:rPr>
        <w:t>Simplified inventory analysis.</w:t>
      </w:r>
      <w:r>
        <w:t xml:space="preserve"> Our safety-stock analysis assumes a fixed two-week lead time, ignores minimum order quantities, factory allocation limits and transfers between branches, and values stock at an indicative ₹25,000 per unit. The ranking of methods is robust to these simplifications; the rupee figures are not.</w:t>
      </w:r>
    </w:p>
    <w:p w14:paraId="624A4AE1">
      <w:r>
        <w:rPr>
          <w:b/>
          <w:bCs/>
        </w:rPr>
        <w:t>Limited tuning and scope.</w:t>
      </w:r>
      <w:r>
        <w:t xml:space="preserve"> To avoid overfitting a short history, we fixed model settings in advance rather than tuning them on the test folds; tuning on a separate validation period might improve LightGBM further. We did not evaluate hierarchical reconciliation, probabilistic (quantile) forecasts, or indoor-unit demand as a separate stream, and the analysis covers one region of one manufacturer.</w:t>
      </w:r>
    </w:p>
    <w:p w14:paraId="2EFFB037">
      <w:pPr>
        <w:pStyle w:val="3"/>
      </w:pPr>
      <w:bookmarkStart w:id="98" w:name="_Toc4290"/>
      <w:r>
        <w:t>10.2  Future Scope</w:t>
      </w:r>
      <w:bookmarkEnd w:id="98"/>
    </w:p>
    <w:p w14:paraId="71355703">
      <w:pPr>
        <w:pStyle w:val="22"/>
        <w:numPr>
          <w:ilvl w:val="0"/>
          <w:numId w:val="5"/>
        </w:numPr>
        <w:spacing w:after="80"/>
      </w:pPr>
      <w:r>
        <w:rPr>
          <w:b/>
          <w:bCs/>
        </w:rPr>
        <w:t>Add leading indicators:</w:t>
      </w:r>
      <w:r>
        <w:t xml:space="preserve"> daily temperature forecasts by city, dealer secondary sales or sell-out data, and scheme calendars, to anticipate the timing of the peak rather than react to it.</w:t>
      </w:r>
    </w:p>
    <w:p w14:paraId="382E0946">
      <w:pPr>
        <w:pStyle w:val="22"/>
        <w:numPr>
          <w:ilvl w:val="0"/>
          <w:numId w:val="5"/>
        </w:numPr>
        <w:spacing w:after="80"/>
      </w:pPr>
      <w:r>
        <w:rPr>
          <w:b/>
          <w:bCs/>
        </w:rPr>
        <w:t>Forecast distributions, not points:</w:t>
      </w:r>
      <w:r>
        <w:t xml:space="preserve"> quantile LightGBM or conformal intervals would give planners direct service-level quantiles and handle the asymmetric cost of peak-season shortages (Kolassa, 2016).</w:t>
      </w:r>
    </w:p>
    <w:p w14:paraId="2051B770">
      <w:pPr>
        <w:pStyle w:val="22"/>
        <w:numPr>
          <w:ilvl w:val="0"/>
          <w:numId w:val="5"/>
        </w:numPr>
        <w:spacing w:after="80"/>
      </w:pPr>
      <w:r>
        <w:rPr>
          <w:b/>
          <w:bCs/>
        </w:rPr>
        <w:t>Reconcile across the hierarchy:</w:t>
      </w:r>
      <w:r>
        <w:t xml:space="preserve"> evaluating MinT reconciliation (Wickramasuriya et al., 2019) would align SKU, branch and regional plans with the factory's production plan.</w:t>
      </w:r>
    </w:p>
    <w:p w14:paraId="5BA1A094">
      <w:pPr>
        <w:pStyle w:val="22"/>
        <w:numPr>
          <w:ilvl w:val="0"/>
          <w:numId w:val="5"/>
        </w:numPr>
        <w:spacing w:after="80"/>
      </w:pPr>
      <w:r>
        <w:rPr>
          <w:b/>
          <w:bCs/>
        </w:rPr>
        <w:t>Extend the history and the network:</w:t>
      </w:r>
      <w:r>
        <w:t xml:space="preserve"> each additional season roughly doubles the information about seasonality; extending to other regions would test whether the global model transfers.</w:t>
      </w:r>
    </w:p>
    <w:p w14:paraId="1F383B3B">
      <w:pPr>
        <w:pStyle w:val="22"/>
        <w:numPr>
          <w:ilvl w:val="0"/>
          <w:numId w:val="5"/>
        </w:numPr>
        <w:spacing w:after="80"/>
      </w:pPr>
      <w:r>
        <w:rPr>
          <w:b/>
          <w:bCs/>
        </w:rPr>
        <w:t>Optimise, not just forecast:</w:t>
      </w:r>
      <w:r>
        <w:t xml:space="preserve"> a multi-echelon inventory model with factory allocation constraints would translate forecasts into network-wide replenishment and transfer decisions.</w:t>
      </w:r>
    </w:p>
    <w:p w14:paraId="4C58DE55">
      <w:pPr>
        <w:spacing w:after="60"/>
      </w:pPr>
    </w:p>
    <w:tbl>
      <w:tblPr>
        <w:tblStyle w:val="9"/>
        <w:tblW w:w="9360" w:type="dxa"/>
        <w:tblInd w:w="0" w:type="dxa"/>
        <w:tblBorders>
          <w:top w:val="none" w:color="auto" w:sz="0" w:space="0"/>
          <w:left w:val="single" w:color="0F6B72" w:sz="24"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360"/>
      </w:tblGrid>
      <w:tr w14:paraId="2BA87C30">
        <w:tblPrEx>
          <w:tblBorders>
            <w:top w:val="none" w:color="auto" w:sz="0" w:space="0"/>
            <w:left w:val="single" w:color="0F6B72" w:sz="24"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9360" w:type="dxa"/>
            <w:shd w:val="clear" w:color="auto" w:fill="EAF1F1"/>
            <w:tcMar>
              <w:top w:w="120" w:type="dxa"/>
              <w:left w:w="200" w:type="dxa"/>
              <w:bottom w:w="120" w:type="dxa"/>
              <w:right w:w="200" w:type="dxa"/>
            </w:tcMar>
          </w:tcPr>
          <w:p w14:paraId="084408E8">
            <w:pPr>
              <w:pStyle w:val="28"/>
            </w:pPr>
            <w:r>
              <w:t>Key Takeaways</w:t>
            </w:r>
          </w:p>
          <w:p w14:paraId="68355CC3">
            <w:pPr>
              <w:pStyle w:val="29"/>
              <w:numPr>
                <w:ilvl w:val="0"/>
                <w:numId w:val="4"/>
              </w:numPr>
            </w:pPr>
            <w:r>
              <w:t>The limitation most likely to matter if this work is extended is that billings are censored, amplified demand; sell-out data and weather drivers would address the model's main weakness, the timing of the peak.</w:t>
            </w:r>
          </w:p>
        </w:tc>
      </w:tr>
    </w:tbl>
    <w:p w14:paraId="2737C7EC">
      <w:pPr>
        <w:pStyle w:val="2"/>
      </w:pPr>
      <w:bookmarkStart w:id="99" w:name="_Toc11017"/>
      <w:r>
        <w:t>Chapter 11: Conclusion</w:t>
      </w:r>
      <w:bookmarkEnd w:id="99"/>
    </w:p>
    <w:p w14:paraId="2A318BE1">
      <w:r>
        <w:t>We asked whether a SKU-level weekly forecast, evaluated honestly on unseen data, could predict branch demand materially better than simple rules, and whether that accuracy would translate into leaner safety stocks at the same service. The answer is a qualified yes.</w:t>
      </w:r>
    </w:p>
    <w:p w14:paraId="29C88AE6">
      <w:r>
        <w:t>A single LightGBM model trained across all 273 model-branch series was the most accurate of twelve methods in an eight-fold rolling-origin backtest. It reduced error by 19% against an eight-week moving average at the weekly SKU × branch level and by 24% over the four-week buckets in which replenishment is committed, with the largest gains on the high-volume series and at the end of the season. Converted into error-based safety stocks, it matched the moving average's fill rate with about 19% less excess cover.</w:t>
      </w:r>
    </w:p>
    <w:p w14:paraId="46895A0C">
      <w:r>
        <w:t>The qualification matters as much as the result. Weekly demand for an individual model at an individual branch remains intrinsically hard to predict: even the best method's weekly error is close to the size of demand, the classical intermittent-demand methods offered no advantage, and choosing a different method for each series made results worse. The value of the forecast lies in aggregate planning quantities and in calibrated buffers, not in single-week precision.</w:t>
      </w:r>
    </w:p>
    <w:p w14:paraId="0E9370E3">
      <w:r>
        <w:t>Finally, the project showed that the data foundation is itself a business issue. Separating indoor from outdoor units and resolving duplicate lines changed the picture of recent demand by more than any choice of model. With those repairs made, the global model and error-based buffers deployed through a shadow pilot, and honest monitoring in place, the manufacturer has a credible path to planning its next peak season with less stock in the wrong place.</w:t>
      </w:r>
    </w:p>
    <w:p w14:paraId="28540C4E">
      <w:pPr>
        <w:pStyle w:val="2"/>
      </w:pPr>
      <w:bookmarkStart w:id="100" w:name="_Toc3760"/>
      <w:r>
        <w:t>References</w:t>
      </w:r>
      <w:bookmarkEnd w:id="100"/>
    </w:p>
    <w:p w14:paraId="05DA5E0F">
      <w:pPr>
        <w:pStyle w:val="30"/>
      </w:pPr>
      <w:r>
        <w:t xml:space="preserve">Anthropic. (2026). </w:t>
      </w:r>
      <w:r>
        <w:rPr>
          <w:i/>
          <w:iCs/>
        </w:rPr>
        <w:t>Claude</w:t>
      </w:r>
      <w:r>
        <w:t xml:space="preserve"> (Opus 5.5) [Large language model]. https://claude.ai</w:t>
      </w:r>
    </w:p>
    <w:p w14:paraId="4A9A2FBE">
      <w:pPr>
        <w:pStyle w:val="30"/>
      </w:pPr>
      <w:r>
        <w:t xml:space="preserve">Babai, M. Z., Syntetos, A., &amp; Teunter, R. (2014). Intermittent demand forecasting: An empirical study on accuracy and the risk of obsolescence. </w:t>
      </w:r>
      <w:r>
        <w:rPr>
          <w:i/>
          <w:iCs/>
        </w:rPr>
        <w:t>International Journal of Production Economics, 157</w:t>
      </w:r>
      <w:r>
        <w:t>, 212–219. https://doi.org/10.1016/j.ijpe.2014.08.019</w:t>
      </w:r>
    </w:p>
    <w:p w14:paraId="1C7D2B97">
      <w:pPr>
        <w:pStyle w:val="30"/>
      </w:pPr>
      <w:r>
        <w:t xml:space="preserve">Bergmeir, C., &amp; Benítez, J. M. (2012). On the use of cross-validation for time series predictor evaluation. </w:t>
      </w:r>
      <w:r>
        <w:rPr>
          <w:i/>
          <w:iCs/>
        </w:rPr>
        <w:t>Information Sciences, 191</w:t>
      </w:r>
      <w:r>
        <w:t>, 192–213. https://doi.org/10.1016/j.ins.2011.12.028</w:t>
      </w:r>
    </w:p>
    <w:p w14:paraId="07854B85">
      <w:pPr>
        <w:pStyle w:val="30"/>
      </w:pPr>
      <w:r>
        <w:t xml:space="preserve">Box, G. E. P., Jenkins, G. M., Reinsel, G. C., &amp; Ljung, G. M. (2015). </w:t>
      </w:r>
      <w:r>
        <w:rPr>
          <w:i/>
          <w:iCs/>
        </w:rPr>
        <w:t>Time series analysis: Forecasting and control</w:t>
      </w:r>
      <w:r>
        <w:t xml:space="preserve"> (5th ed.). Wiley.</w:t>
      </w:r>
    </w:p>
    <w:p w14:paraId="448A518F">
      <w:pPr>
        <w:pStyle w:val="30"/>
      </w:pPr>
      <w:r>
        <w:t xml:space="preserve">Breiman, L. (2001). Random forests. </w:t>
      </w:r>
      <w:r>
        <w:rPr>
          <w:i/>
          <w:iCs/>
        </w:rPr>
        <w:t>Machine Learning, 45</w:t>
      </w:r>
      <w:r>
        <w:t>(1), 5–32. https://doi.org/10.1023/A:1010933404324</w:t>
      </w:r>
    </w:p>
    <w:p w14:paraId="39300C06">
      <w:pPr>
        <w:pStyle w:val="30"/>
      </w:pPr>
      <w:r>
        <w:t xml:space="preserve">Croston, J. D. (1972). Forecasting and stock control for intermittent demands. </w:t>
      </w:r>
      <w:r>
        <w:rPr>
          <w:i/>
          <w:iCs/>
        </w:rPr>
        <w:t>Operational Research Quarterly, 23</w:t>
      </w:r>
      <w:r>
        <w:t>(3), 289–303. https://doi.org/10.2307/3007885</w:t>
      </w:r>
    </w:p>
    <w:p w14:paraId="19C4A536">
      <w:pPr>
        <w:pStyle w:val="30"/>
      </w:pPr>
      <w:r>
        <w:t xml:space="preserve">Fildes, R., Goodwin, P., Lawrence, M., &amp; Nikolopoulos, K. (2009). Effective forecasting and judgmental adjustments: An empirical evaluation and strategies for improvement in supply-chain planning. </w:t>
      </w:r>
      <w:r>
        <w:rPr>
          <w:i/>
          <w:iCs/>
        </w:rPr>
        <w:t>International Journal of Forecasting, 25</w:t>
      </w:r>
      <w:r>
        <w:t>(1), 3–23. https://doi.org/10.1016/j.ijforecast.2008.11.010</w:t>
      </w:r>
    </w:p>
    <w:p w14:paraId="166B1A86">
      <w:pPr>
        <w:pStyle w:val="30"/>
      </w:pPr>
      <w:r>
        <w:t xml:space="preserve">Gardner, E. S., Jr. (2006). Exponential smoothing: The state of the art—Part II. </w:t>
      </w:r>
      <w:r>
        <w:rPr>
          <w:i/>
          <w:iCs/>
        </w:rPr>
        <w:t>International Journal of Forecasting, 22</w:t>
      </w:r>
      <w:r>
        <w:t>(4), 637–666. https://doi.org/10.1016/j.ijforecast.2006.03.005</w:t>
      </w:r>
    </w:p>
    <w:p w14:paraId="6E3A1E5A">
      <w:pPr>
        <w:pStyle w:val="30"/>
      </w:pPr>
      <w:r>
        <w:t xml:space="preserve">Google. (2026). </w:t>
      </w:r>
      <w:r>
        <w:rPr>
          <w:i/>
          <w:iCs/>
        </w:rPr>
        <w:t>NotebookLM</w:t>
      </w:r>
      <w:r>
        <w:t xml:space="preserve"> [Large language model tool]. https://notebooklm.google.com</w:t>
      </w:r>
    </w:p>
    <w:p w14:paraId="54D71106">
      <w:pPr>
        <w:pStyle w:val="30"/>
      </w:pPr>
      <w:r>
        <w:t xml:space="preserve">Hyndman, R. J., &amp; Athanasopoulos, G. (2021). </w:t>
      </w:r>
      <w:r>
        <w:rPr>
          <w:i/>
          <w:iCs/>
        </w:rPr>
        <w:t>Forecasting: Principles and practice</w:t>
      </w:r>
      <w:r>
        <w:t xml:space="preserve"> (3rd ed.). OTexts. https://otexts.com/fpp3/</w:t>
      </w:r>
    </w:p>
    <w:p w14:paraId="677EF24F">
      <w:pPr>
        <w:pStyle w:val="30"/>
      </w:pPr>
      <w:r>
        <w:t xml:space="preserve">Hyndman, R. J., &amp; Koehler, A. B. (2006). Another look at measures of forecast accuracy. </w:t>
      </w:r>
      <w:r>
        <w:rPr>
          <w:i/>
          <w:iCs/>
        </w:rPr>
        <w:t>International Journal of Forecasting, 22</w:t>
      </w:r>
      <w:r>
        <w:t>(4), 679–688. https://doi.org/10.1016/j.ijforecast.2006.03.001</w:t>
      </w:r>
    </w:p>
    <w:p w14:paraId="2627E01C">
      <w:pPr>
        <w:pStyle w:val="30"/>
      </w:pPr>
      <w:r>
        <w:t xml:space="preserve">International Energy Agency. (2018). </w:t>
      </w:r>
      <w:r>
        <w:rPr>
          <w:i/>
          <w:iCs/>
        </w:rPr>
        <w:t>The future of cooling: Opportunities for energy-efficient air conditioning</w:t>
      </w:r>
      <w:r>
        <w:t>. https://www.iea.org/reports/the-future-of-cooling</w:t>
      </w:r>
    </w:p>
    <w:p w14:paraId="0A023571">
      <w:pPr>
        <w:pStyle w:val="30"/>
      </w:pPr>
      <w:r>
        <w:t xml:space="preserve">Ke, G., Meng, Q., Finley, T., Wang, T., Chen, W., Ma, W., Ye, Q., &amp; Liu, T.-Y. (2017). LightGBM: A highly efficient gradient boosting decision tree. </w:t>
      </w:r>
      <w:r>
        <w:rPr>
          <w:i/>
          <w:iCs/>
        </w:rPr>
        <w:t>Advances in Neural Information Processing Systems, 30</w:t>
      </w:r>
      <w:r>
        <w:t>, 3146–3154.</w:t>
      </w:r>
    </w:p>
    <w:p w14:paraId="1F0957B3">
      <w:pPr>
        <w:pStyle w:val="30"/>
      </w:pPr>
      <w:r>
        <w:t xml:space="preserve">Kolassa, S. (2016). Evaluating predictive count data distributions in retail sales forecasting. </w:t>
      </w:r>
      <w:r>
        <w:rPr>
          <w:i/>
          <w:iCs/>
        </w:rPr>
        <w:t>International Journal of Forecasting, 32</w:t>
      </w:r>
      <w:r>
        <w:t>(3), 788–803. https://doi.org/10.1016/j.ijforecast.2015.12.004</w:t>
      </w:r>
    </w:p>
    <w:p w14:paraId="627B0430">
      <w:pPr>
        <w:pStyle w:val="30"/>
      </w:pPr>
      <w:r>
        <w:t xml:space="preserve">Kostenko, A. V., &amp; Hyndman, R. J. (2006). A note on the categorization of demand patterns. </w:t>
      </w:r>
      <w:r>
        <w:rPr>
          <w:i/>
          <w:iCs/>
        </w:rPr>
        <w:t>Journal of the Operational Research Society, 57</w:t>
      </w:r>
      <w:r>
        <w:t>(10), 1256–1257. https://doi.org/10.1057/palgrave.jors.2602211</w:t>
      </w:r>
    </w:p>
    <w:p w14:paraId="24D4279D">
      <w:pPr>
        <w:pStyle w:val="30"/>
      </w:pPr>
      <w:r>
        <w:t xml:space="preserve">Kourentzes, N. (2013). Intermittent demand forecasts with neural networks. </w:t>
      </w:r>
      <w:r>
        <w:rPr>
          <w:i/>
          <w:iCs/>
        </w:rPr>
        <w:t>International Journal of Production Economics, 143</w:t>
      </w:r>
      <w:r>
        <w:t>(1), 198–206. https://doi.org/10.1016/j.ijpe.2013.01.009</w:t>
      </w:r>
    </w:p>
    <w:p w14:paraId="384A731C">
      <w:pPr>
        <w:pStyle w:val="30"/>
      </w:pPr>
      <w:r>
        <w:t xml:space="preserve">Lee, H. L., Padmanabhan, V., &amp; Whang, S. (1997). Information distortion in a supply chain: The bullwhip effect. </w:t>
      </w:r>
      <w:r>
        <w:rPr>
          <w:i/>
          <w:iCs/>
        </w:rPr>
        <w:t>Management Science, 43</w:t>
      </w:r>
      <w:r>
        <w:t>(4), 546–558. https://doi.org/10.1287/mnsc.43.4.546</w:t>
      </w:r>
    </w:p>
    <w:p w14:paraId="26564427">
      <w:pPr>
        <w:pStyle w:val="30"/>
      </w:pPr>
      <w:r>
        <w:t xml:space="preserve">Lundberg, S. M., &amp; Lee, S.-I. (2017). A unified approach to interpreting model predictions. </w:t>
      </w:r>
      <w:r>
        <w:rPr>
          <w:i/>
          <w:iCs/>
        </w:rPr>
        <w:t>Advances in Neural Information Processing Systems, 30</w:t>
      </w:r>
      <w:r>
        <w:t>, 4765–4774.</w:t>
      </w:r>
    </w:p>
    <w:p w14:paraId="4230941C">
      <w:pPr>
        <w:pStyle w:val="30"/>
      </w:pPr>
      <w:r>
        <w:t xml:space="preserve">Makridakis, S., Spiliotis, E., &amp; Assimakopoulos, V. (2022). M5 accuracy competition: Results, findings, and conclusions. </w:t>
      </w:r>
      <w:r>
        <w:rPr>
          <w:i/>
          <w:iCs/>
        </w:rPr>
        <w:t>International Journal of Forecasting, 38</w:t>
      </w:r>
      <w:r>
        <w:t>(4), 1346–1364. https://doi.org/10.1016/j.ijforecast.2021.11.013</w:t>
      </w:r>
    </w:p>
    <w:p w14:paraId="4833F0B7">
      <w:pPr>
        <w:pStyle w:val="30"/>
      </w:pPr>
      <w:r>
        <w:t xml:space="preserve">Montero-Manso, P., &amp; Hyndman, R. J. (2021). Principles and algorithms for forecasting groups of time series: Locality and globality. </w:t>
      </w:r>
      <w:r>
        <w:rPr>
          <w:i/>
          <w:iCs/>
        </w:rPr>
        <w:t>International Journal of Forecasting, 37</w:t>
      </w:r>
      <w:r>
        <w:t>(4), 1632–1653. https://doi.org/10.1016/j.ijforecast.2021.03.004</w:t>
      </w:r>
    </w:p>
    <w:p w14:paraId="1A967376">
      <w:pPr>
        <w:pStyle w:val="30"/>
      </w:pPr>
      <w:r>
        <w:t xml:space="preserve">Pedregosa, F., Varoquaux, G., Gramfort, A., Michel, V., Thirion, B., Grisel, O., Blondel, M., Prettenhofer, P., Weiss, R., Dubourg, V., Vanderplas, J., Passos, A., Cournapeau, D., Brucher, M., Perrot, M., &amp; Duchesnay, É. (2011). Scikit-learn: Machine learning in Python. </w:t>
      </w:r>
      <w:r>
        <w:rPr>
          <w:i/>
          <w:iCs/>
        </w:rPr>
        <w:t>Journal of Machine Learning Research, 12</w:t>
      </w:r>
      <w:r>
        <w:t>, 2825–2830.</w:t>
      </w:r>
    </w:p>
    <w:p w14:paraId="121B1B38">
      <w:pPr>
        <w:pStyle w:val="30"/>
      </w:pPr>
      <w:r>
        <w:t xml:space="preserve">Seabold, S., &amp; Perktold, J. (2010). Statsmodels: Econometric and statistical modeling with Python. In S. van der Walt &amp; J. Millman (Eds.), </w:t>
      </w:r>
      <w:r>
        <w:rPr>
          <w:i/>
          <w:iCs/>
        </w:rPr>
        <w:t>Proceedings of the 9th Python in Science Conference</w:t>
      </w:r>
      <w:r>
        <w:t xml:space="preserve"> (pp. 92–96). https://doi.org/10.25080/Majora-92bf1922-011</w:t>
      </w:r>
    </w:p>
    <w:p w14:paraId="20E96AFB">
      <w:pPr>
        <w:pStyle w:val="30"/>
      </w:pPr>
      <w:r>
        <w:t xml:space="preserve">Silver, E. A., Pyke, D. F., &amp; Thomas, D. J. (2017). </w:t>
      </w:r>
      <w:r>
        <w:rPr>
          <w:i/>
          <w:iCs/>
        </w:rPr>
        <w:t>Inventory and production management in supply chains</w:t>
      </w:r>
      <w:r>
        <w:t xml:space="preserve"> (4th ed.). CRC Press.</w:t>
      </w:r>
    </w:p>
    <w:p w14:paraId="0ADD53C3">
      <w:pPr>
        <w:pStyle w:val="30"/>
      </w:pPr>
      <w:r>
        <w:t xml:space="preserve">Syntetos, A. A., Babai, Z., Boylan, J. E., Kolassa, S., &amp; Nikolopoulos, K. (2016). Supply chain forecasting: Theory, practice, their gap and the future. </w:t>
      </w:r>
      <w:r>
        <w:rPr>
          <w:i/>
          <w:iCs/>
        </w:rPr>
        <w:t>European Journal of Operational Research, 252</w:t>
      </w:r>
      <w:r>
        <w:t>(1), 1–26. https://doi.org/10.1016/j.ejor.2015.11.010</w:t>
      </w:r>
    </w:p>
    <w:p w14:paraId="476CFC49">
      <w:pPr>
        <w:pStyle w:val="30"/>
      </w:pPr>
      <w:r>
        <w:t xml:space="preserve">Syntetos, A. A., &amp; Boylan, J. E. (2005). The accuracy of intermittent demand estimates. </w:t>
      </w:r>
      <w:r>
        <w:rPr>
          <w:i/>
          <w:iCs/>
        </w:rPr>
        <w:t>International Journal of Forecasting, 21</w:t>
      </w:r>
      <w:r>
        <w:t>(2), 303–314. https://doi.org/10.1016/j.ijforecast.2004.10.001</w:t>
      </w:r>
    </w:p>
    <w:p w14:paraId="7BA8E7D1">
      <w:pPr>
        <w:pStyle w:val="30"/>
      </w:pPr>
      <w:r>
        <w:t xml:space="preserve">Syntetos, A. A., Boylan, J. E., &amp; Croston, J. D. (2005). On the categorization of demand patterns. </w:t>
      </w:r>
      <w:r>
        <w:rPr>
          <w:i/>
          <w:iCs/>
        </w:rPr>
        <w:t>Journal of the Operational Research Society, 56</w:t>
      </w:r>
      <w:r>
        <w:t>(5), 495–503. https://doi.org/10.1057/palgrave.jors.2601841</w:t>
      </w:r>
    </w:p>
    <w:p w14:paraId="31DDAF6B">
      <w:pPr>
        <w:pStyle w:val="30"/>
      </w:pPr>
      <w:r>
        <w:t xml:space="preserve">Tashman, L. J. (2000). Out-of-sample tests of forecasting accuracy: An analysis and review. </w:t>
      </w:r>
      <w:r>
        <w:rPr>
          <w:i/>
          <w:iCs/>
        </w:rPr>
        <w:t>International Journal of Forecasting, 16</w:t>
      </w:r>
      <w:r>
        <w:t>(4), 437–450. https://doi.org/10.1016/S0169-2070(00)00065-0</w:t>
      </w:r>
    </w:p>
    <w:p w14:paraId="2AB12BBB">
      <w:pPr>
        <w:pStyle w:val="30"/>
      </w:pPr>
      <w:r>
        <w:t xml:space="preserve">Teunter, R. H., Syntetos, A. A., &amp; Babai, M. Z. (2011). Intermittent demand: Linking forecasting to inventory obsolescence. </w:t>
      </w:r>
      <w:r>
        <w:rPr>
          <w:i/>
          <w:iCs/>
        </w:rPr>
        <w:t>European Journal of Operational Research, 214</w:t>
      </w:r>
      <w:r>
        <w:t>(3), 606–615. https://doi.org/10.1016/j.ejor.2011.05.018</w:t>
      </w:r>
    </w:p>
    <w:p w14:paraId="464AAC8C">
      <w:pPr>
        <w:pStyle w:val="30"/>
      </w:pPr>
      <w:r>
        <w:t xml:space="preserve">Wickramasuriya, S. L., Athanasopoulos, G., &amp; Hyndman, R. J. (2019). Optimal forecast reconciliation for hierarchical and grouped time series through trace minimization. </w:t>
      </w:r>
      <w:r>
        <w:rPr>
          <w:i/>
          <w:iCs/>
        </w:rPr>
        <w:t>Journal of the American Statistical Association, 114</w:t>
      </w:r>
      <w:r>
        <w:t>(526), 804–819. https://doi.org/10.1080/01621459.2018.1448825</w:t>
      </w:r>
    </w:p>
    <w:p w14:paraId="1F83B556">
      <w:pPr>
        <w:pStyle w:val="2"/>
      </w:pPr>
      <w:bookmarkStart w:id="101" w:name="_Toc21434"/>
      <w:r>
        <w:t>Appendices</w:t>
      </w:r>
      <w:bookmarkEnd w:id="101"/>
    </w:p>
    <w:p w14:paraId="51B61D61">
      <w:pPr>
        <w:pStyle w:val="3"/>
      </w:pPr>
      <w:bookmarkStart w:id="102" w:name="_Toc24143"/>
      <w:r>
        <w:t>Appendix A: Use of AI Tools Statement</w:t>
      </w:r>
      <w:bookmarkEnd w:id="102"/>
    </w:p>
    <w:p w14:paraId="50EB79DD">
      <w:r>
        <w:t>The team used generative-AI tools as assistants, not as authors of our reasoning. Table A.1 lists the tools, what they were used for, and how the output was verified. All numbers in this report are produced by the analysis script in Appendix C and were checked against its output; every reference was checked against the original source by the team; and every modelling decision (demand definition, duplicate treatment, candidate models, metrics and the backtest design) was taken and can be defended by the team. Text drafted with AI assistance was reviewed and edited by the team, who take full responsibility for it. Claude (Anthropic, 2026) and NotebookLM (Google, 2026) are cited because wording or structure they suggested was retained in revised form.</w:t>
      </w:r>
    </w:p>
    <w:p w14:paraId="7FC0D098">
      <w:pPr>
        <w:pStyle w:val="10"/>
        <w:keepNext/>
      </w:pPr>
      <w:r>
        <w:t>Table A.</w:t>
      </w:r>
      <w:r>
        <w:fldChar w:fldCharType="begin"/>
      </w:r>
      <w:r>
        <w:instrText xml:space="preserve">SEQ Table \* ARABIC \s 1</w:instrText>
      </w:r>
      <w:r>
        <w:fldChar w:fldCharType="separate"/>
      </w:r>
      <w:r>
        <w:t>1</w:t>
      </w:r>
      <w:r>
        <w:fldChar w:fldCharType="end"/>
      </w:r>
      <w:bookmarkStart w:id="103" w:name="_Toc1602"/>
      <w:r>
        <w:t>: Generative-AI tools used, purpose and verification</w:t>
      </w:r>
      <w:bookmarkEnd w:id="103"/>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2600"/>
        <w:gridCol w:w="4360"/>
        <w:gridCol w:w="2400"/>
      </w:tblGrid>
      <w:tr w14:paraId="5CC1BA4F">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2600" w:type="dxa"/>
            <w:shd w:val="clear" w:color="auto" w:fill="1F3864"/>
            <w:tcMar>
              <w:top w:w="80" w:type="dxa"/>
              <w:left w:w="120" w:type="dxa"/>
              <w:bottom w:w="80" w:type="dxa"/>
              <w:right w:w="120" w:type="dxa"/>
            </w:tcMar>
            <w:vAlign w:val="center"/>
          </w:tcPr>
          <w:p w14:paraId="3ADF010A">
            <w:pPr>
              <w:pStyle w:val="27"/>
            </w:pPr>
            <w:r>
              <w:t>Tool used</w:t>
            </w:r>
          </w:p>
        </w:tc>
        <w:tc>
          <w:tcPr>
            <w:tcW w:w="4360" w:type="dxa"/>
            <w:shd w:val="clear" w:color="auto" w:fill="1F3864"/>
            <w:tcMar>
              <w:top w:w="80" w:type="dxa"/>
              <w:left w:w="120" w:type="dxa"/>
              <w:bottom w:w="80" w:type="dxa"/>
              <w:right w:w="120" w:type="dxa"/>
            </w:tcMar>
            <w:vAlign w:val="center"/>
          </w:tcPr>
          <w:p w14:paraId="57F5260B">
            <w:pPr>
              <w:pStyle w:val="27"/>
            </w:pPr>
            <w:r>
              <w:t>Purpose</w:t>
            </w:r>
          </w:p>
        </w:tc>
        <w:tc>
          <w:tcPr>
            <w:tcW w:w="2400" w:type="dxa"/>
            <w:shd w:val="clear" w:color="auto" w:fill="1F3864"/>
            <w:tcMar>
              <w:top w:w="80" w:type="dxa"/>
              <w:left w:w="120" w:type="dxa"/>
              <w:bottom w:w="80" w:type="dxa"/>
              <w:right w:w="120" w:type="dxa"/>
            </w:tcMar>
            <w:vAlign w:val="center"/>
          </w:tcPr>
          <w:p w14:paraId="4FDC157C">
            <w:pPr>
              <w:pStyle w:val="27"/>
            </w:pPr>
            <w:r>
              <w:t>Verified by team?</w:t>
            </w:r>
          </w:p>
        </w:tc>
      </w:tr>
      <w:tr w14:paraId="7E537A7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600" w:type="dxa"/>
            <w:tcMar>
              <w:top w:w="80" w:type="dxa"/>
              <w:left w:w="120" w:type="dxa"/>
              <w:bottom w:w="80" w:type="dxa"/>
              <w:right w:w="120" w:type="dxa"/>
            </w:tcMar>
          </w:tcPr>
          <w:p w14:paraId="08E4CD68">
            <w:pPr>
              <w:pStyle w:val="26"/>
            </w:pPr>
            <w:r>
              <w:rPr>
                <w:b/>
                <w:bCs/>
                <w:color w:val="1F3864"/>
              </w:rPr>
              <w:t>Claude (Anthropic), Opus 5.5</w:t>
            </w:r>
          </w:p>
        </w:tc>
        <w:tc>
          <w:tcPr>
            <w:tcW w:w="4360" w:type="dxa"/>
            <w:tcMar>
              <w:top w:w="80" w:type="dxa"/>
              <w:left w:w="120" w:type="dxa"/>
              <w:bottom w:w="80" w:type="dxa"/>
              <w:right w:w="120" w:type="dxa"/>
            </w:tcMar>
          </w:tcPr>
          <w:p w14:paraId="2FCC3F29">
            <w:pPr>
              <w:pStyle w:val="26"/>
            </w:pPr>
            <w:r>
              <w:t>Drafting and editing report text from the team's analysis; writing and debugging the final analysis and figure scripts; checking consistency between text and results</w:t>
            </w:r>
          </w:p>
        </w:tc>
        <w:tc>
          <w:tcPr>
            <w:tcW w:w="2400" w:type="dxa"/>
            <w:tcMar>
              <w:top w:w="80" w:type="dxa"/>
              <w:left w:w="120" w:type="dxa"/>
              <w:bottom w:w="80" w:type="dxa"/>
              <w:right w:w="120" w:type="dxa"/>
            </w:tcMar>
          </w:tcPr>
          <w:p w14:paraId="2A51578D">
            <w:pPr>
              <w:pStyle w:val="26"/>
            </w:pPr>
            <w:r>
              <w:t>Yes: scripts re-run and outputs checked; text reviewed by all members</w:t>
            </w:r>
          </w:p>
        </w:tc>
      </w:tr>
      <w:tr w14:paraId="4BDC10F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600" w:type="dxa"/>
            <w:shd w:val="clear" w:color="auto" w:fill="F5F7F7"/>
            <w:tcMar>
              <w:top w:w="80" w:type="dxa"/>
              <w:left w:w="120" w:type="dxa"/>
              <w:bottom w:w="80" w:type="dxa"/>
              <w:right w:w="120" w:type="dxa"/>
            </w:tcMar>
          </w:tcPr>
          <w:p w14:paraId="5582E78D">
            <w:pPr>
              <w:pStyle w:val="26"/>
            </w:pPr>
            <w:r>
              <w:rPr>
                <w:b/>
                <w:bCs/>
                <w:color w:val="1F3864"/>
              </w:rPr>
              <w:t>NotebookLM (Google)</w:t>
            </w:r>
          </w:p>
        </w:tc>
        <w:tc>
          <w:tcPr>
            <w:tcW w:w="4360" w:type="dxa"/>
            <w:shd w:val="clear" w:color="auto" w:fill="F5F7F7"/>
            <w:tcMar>
              <w:top w:w="80" w:type="dxa"/>
              <w:left w:w="120" w:type="dxa"/>
              <w:bottom w:w="80" w:type="dxa"/>
              <w:right w:w="120" w:type="dxa"/>
            </w:tcMar>
          </w:tcPr>
          <w:p w14:paraId="27B2E780">
            <w:pPr>
              <w:pStyle w:val="26"/>
            </w:pPr>
            <w:r>
              <w:t>Generating presentation scripts and practice questions for the mid-review from team-written source documents</w:t>
            </w:r>
          </w:p>
        </w:tc>
        <w:tc>
          <w:tcPr>
            <w:tcW w:w="2400" w:type="dxa"/>
            <w:shd w:val="clear" w:color="auto" w:fill="F5F7F7"/>
            <w:tcMar>
              <w:top w:w="80" w:type="dxa"/>
              <w:left w:w="120" w:type="dxa"/>
              <w:bottom w:w="80" w:type="dxa"/>
              <w:right w:w="120" w:type="dxa"/>
            </w:tcMar>
          </w:tcPr>
          <w:p w14:paraId="4A04F30B">
            <w:pPr>
              <w:pStyle w:val="26"/>
            </w:pPr>
            <w:r>
              <w:t>Yes: reviewed before use; not used for report content</w:t>
            </w:r>
          </w:p>
        </w:tc>
      </w:tr>
      <w:tr w14:paraId="4ACAEAB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600" w:type="dxa"/>
            <w:tcMar>
              <w:top w:w="80" w:type="dxa"/>
              <w:left w:w="120" w:type="dxa"/>
              <w:bottom w:w="80" w:type="dxa"/>
              <w:right w:w="120" w:type="dxa"/>
            </w:tcMar>
          </w:tcPr>
          <w:p w14:paraId="3CAB29F3">
            <w:pPr>
              <w:pStyle w:val="26"/>
            </w:pPr>
            <w:r>
              <w:rPr>
                <w:b/>
                <w:bCs/>
                <w:color w:val="1F3864"/>
              </w:rPr>
              <w:t>[Team to add any other tools, e.g., coding assistants used during dashboard development]</w:t>
            </w:r>
          </w:p>
        </w:tc>
        <w:tc>
          <w:tcPr>
            <w:tcW w:w="4360" w:type="dxa"/>
            <w:tcMar>
              <w:top w:w="80" w:type="dxa"/>
              <w:left w:w="120" w:type="dxa"/>
              <w:bottom w:w="80" w:type="dxa"/>
              <w:right w:w="120" w:type="dxa"/>
            </w:tcMar>
          </w:tcPr>
          <w:p w14:paraId="53759B2E">
            <w:pPr>
              <w:pStyle w:val="26"/>
            </w:pPr>
            <w:r>
              <w:t>[Purpose]</w:t>
            </w:r>
          </w:p>
        </w:tc>
        <w:tc>
          <w:tcPr>
            <w:tcW w:w="2400" w:type="dxa"/>
            <w:tcMar>
              <w:top w:w="80" w:type="dxa"/>
              <w:left w:w="120" w:type="dxa"/>
              <w:bottom w:w="80" w:type="dxa"/>
              <w:right w:w="120" w:type="dxa"/>
            </w:tcMar>
          </w:tcPr>
          <w:p w14:paraId="3D079FAC">
            <w:pPr>
              <w:pStyle w:val="26"/>
            </w:pPr>
            <w:r>
              <w:t>[Yes / No]</w:t>
            </w:r>
          </w:p>
        </w:tc>
      </w:tr>
    </w:tbl>
    <w:p w14:paraId="65D0A00C">
      <w:pPr>
        <w:spacing w:after="120"/>
      </w:pPr>
    </w:p>
    <w:p w14:paraId="73D1EB31">
      <w:pPr>
        <w:pStyle w:val="3"/>
      </w:pPr>
      <w:bookmarkStart w:id="104" w:name="_Toc29797"/>
      <w:r>
        <w:t>Appendix B: Additional Tables and Figures</w:t>
      </w:r>
      <w:bookmarkEnd w:id="104"/>
    </w:p>
    <w:p w14:paraId="2D1E115F">
      <w:pPr>
        <w:pStyle w:val="10"/>
        <w:keepNext/>
      </w:pPr>
      <w:r>
        <w:t>Table B.</w:t>
      </w:r>
      <w:r>
        <w:fldChar w:fldCharType="begin"/>
      </w:r>
      <w:r>
        <w:instrText xml:space="preserve">SEQ Table \* ARABIC \s 1 \r 1</w:instrText>
      </w:r>
      <w:r>
        <w:fldChar w:fldCharType="separate"/>
      </w:r>
      <w:r>
        <w:t>1</w:t>
      </w:r>
      <w:r>
        <w:fldChar w:fldCharType="end"/>
      </w:r>
      <w:bookmarkStart w:id="105" w:name="_Toc16939"/>
      <w:r>
        <w:t>: Data dictionary of the raw billing extract</w:t>
      </w:r>
      <w:bookmarkEnd w:id="105"/>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2100"/>
        <w:gridCol w:w="900"/>
        <w:gridCol w:w="1000"/>
        <w:gridCol w:w="1100"/>
        <w:gridCol w:w="4260"/>
      </w:tblGrid>
      <w:tr w14:paraId="3826B8C9">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2100" w:type="dxa"/>
            <w:shd w:val="clear" w:color="auto" w:fill="1F3864"/>
            <w:tcMar>
              <w:top w:w="80" w:type="dxa"/>
              <w:left w:w="120" w:type="dxa"/>
              <w:bottom w:w="80" w:type="dxa"/>
              <w:right w:w="120" w:type="dxa"/>
            </w:tcMar>
            <w:vAlign w:val="center"/>
          </w:tcPr>
          <w:p w14:paraId="181CED00">
            <w:pPr>
              <w:pStyle w:val="27"/>
            </w:pPr>
            <w:r>
              <w:rPr>
                <w:sz w:val="17"/>
                <w:szCs w:val="17"/>
              </w:rPr>
              <w:t>Field</w:t>
            </w:r>
          </w:p>
        </w:tc>
        <w:tc>
          <w:tcPr>
            <w:tcW w:w="900" w:type="dxa"/>
            <w:shd w:val="clear" w:color="auto" w:fill="1F3864"/>
            <w:tcMar>
              <w:top w:w="80" w:type="dxa"/>
              <w:left w:w="120" w:type="dxa"/>
              <w:bottom w:w="80" w:type="dxa"/>
              <w:right w:w="120" w:type="dxa"/>
            </w:tcMar>
            <w:vAlign w:val="center"/>
          </w:tcPr>
          <w:p w14:paraId="26D74551">
            <w:pPr>
              <w:pStyle w:val="27"/>
            </w:pPr>
            <w:r>
              <w:rPr>
                <w:sz w:val="17"/>
                <w:szCs w:val="17"/>
              </w:rPr>
              <w:t>Type</w:t>
            </w:r>
          </w:p>
        </w:tc>
        <w:tc>
          <w:tcPr>
            <w:tcW w:w="1000" w:type="dxa"/>
            <w:shd w:val="clear" w:color="auto" w:fill="1F3864"/>
            <w:tcMar>
              <w:top w:w="80" w:type="dxa"/>
              <w:left w:w="120" w:type="dxa"/>
              <w:bottom w:w="80" w:type="dxa"/>
              <w:right w:w="120" w:type="dxa"/>
            </w:tcMar>
            <w:vAlign w:val="center"/>
          </w:tcPr>
          <w:p w14:paraId="5A875A62">
            <w:pPr>
              <w:pStyle w:val="27"/>
            </w:pPr>
            <w:r>
              <w:rPr>
                <w:sz w:val="17"/>
                <w:szCs w:val="17"/>
              </w:rPr>
              <w:t>Missing %</w:t>
            </w:r>
          </w:p>
        </w:tc>
        <w:tc>
          <w:tcPr>
            <w:tcW w:w="1100" w:type="dxa"/>
            <w:shd w:val="clear" w:color="auto" w:fill="1F3864"/>
            <w:tcMar>
              <w:top w:w="80" w:type="dxa"/>
              <w:left w:w="120" w:type="dxa"/>
              <w:bottom w:w="80" w:type="dxa"/>
              <w:right w:w="120" w:type="dxa"/>
            </w:tcMar>
            <w:vAlign w:val="center"/>
          </w:tcPr>
          <w:p w14:paraId="47D174A5">
            <w:pPr>
              <w:pStyle w:val="27"/>
            </w:pPr>
            <w:r>
              <w:rPr>
                <w:sz w:val="17"/>
                <w:szCs w:val="17"/>
              </w:rPr>
              <w:t>Distinct values</w:t>
            </w:r>
          </w:p>
        </w:tc>
        <w:tc>
          <w:tcPr>
            <w:tcW w:w="4260" w:type="dxa"/>
            <w:shd w:val="clear" w:color="auto" w:fill="1F3864"/>
            <w:tcMar>
              <w:top w:w="80" w:type="dxa"/>
              <w:left w:w="120" w:type="dxa"/>
              <w:bottom w:w="80" w:type="dxa"/>
              <w:right w:w="120" w:type="dxa"/>
            </w:tcMar>
            <w:vAlign w:val="center"/>
          </w:tcPr>
          <w:p w14:paraId="2FDE7DBC">
            <w:pPr>
              <w:pStyle w:val="27"/>
            </w:pPr>
            <w:r>
              <w:rPr>
                <w:sz w:val="17"/>
                <w:szCs w:val="17"/>
              </w:rPr>
              <w:t>Description</w:t>
            </w:r>
          </w:p>
        </w:tc>
      </w:tr>
      <w:tr w14:paraId="1E3A5AF6">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tcMar>
              <w:top w:w="80" w:type="dxa"/>
              <w:left w:w="120" w:type="dxa"/>
              <w:bottom w:w="80" w:type="dxa"/>
              <w:right w:w="120" w:type="dxa"/>
            </w:tcMar>
          </w:tcPr>
          <w:p w14:paraId="05673450">
            <w:pPr>
              <w:pStyle w:val="26"/>
            </w:pPr>
            <w:r>
              <w:rPr>
                <w:sz w:val="17"/>
                <w:szCs w:val="17"/>
              </w:rPr>
              <w:t>Material</w:t>
            </w:r>
          </w:p>
        </w:tc>
        <w:tc>
          <w:tcPr>
            <w:tcW w:w="900" w:type="dxa"/>
            <w:tcMar>
              <w:top w:w="80" w:type="dxa"/>
              <w:left w:w="120" w:type="dxa"/>
              <w:bottom w:w="80" w:type="dxa"/>
              <w:right w:w="120" w:type="dxa"/>
            </w:tcMar>
          </w:tcPr>
          <w:p w14:paraId="4825172F">
            <w:pPr>
              <w:pStyle w:val="26"/>
            </w:pPr>
            <w:r>
              <w:rPr>
                <w:sz w:val="17"/>
                <w:szCs w:val="17"/>
              </w:rPr>
              <w:t>text</w:t>
            </w:r>
          </w:p>
        </w:tc>
        <w:tc>
          <w:tcPr>
            <w:tcW w:w="1000" w:type="dxa"/>
            <w:tcMar>
              <w:top w:w="80" w:type="dxa"/>
              <w:left w:w="120" w:type="dxa"/>
              <w:bottom w:w="80" w:type="dxa"/>
              <w:right w:w="120" w:type="dxa"/>
            </w:tcMar>
          </w:tcPr>
          <w:p w14:paraId="3E089D30">
            <w:pPr>
              <w:pStyle w:val="26"/>
            </w:pPr>
            <w:r>
              <w:rPr>
                <w:sz w:val="17"/>
                <w:szCs w:val="17"/>
              </w:rPr>
              <w:t>0.0</w:t>
            </w:r>
          </w:p>
        </w:tc>
        <w:tc>
          <w:tcPr>
            <w:tcW w:w="1100" w:type="dxa"/>
            <w:tcMar>
              <w:top w:w="80" w:type="dxa"/>
              <w:left w:w="120" w:type="dxa"/>
              <w:bottom w:w="80" w:type="dxa"/>
              <w:right w:w="120" w:type="dxa"/>
            </w:tcMar>
          </w:tcPr>
          <w:p w14:paraId="7C725810">
            <w:pPr>
              <w:pStyle w:val="26"/>
            </w:pPr>
            <w:r>
              <w:rPr>
                <w:sz w:val="17"/>
                <w:szCs w:val="17"/>
              </w:rPr>
              <w:t>154</w:t>
            </w:r>
          </w:p>
        </w:tc>
        <w:tc>
          <w:tcPr>
            <w:tcW w:w="4260" w:type="dxa"/>
            <w:tcMar>
              <w:top w:w="80" w:type="dxa"/>
              <w:left w:w="120" w:type="dxa"/>
              <w:bottom w:w="80" w:type="dxa"/>
              <w:right w:w="120" w:type="dxa"/>
            </w:tcMar>
          </w:tcPr>
          <w:p w14:paraId="7CD1AE01">
            <w:pPr>
              <w:pStyle w:val="26"/>
            </w:pPr>
            <w:r>
              <w:rPr>
                <w:sz w:val="17"/>
                <w:szCs w:val="17"/>
              </w:rPr>
              <w:t>Product code (SKU); ODU and IDU models carry distinct codes</w:t>
            </w:r>
          </w:p>
        </w:tc>
      </w:tr>
      <w:tr w14:paraId="723F8AC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shd w:val="clear" w:color="auto" w:fill="F5F7F7"/>
            <w:tcMar>
              <w:top w:w="80" w:type="dxa"/>
              <w:left w:w="120" w:type="dxa"/>
              <w:bottom w:w="80" w:type="dxa"/>
              <w:right w:w="120" w:type="dxa"/>
            </w:tcMar>
          </w:tcPr>
          <w:p w14:paraId="3E3C3D56">
            <w:pPr>
              <w:pStyle w:val="26"/>
            </w:pPr>
            <w:r>
              <w:rPr>
                <w:sz w:val="17"/>
                <w:szCs w:val="17"/>
              </w:rPr>
              <w:t>Unnamed: 1</w:t>
            </w:r>
          </w:p>
        </w:tc>
        <w:tc>
          <w:tcPr>
            <w:tcW w:w="900" w:type="dxa"/>
            <w:shd w:val="clear" w:color="auto" w:fill="F5F7F7"/>
            <w:tcMar>
              <w:top w:w="80" w:type="dxa"/>
              <w:left w:w="120" w:type="dxa"/>
              <w:bottom w:w="80" w:type="dxa"/>
              <w:right w:w="120" w:type="dxa"/>
            </w:tcMar>
          </w:tcPr>
          <w:p w14:paraId="0B226794">
            <w:pPr>
              <w:pStyle w:val="26"/>
            </w:pPr>
            <w:r>
              <w:rPr>
                <w:sz w:val="17"/>
                <w:szCs w:val="17"/>
              </w:rPr>
              <w:t>text</w:t>
            </w:r>
          </w:p>
        </w:tc>
        <w:tc>
          <w:tcPr>
            <w:tcW w:w="1000" w:type="dxa"/>
            <w:shd w:val="clear" w:color="auto" w:fill="F5F7F7"/>
            <w:tcMar>
              <w:top w:w="80" w:type="dxa"/>
              <w:left w:w="120" w:type="dxa"/>
              <w:bottom w:w="80" w:type="dxa"/>
              <w:right w:w="120" w:type="dxa"/>
            </w:tcMar>
          </w:tcPr>
          <w:p w14:paraId="11F36E8A">
            <w:pPr>
              <w:pStyle w:val="26"/>
            </w:pPr>
            <w:r>
              <w:rPr>
                <w:sz w:val="17"/>
                <w:szCs w:val="17"/>
              </w:rPr>
              <w:t>99.8</w:t>
            </w:r>
          </w:p>
        </w:tc>
        <w:tc>
          <w:tcPr>
            <w:tcW w:w="1100" w:type="dxa"/>
            <w:shd w:val="clear" w:color="auto" w:fill="F5F7F7"/>
            <w:tcMar>
              <w:top w:w="80" w:type="dxa"/>
              <w:left w:w="120" w:type="dxa"/>
              <w:bottom w:w="80" w:type="dxa"/>
              <w:right w:w="120" w:type="dxa"/>
            </w:tcMar>
          </w:tcPr>
          <w:p w14:paraId="29B8C6F3">
            <w:pPr>
              <w:pStyle w:val="26"/>
            </w:pPr>
            <w:r>
              <w:rPr>
                <w:sz w:val="17"/>
                <w:szCs w:val="17"/>
              </w:rPr>
              <w:t>156</w:t>
            </w:r>
          </w:p>
        </w:tc>
        <w:tc>
          <w:tcPr>
            <w:tcW w:w="4260" w:type="dxa"/>
            <w:shd w:val="clear" w:color="auto" w:fill="F5F7F7"/>
            <w:tcMar>
              <w:top w:w="80" w:type="dxa"/>
              <w:left w:w="120" w:type="dxa"/>
              <w:bottom w:w="80" w:type="dxa"/>
              <w:right w:w="120" w:type="dxa"/>
            </w:tcMar>
          </w:tcPr>
          <w:p w14:paraId="287037A9">
            <w:pPr>
              <w:pStyle w:val="26"/>
            </w:pPr>
            <w:r>
              <w:rPr>
                <w:sz w:val="17"/>
                <w:szCs w:val="17"/>
              </w:rPr>
              <w:t>Unlabelled spill-over column; header text repeated, otherwise empty</w:t>
            </w:r>
          </w:p>
        </w:tc>
      </w:tr>
      <w:tr w14:paraId="3119EE98">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tcMar>
              <w:top w:w="80" w:type="dxa"/>
              <w:left w:w="120" w:type="dxa"/>
              <w:bottom w:w="80" w:type="dxa"/>
              <w:right w:w="120" w:type="dxa"/>
            </w:tcMar>
          </w:tcPr>
          <w:p w14:paraId="32CB0C31">
            <w:pPr>
              <w:pStyle w:val="26"/>
            </w:pPr>
            <w:r>
              <w:rPr>
                <w:sz w:val="17"/>
                <w:szCs w:val="17"/>
              </w:rPr>
              <w:t>Billing Doc.</w:t>
            </w:r>
          </w:p>
        </w:tc>
        <w:tc>
          <w:tcPr>
            <w:tcW w:w="900" w:type="dxa"/>
            <w:tcMar>
              <w:top w:w="80" w:type="dxa"/>
              <w:left w:w="120" w:type="dxa"/>
              <w:bottom w:w="80" w:type="dxa"/>
              <w:right w:w="120" w:type="dxa"/>
            </w:tcMar>
          </w:tcPr>
          <w:p w14:paraId="68F551E5">
            <w:pPr>
              <w:pStyle w:val="26"/>
            </w:pPr>
            <w:r>
              <w:rPr>
                <w:sz w:val="17"/>
                <w:szCs w:val="17"/>
              </w:rPr>
              <w:t>numeric</w:t>
            </w:r>
          </w:p>
        </w:tc>
        <w:tc>
          <w:tcPr>
            <w:tcW w:w="1000" w:type="dxa"/>
            <w:tcMar>
              <w:top w:w="80" w:type="dxa"/>
              <w:left w:w="120" w:type="dxa"/>
              <w:bottom w:w="80" w:type="dxa"/>
              <w:right w:w="120" w:type="dxa"/>
            </w:tcMar>
          </w:tcPr>
          <w:p w14:paraId="5CF26768">
            <w:pPr>
              <w:pStyle w:val="26"/>
            </w:pPr>
            <w:r>
              <w:rPr>
                <w:sz w:val="17"/>
                <w:szCs w:val="17"/>
              </w:rPr>
              <w:t>28.8</w:t>
            </w:r>
          </w:p>
        </w:tc>
        <w:tc>
          <w:tcPr>
            <w:tcW w:w="1100" w:type="dxa"/>
            <w:tcMar>
              <w:top w:w="80" w:type="dxa"/>
              <w:left w:w="120" w:type="dxa"/>
              <w:bottom w:w="80" w:type="dxa"/>
              <w:right w:w="120" w:type="dxa"/>
            </w:tcMar>
          </w:tcPr>
          <w:p w14:paraId="1027779B">
            <w:pPr>
              <w:pStyle w:val="26"/>
            </w:pPr>
            <w:r>
              <w:rPr>
                <w:sz w:val="17"/>
                <w:szCs w:val="17"/>
              </w:rPr>
              <w:t>39,550</w:t>
            </w:r>
          </w:p>
        </w:tc>
        <w:tc>
          <w:tcPr>
            <w:tcW w:w="4260" w:type="dxa"/>
            <w:tcMar>
              <w:top w:w="80" w:type="dxa"/>
              <w:left w:w="120" w:type="dxa"/>
              <w:bottom w:w="80" w:type="dxa"/>
              <w:right w:w="120" w:type="dxa"/>
            </w:tcMar>
          </w:tcPr>
          <w:p w14:paraId="40632072">
            <w:pPr>
              <w:pStyle w:val="26"/>
            </w:pPr>
            <w:r>
              <w:rPr>
                <w:sz w:val="17"/>
                <w:szCs w:val="17"/>
              </w:rPr>
              <w:t>ERP billing document number</w:t>
            </w:r>
          </w:p>
        </w:tc>
      </w:tr>
      <w:tr w14:paraId="736A5BD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shd w:val="clear" w:color="auto" w:fill="F5F7F7"/>
            <w:tcMar>
              <w:top w:w="80" w:type="dxa"/>
              <w:left w:w="120" w:type="dxa"/>
              <w:bottom w:w="80" w:type="dxa"/>
              <w:right w:w="120" w:type="dxa"/>
            </w:tcMar>
          </w:tcPr>
          <w:p w14:paraId="78B2340D">
            <w:pPr>
              <w:pStyle w:val="26"/>
            </w:pPr>
            <w:r>
              <w:rPr>
                <w:sz w:val="17"/>
                <w:szCs w:val="17"/>
              </w:rPr>
              <w:t>Item</w:t>
            </w:r>
          </w:p>
        </w:tc>
        <w:tc>
          <w:tcPr>
            <w:tcW w:w="900" w:type="dxa"/>
            <w:shd w:val="clear" w:color="auto" w:fill="F5F7F7"/>
            <w:tcMar>
              <w:top w:w="80" w:type="dxa"/>
              <w:left w:w="120" w:type="dxa"/>
              <w:bottom w:w="80" w:type="dxa"/>
              <w:right w:w="120" w:type="dxa"/>
            </w:tcMar>
          </w:tcPr>
          <w:p w14:paraId="0FA88E5A">
            <w:pPr>
              <w:pStyle w:val="26"/>
            </w:pPr>
            <w:r>
              <w:rPr>
                <w:sz w:val="17"/>
                <w:szCs w:val="17"/>
              </w:rPr>
              <w:t>numeric</w:t>
            </w:r>
          </w:p>
        </w:tc>
        <w:tc>
          <w:tcPr>
            <w:tcW w:w="1000" w:type="dxa"/>
            <w:shd w:val="clear" w:color="auto" w:fill="F5F7F7"/>
            <w:tcMar>
              <w:top w:w="80" w:type="dxa"/>
              <w:left w:w="120" w:type="dxa"/>
              <w:bottom w:w="80" w:type="dxa"/>
              <w:right w:w="120" w:type="dxa"/>
            </w:tcMar>
          </w:tcPr>
          <w:p w14:paraId="54034DA8">
            <w:pPr>
              <w:pStyle w:val="26"/>
            </w:pPr>
            <w:r>
              <w:rPr>
                <w:sz w:val="17"/>
                <w:szCs w:val="17"/>
              </w:rPr>
              <w:t>28.8</w:t>
            </w:r>
          </w:p>
        </w:tc>
        <w:tc>
          <w:tcPr>
            <w:tcW w:w="1100" w:type="dxa"/>
            <w:shd w:val="clear" w:color="auto" w:fill="F5F7F7"/>
            <w:tcMar>
              <w:top w:w="80" w:type="dxa"/>
              <w:left w:w="120" w:type="dxa"/>
              <w:bottom w:w="80" w:type="dxa"/>
              <w:right w:w="120" w:type="dxa"/>
            </w:tcMar>
          </w:tcPr>
          <w:p w14:paraId="7DE453BD">
            <w:pPr>
              <w:pStyle w:val="26"/>
            </w:pPr>
            <w:r>
              <w:rPr>
                <w:sz w:val="17"/>
                <w:szCs w:val="17"/>
              </w:rPr>
              <w:t>73</w:t>
            </w:r>
          </w:p>
        </w:tc>
        <w:tc>
          <w:tcPr>
            <w:tcW w:w="4260" w:type="dxa"/>
            <w:shd w:val="clear" w:color="auto" w:fill="F5F7F7"/>
            <w:tcMar>
              <w:top w:w="80" w:type="dxa"/>
              <w:left w:w="120" w:type="dxa"/>
              <w:bottom w:w="80" w:type="dxa"/>
              <w:right w:w="120" w:type="dxa"/>
            </w:tcMar>
          </w:tcPr>
          <w:p w14:paraId="20B5411D">
            <w:pPr>
              <w:pStyle w:val="26"/>
            </w:pPr>
            <w:r>
              <w:rPr>
                <w:sz w:val="17"/>
                <w:szCs w:val="17"/>
              </w:rPr>
              <w:t>Line item within the billing document</w:t>
            </w:r>
          </w:p>
        </w:tc>
      </w:tr>
      <w:tr w14:paraId="402B21AD">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tcMar>
              <w:top w:w="80" w:type="dxa"/>
              <w:left w:w="120" w:type="dxa"/>
              <w:bottom w:w="80" w:type="dxa"/>
              <w:right w:w="120" w:type="dxa"/>
            </w:tcMar>
          </w:tcPr>
          <w:p w14:paraId="72E68352">
            <w:pPr>
              <w:pStyle w:val="26"/>
            </w:pPr>
            <w:r>
              <w:rPr>
                <w:sz w:val="17"/>
                <w:szCs w:val="17"/>
              </w:rPr>
              <w:t>SALES OFFICE CODE</w:t>
            </w:r>
          </w:p>
        </w:tc>
        <w:tc>
          <w:tcPr>
            <w:tcW w:w="900" w:type="dxa"/>
            <w:tcMar>
              <w:top w:w="80" w:type="dxa"/>
              <w:left w:w="120" w:type="dxa"/>
              <w:bottom w:w="80" w:type="dxa"/>
              <w:right w:w="120" w:type="dxa"/>
            </w:tcMar>
          </w:tcPr>
          <w:p w14:paraId="7843C1F7">
            <w:pPr>
              <w:pStyle w:val="26"/>
            </w:pPr>
            <w:r>
              <w:rPr>
                <w:sz w:val="17"/>
                <w:szCs w:val="17"/>
              </w:rPr>
              <w:t>text</w:t>
            </w:r>
          </w:p>
        </w:tc>
        <w:tc>
          <w:tcPr>
            <w:tcW w:w="1000" w:type="dxa"/>
            <w:tcMar>
              <w:top w:w="80" w:type="dxa"/>
              <w:left w:w="120" w:type="dxa"/>
              <w:bottom w:w="80" w:type="dxa"/>
              <w:right w:w="120" w:type="dxa"/>
            </w:tcMar>
          </w:tcPr>
          <w:p w14:paraId="011A1492">
            <w:pPr>
              <w:pStyle w:val="26"/>
            </w:pPr>
            <w:r>
              <w:rPr>
                <w:sz w:val="17"/>
                <w:szCs w:val="17"/>
              </w:rPr>
              <w:t>0.0</w:t>
            </w:r>
          </w:p>
        </w:tc>
        <w:tc>
          <w:tcPr>
            <w:tcW w:w="1100" w:type="dxa"/>
            <w:tcMar>
              <w:top w:w="80" w:type="dxa"/>
              <w:left w:w="120" w:type="dxa"/>
              <w:bottom w:w="80" w:type="dxa"/>
              <w:right w:w="120" w:type="dxa"/>
            </w:tcMar>
          </w:tcPr>
          <w:p w14:paraId="044A5B9F">
            <w:pPr>
              <w:pStyle w:val="26"/>
            </w:pPr>
            <w:r>
              <w:rPr>
                <w:sz w:val="17"/>
                <w:szCs w:val="17"/>
              </w:rPr>
              <w:t>5</w:t>
            </w:r>
          </w:p>
        </w:tc>
        <w:tc>
          <w:tcPr>
            <w:tcW w:w="4260" w:type="dxa"/>
            <w:tcMar>
              <w:top w:w="80" w:type="dxa"/>
              <w:left w:w="120" w:type="dxa"/>
              <w:bottom w:w="80" w:type="dxa"/>
              <w:right w:w="120" w:type="dxa"/>
            </w:tcMar>
          </w:tcPr>
          <w:p w14:paraId="6EADB1AA">
            <w:pPr>
              <w:pStyle w:val="26"/>
            </w:pPr>
            <w:r>
              <w:rPr>
                <w:sz w:val="17"/>
                <w:szCs w:val="17"/>
              </w:rPr>
              <w:t>Branch / depot (BLR, COK, MAA, SBD, SBD1)</w:t>
            </w:r>
          </w:p>
        </w:tc>
      </w:tr>
      <w:tr w14:paraId="1302030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shd w:val="clear" w:color="auto" w:fill="F5F7F7"/>
            <w:tcMar>
              <w:top w:w="80" w:type="dxa"/>
              <w:left w:w="120" w:type="dxa"/>
              <w:bottom w:w="80" w:type="dxa"/>
              <w:right w:w="120" w:type="dxa"/>
            </w:tcMar>
          </w:tcPr>
          <w:p w14:paraId="3DC368FC">
            <w:pPr>
              <w:pStyle w:val="26"/>
            </w:pPr>
            <w:r>
              <w:rPr>
                <w:sz w:val="17"/>
                <w:szCs w:val="17"/>
              </w:rPr>
              <w:t>EXT MAT GROUP</w:t>
            </w:r>
          </w:p>
        </w:tc>
        <w:tc>
          <w:tcPr>
            <w:tcW w:w="900" w:type="dxa"/>
            <w:shd w:val="clear" w:color="auto" w:fill="F5F7F7"/>
            <w:tcMar>
              <w:top w:w="80" w:type="dxa"/>
              <w:left w:w="120" w:type="dxa"/>
              <w:bottom w:w="80" w:type="dxa"/>
              <w:right w:w="120" w:type="dxa"/>
            </w:tcMar>
          </w:tcPr>
          <w:p w14:paraId="1E3AE22A">
            <w:pPr>
              <w:pStyle w:val="26"/>
            </w:pPr>
            <w:r>
              <w:rPr>
                <w:sz w:val="17"/>
                <w:szCs w:val="17"/>
              </w:rPr>
              <w:t>text</w:t>
            </w:r>
          </w:p>
        </w:tc>
        <w:tc>
          <w:tcPr>
            <w:tcW w:w="1000" w:type="dxa"/>
            <w:shd w:val="clear" w:color="auto" w:fill="F5F7F7"/>
            <w:tcMar>
              <w:top w:w="80" w:type="dxa"/>
              <w:left w:w="120" w:type="dxa"/>
              <w:bottom w:w="80" w:type="dxa"/>
              <w:right w:w="120" w:type="dxa"/>
            </w:tcMar>
          </w:tcPr>
          <w:p w14:paraId="75F0926C">
            <w:pPr>
              <w:pStyle w:val="26"/>
            </w:pPr>
            <w:r>
              <w:rPr>
                <w:sz w:val="17"/>
                <w:szCs w:val="17"/>
              </w:rPr>
              <w:t>0.0</w:t>
            </w:r>
          </w:p>
        </w:tc>
        <w:tc>
          <w:tcPr>
            <w:tcW w:w="1100" w:type="dxa"/>
            <w:shd w:val="clear" w:color="auto" w:fill="F5F7F7"/>
            <w:tcMar>
              <w:top w:w="80" w:type="dxa"/>
              <w:left w:w="120" w:type="dxa"/>
              <w:bottom w:w="80" w:type="dxa"/>
              <w:right w:w="120" w:type="dxa"/>
            </w:tcMar>
          </w:tcPr>
          <w:p w14:paraId="4727C418">
            <w:pPr>
              <w:pStyle w:val="26"/>
            </w:pPr>
            <w:r>
              <w:rPr>
                <w:sz w:val="17"/>
                <w:szCs w:val="17"/>
              </w:rPr>
              <w:t>2</w:t>
            </w:r>
          </w:p>
        </w:tc>
        <w:tc>
          <w:tcPr>
            <w:tcW w:w="4260" w:type="dxa"/>
            <w:shd w:val="clear" w:color="auto" w:fill="F5F7F7"/>
            <w:tcMar>
              <w:top w:w="80" w:type="dxa"/>
              <w:left w:w="120" w:type="dxa"/>
              <w:bottom w:w="80" w:type="dxa"/>
              <w:right w:w="120" w:type="dxa"/>
            </w:tcMar>
          </w:tcPr>
          <w:p w14:paraId="59495EE7">
            <w:pPr>
              <w:pStyle w:val="26"/>
            </w:pPr>
            <w:r>
              <w:rPr>
                <w:sz w:val="17"/>
                <w:szCs w:val="17"/>
              </w:rPr>
              <w:t>Material group: RA-ODU (outdoor) or RA-IDU (indoor)</w:t>
            </w:r>
          </w:p>
        </w:tc>
      </w:tr>
      <w:tr w14:paraId="41C347A6">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tcMar>
              <w:top w:w="80" w:type="dxa"/>
              <w:left w:w="120" w:type="dxa"/>
              <w:bottom w:w="80" w:type="dxa"/>
              <w:right w:w="120" w:type="dxa"/>
            </w:tcMar>
          </w:tcPr>
          <w:p w14:paraId="1518E165">
            <w:pPr>
              <w:pStyle w:val="26"/>
            </w:pPr>
            <w:r>
              <w:rPr>
                <w:sz w:val="17"/>
                <w:szCs w:val="17"/>
              </w:rPr>
              <w:t>MatGroup3</w:t>
            </w:r>
          </w:p>
        </w:tc>
        <w:tc>
          <w:tcPr>
            <w:tcW w:w="900" w:type="dxa"/>
            <w:tcMar>
              <w:top w:w="80" w:type="dxa"/>
              <w:left w:w="120" w:type="dxa"/>
              <w:bottom w:w="80" w:type="dxa"/>
              <w:right w:w="120" w:type="dxa"/>
            </w:tcMar>
          </w:tcPr>
          <w:p w14:paraId="718AD838">
            <w:pPr>
              <w:pStyle w:val="26"/>
            </w:pPr>
            <w:r>
              <w:rPr>
                <w:sz w:val="17"/>
                <w:szCs w:val="17"/>
              </w:rPr>
              <w:t>text</w:t>
            </w:r>
          </w:p>
        </w:tc>
        <w:tc>
          <w:tcPr>
            <w:tcW w:w="1000" w:type="dxa"/>
            <w:tcMar>
              <w:top w:w="80" w:type="dxa"/>
              <w:left w:w="120" w:type="dxa"/>
              <w:bottom w:w="80" w:type="dxa"/>
              <w:right w:w="120" w:type="dxa"/>
            </w:tcMar>
          </w:tcPr>
          <w:p w14:paraId="1BA3D4D4">
            <w:pPr>
              <w:pStyle w:val="26"/>
            </w:pPr>
            <w:r>
              <w:rPr>
                <w:sz w:val="17"/>
                <w:szCs w:val="17"/>
              </w:rPr>
              <w:t>0.0</w:t>
            </w:r>
          </w:p>
        </w:tc>
        <w:tc>
          <w:tcPr>
            <w:tcW w:w="1100" w:type="dxa"/>
            <w:tcMar>
              <w:top w:w="80" w:type="dxa"/>
              <w:left w:w="120" w:type="dxa"/>
              <w:bottom w:w="80" w:type="dxa"/>
              <w:right w:w="120" w:type="dxa"/>
            </w:tcMar>
          </w:tcPr>
          <w:p w14:paraId="420FFB35">
            <w:pPr>
              <w:pStyle w:val="26"/>
            </w:pPr>
            <w:r>
              <w:rPr>
                <w:sz w:val="17"/>
                <w:szCs w:val="17"/>
              </w:rPr>
              <w:t>1</w:t>
            </w:r>
          </w:p>
        </w:tc>
        <w:tc>
          <w:tcPr>
            <w:tcW w:w="4260" w:type="dxa"/>
            <w:tcMar>
              <w:top w:w="80" w:type="dxa"/>
              <w:left w:w="120" w:type="dxa"/>
              <w:bottom w:w="80" w:type="dxa"/>
              <w:right w:w="120" w:type="dxa"/>
            </w:tcMar>
          </w:tcPr>
          <w:p w14:paraId="562A293C">
            <w:pPr>
              <w:pStyle w:val="26"/>
            </w:pPr>
            <w:r>
              <w:rPr>
                <w:sz w:val="17"/>
                <w:szCs w:val="17"/>
              </w:rPr>
              <w:t>Product family (RA = room air-conditioner)</w:t>
            </w:r>
          </w:p>
        </w:tc>
      </w:tr>
      <w:tr w14:paraId="2FFCA4CD">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shd w:val="clear" w:color="auto" w:fill="F5F7F7"/>
            <w:tcMar>
              <w:top w:w="80" w:type="dxa"/>
              <w:left w:w="120" w:type="dxa"/>
              <w:bottom w:w="80" w:type="dxa"/>
              <w:right w:w="120" w:type="dxa"/>
            </w:tcMar>
          </w:tcPr>
          <w:p w14:paraId="0B21BF9D">
            <w:pPr>
              <w:pStyle w:val="26"/>
            </w:pPr>
            <w:r>
              <w:rPr>
                <w:sz w:val="17"/>
                <w:szCs w:val="17"/>
              </w:rPr>
              <w:t>Star Rating</w:t>
            </w:r>
          </w:p>
        </w:tc>
        <w:tc>
          <w:tcPr>
            <w:tcW w:w="900" w:type="dxa"/>
            <w:shd w:val="clear" w:color="auto" w:fill="F5F7F7"/>
            <w:tcMar>
              <w:top w:w="80" w:type="dxa"/>
              <w:left w:w="120" w:type="dxa"/>
              <w:bottom w:w="80" w:type="dxa"/>
              <w:right w:w="120" w:type="dxa"/>
            </w:tcMar>
          </w:tcPr>
          <w:p w14:paraId="44A81AD7">
            <w:pPr>
              <w:pStyle w:val="26"/>
            </w:pPr>
            <w:r>
              <w:rPr>
                <w:sz w:val="17"/>
                <w:szCs w:val="17"/>
              </w:rPr>
              <w:t>text</w:t>
            </w:r>
          </w:p>
        </w:tc>
        <w:tc>
          <w:tcPr>
            <w:tcW w:w="1000" w:type="dxa"/>
            <w:shd w:val="clear" w:color="auto" w:fill="F5F7F7"/>
            <w:tcMar>
              <w:top w:w="80" w:type="dxa"/>
              <w:left w:w="120" w:type="dxa"/>
              <w:bottom w:w="80" w:type="dxa"/>
              <w:right w:w="120" w:type="dxa"/>
            </w:tcMar>
          </w:tcPr>
          <w:p w14:paraId="50167401">
            <w:pPr>
              <w:pStyle w:val="26"/>
            </w:pPr>
            <w:r>
              <w:rPr>
                <w:sz w:val="17"/>
                <w:szCs w:val="17"/>
              </w:rPr>
              <w:t>0.0</w:t>
            </w:r>
          </w:p>
        </w:tc>
        <w:tc>
          <w:tcPr>
            <w:tcW w:w="1100" w:type="dxa"/>
            <w:shd w:val="clear" w:color="auto" w:fill="F5F7F7"/>
            <w:tcMar>
              <w:top w:w="80" w:type="dxa"/>
              <w:left w:w="120" w:type="dxa"/>
              <w:bottom w:w="80" w:type="dxa"/>
              <w:right w:w="120" w:type="dxa"/>
            </w:tcMar>
          </w:tcPr>
          <w:p w14:paraId="3A5D5EBD">
            <w:pPr>
              <w:pStyle w:val="26"/>
            </w:pPr>
            <w:r>
              <w:rPr>
                <w:sz w:val="17"/>
                <w:szCs w:val="17"/>
              </w:rPr>
              <w:t>6</w:t>
            </w:r>
          </w:p>
        </w:tc>
        <w:tc>
          <w:tcPr>
            <w:tcW w:w="4260" w:type="dxa"/>
            <w:shd w:val="clear" w:color="auto" w:fill="F5F7F7"/>
            <w:tcMar>
              <w:top w:w="80" w:type="dxa"/>
              <w:left w:w="120" w:type="dxa"/>
              <w:bottom w:w="80" w:type="dxa"/>
              <w:right w:w="120" w:type="dxa"/>
            </w:tcMar>
          </w:tcPr>
          <w:p w14:paraId="0230BD8F">
            <w:pPr>
              <w:pStyle w:val="26"/>
            </w:pPr>
            <w:r>
              <w:rPr>
                <w:sz w:val="17"/>
                <w:szCs w:val="17"/>
              </w:rPr>
              <w:t>Efficiency code (I3S, I5S, N1S, N2S, N3S, IOT)</w:t>
            </w:r>
          </w:p>
        </w:tc>
      </w:tr>
      <w:tr w14:paraId="38774E6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tcMar>
              <w:top w:w="80" w:type="dxa"/>
              <w:left w:w="120" w:type="dxa"/>
              <w:bottom w:w="80" w:type="dxa"/>
              <w:right w:w="120" w:type="dxa"/>
            </w:tcMar>
          </w:tcPr>
          <w:p w14:paraId="1879EF16">
            <w:pPr>
              <w:pStyle w:val="26"/>
            </w:pPr>
            <w:r>
              <w:rPr>
                <w:sz w:val="17"/>
                <w:szCs w:val="17"/>
              </w:rPr>
              <w:t>Segment</w:t>
            </w:r>
          </w:p>
        </w:tc>
        <w:tc>
          <w:tcPr>
            <w:tcW w:w="900" w:type="dxa"/>
            <w:tcMar>
              <w:top w:w="80" w:type="dxa"/>
              <w:left w:w="120" w:type="dxa"/>
              <w:bottom w:w="80" w:type="dxa"/>
              <w:right w:w="120" w:type="dxa"/>
            </w:tcMar>
          </w:tcPr>
          <w:p w14:paraId="490AB33C">
            <w:pPr>
              <w:pStyle w:val="26"/>
            </w:pPr>
            <w:r>
              <w:rPr>
                <w:sz w:val="17"/>
                <w:szCs w:val="17"/>
              </w:rPr>
              <w:t>text</w:t>
            </w:r>
          </w:p>
        </w:tc>
        <w:tc>
          <w:tcPr>
            <w:tcW w:w="1000" w:type="dxa"/>
            <w:tcMar>
              <w:top w:w="80" w:type="dxa"/>
              <w:left w:w="120" w:type="dxa"/>
              <w:bottom w:w="80" w:type="dxa"/>
              <w:right w:w="120" w:type="dxa"/>
            </w:tcMar>
          </w:tcPr>
          <w:p w14:paraId="563B6980">
            <w:pPr>
              <w:pStyle w:val="26"/>
            </w:pPr>
            <w:r>
              <w:rPr>
                <w:sz w:val="17"/>
                <w:szCs w:val="17"/>
              </w:rPr>
              <w:t>0.0</w:t>
            </w:r>
          </w:p>
        </w:tc>
        <w:tc>
          <w:tcPr>
            <w:tcW w:w="1100" w:type="dxa"/>
            <w:tcMar>
              <w:top w:w="80" w:type="dxa"/>
              <w:left w:w="120" w:type="dxa"/>
              <w:bottom w:w="80" w:type="dxa"/>
              <w:right w:w="120" w:type="dxa"/>
            </w:tcMar>
          </w:tcPr>
          <w:p w14:paraId="75B5AB2E">
            <w:pPr>
              <w:pStyle w:val="26"/>
            </w:pPr>
            <w:r>
              <w:rPr>
                <w:sz w:val="17"/>
                <w:szCs w:val="17"/>
              </w:rPr>
              <w:t>2</w:t>
            </w:r>
          </w:p>
        </w:tc>
        <w:tc>
          <w:tcPr>
            <w:tcW w:w="4260" w:type="dxa"/>
            <w:tcMar>
              <w:top w:w="80" w:type="dxa"/>
              <w:left w:w="120" w:type="dxa"/>
              <w:bottom w:w="80" w:type="dxa"/>
              <w:right w:w="120" w:type="dxa"/>
            </w:tcMar>
          </w:tcPr>
          <w:p w14:paraId="498E8010">
            <w:pPr>
              <w:pStyle w:val="26"/>
            </w:pPr>
            <w:r>
              <w:rPr>
                <w:sz w:val="17"/>
                <w:szCs w:val="17"/>
              </w:rPr>
              <w:t>Inverter or Non-inverter</w:t>
            </w:r>
          </w:p>
        </w:tc>
      </w:tr>
      <w:tr w14:paraId="354BC1A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shd w:val="clear" w:color="auto" w:fill="F5F7F7"/>
            <w:tcMar>
              <w:top w:w="80" w:type="dxa"/>
              <w:left w:w="120" w:type="dxa"/>
              <w:bottom w:w="80" w:type="dxa"/>
              <w:right w:w="120" w:type="dxa"/>
            </w:tcMar>
          </w:tcPr>
          <w:p w14:paraId="753097C0">
            <w:pPr>
              <w:pStyle w:val="26"/>
            </w:pPr>
            <w:r>
              <w:rPr>
                <w:sz w:val="17"/>
                <w:szCs w:val="17"/>
              </w:rPr>
              <w:t>Star Rating.1</w:t>
            </w:r>
          </w:p>
        </w:tc>
        <w:tc>
          <w:tcPr>
            <w:tcW w:w="900" w:type="dxa"/>
            <w:shd w:val="clear" w:color="auto" w:fill="F5F7F7"/>
            <w:tcMar>
              <w:top w:w="80" w:type="dxa"/>
              <w:left w:w="120" w:type="dxa"/>
              <w:bottom w:w="80" w:type="dxa"/>
              <w:right w:w="120" w:type="dxa"/>
            </w:tcMar>
          </w:tcPr>
          <w:p w14:paraId="0F168801">
            <w:pPr>
              <w:pStyle w:val="26"/>
            </w:pPr>
            <w:r>
              <w:rPr>
                <w:sz w:val="17"/>
                <w:szCs w:val="17"/>
              </w:rPr>
              <w:t>text</w:t>
            </w:r>
          </w:p>
        </w:tc>
        <w:tc>
          <w:tcPr>
            <w:tcW w:w="1000" w:type="dxa"/>
            <w:shd w:val="clear" w:color="auto" w:fill="F5F7F7"/>
            <w:tcMar>
              <w:top w:w="80" w:type="dxa"/>
              <w:left w:w="120" w:type="dxa"/>
              <w:bottom w:w="80" w:type="dxa"/>
              <w:right w:w="120" w:type="dxa"/>
            </w:tcMar>
          </w:tcPr>
          <w:p w14:paraId="5F488A3B">
            <w:pPr>
              <w:pStyle w:val="26"/>
            </w:pPr>
            <w:r>
              <w:rPr>
                <w:sz w:val="17"/>
                <w:szCs w:val="17"/>
              </w:rPr>
              <w:t>0.0</w:t>
            </w:r>
          </w:p>
        </w:tc>
        <w:tc>
          <w:tcPr>
            <w:tcW w:w="1100" w:type="dxa"/>
            <w:shd w:val="clear" w:color="auto" w:fill="F5F7F7"/>
            <w:tcMar>
              <w:top w:w="80" w:type="dxa"/>
              <w:left w:w="120" w:type="dxa"/>
              <w:bottom w:w="80" w:type="dxa"/>
              <w:right w:w="120" w:type="dxa"/>
            </w:tcMar>
          </w:tcPr>
          <w:p w14:paraId="7D8214B2">
            <w:pPr>
              <w:pStyle w:val="26"/>
            </w:pPr>
            <w:r>
              <w:rPr>
                <w:sz w:val="17"/>
                <w:szCs w:val="17"/>
              </w:rPr>
              <w:t>5</w:t>
            </w:r>
          </w:p>
        </w:tc>
        <w:tc>
          <w:tcPr>
            <w:tcW w:w="4260" w:type="dxa"/>
            <w:shd w:val="clear" w:color="auto" w:fill="F5F7F7"/>
            <w:tcMar>
              <w:top w:w="80" w:type="dxa"/>
              <w:left w:w="120" w:type="dxa"/>
              <w:bottom w:w="80" w:type="dxa"/>
              <w:right w:w="120" w:type="dxa"/>
            </w:tcMar>
          </w:tcPr>
          <w:p w14:paraId="368FF60A">
            <w:pPr>
              <w:pStyle w:val="26"/>
            </w:pPr>
            <w:r>
              <w:rPr>
                <w:sz w:val="17"/>
                <w:szCs w:val="17"/>
              </w:rPr>
              <w:t>Star rating label (1-5 Star)</w:t>
            </w:r>
          </w:p>
        </w:tc>
      </w:tr>
      <w:tr w14:paraId="48D6A367">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tcMar>
              <w:top w:w="80" w:type="dxa"/>
              <w:left w:w="120" w:type="dxa"/>
              <w:bottom w:w="80" w:type="dxa"/>
              <w:right w:w="120" w:type="dxa"/>
            </w:tcMar>
          </w:tcPr>
          <w:p w14:paraId="50A16EDC">
            <w:pPr>
              <w:pStyle w:val="26"/>
            </w:pPr>
            <w:r>
              <w:rPr>
                <w:sz w:val="17"/>
                <w:szCs w:val="17"/>
              </w:rPr>
              <w:t>Stor. Location</w:t>
            </w:r>
          </w:p>
        </w:tc>
        <w:tc>
          <w:tcPr>
            <w:tcW w:w="900" w:type="dxa"/>
            <w:tcMar>
              <w:top w:w="80" w:type="dxa"/>
              <w:left w:w="120" w:type="dxa"/>
              <w:bottom w:w="80" w:type="dxa"/>
              <w:right w:w="120" w:type="dxa"/>
            </w:tcMar>
          </w:tcPr>
          <w:p w14:paraId="55FC8536">
            <w:pPr>
              <w:pStyle w:val="26"/>
            </w:pPr>
            <w:r>
              <w:rPr>
                <w:sz w:val="17"/>
                <w:szCs w:val="17"/>
              </w:rPr>
              <w:t>numeric</w:t>
            </w:r>
          </w:p>
        </w:tc>
        <w:tc>
          <w:tcPr>
            <w:tcW w:w="1000" w:type="dxa"/>
            <w:tcMar>
              <w:top w:w="80" w:type="dxa"/>
              <w:left w:w="120" w:type="dxa"/>
              <w:bottom w:w="80" w:type="dxa"/>
              <w:right w:w="120" w:type="dxa"/>
            </w:tcMar>
          </w:tcPr>
          <w:p w14:paraId="307379DF">
            <w:pPr>
              <w:pStyle w:val="26"/>
            </w:pPr>
            <w:r>
              <w:rPr>
                <w:sz w:val="17"/>
                <w:szCs w:val="17"/>
              </w:rPr>
              <w:t>28.8</w:t>
            </w:r>
          </w:p>
        </w:tc>
        <w:tc>
          <w:tcPr>
            <w:tcW w:w="1100" w:type="dxa"/>
            <w:tcMar>
              <w:top w:w="80" w:type="dxa"/>
              <w:left w:w="120" w:type="dxa"/>
              <w:bottom w:w="80" w:type="dxa"/>
              <w:right w:w="120" w:type="dxa"/>
            </w:tcMar>
          </w:tcPr>
          <w:p w14:paraId="229317DE">
            <w:pPr>
              <w:pStyle w:val="26"/>
            </w:pPr>
            <w:r>
              <w:rPr>
                <w:sz w:val="17"/>
                <w:szCs w:val="17"/>
              </w:rPr>
              <w:t>1</w:t>
            </w:r>
          </w:p>
        </w:tc>
        <w:tc>
          <w:tcPr>
            <w:tcW w:w="4260" w:type="dxa"/>
            <w:tcMar>
              <w:top w:w="80" w:type="dxa"/>
              <w:left w:w="120" w:type="dxa"/>
              <w:bottom w:w="80" w:type="dxa"/>
              <w:right w:w="120" w:type="dxa"/>
            </w:tcMar>
          </w:tcPr>
          <w:p w14:paraId="4CD9A908">
            <w:pPr>
              <w:pStyle w:val="26"/>
            </w:pPr>
            <w:r>
              <w:rPr>
                <w:sz w:val="17"/>
                <w:szCs w:val="17"/>
              </w:rPr>
              <w:t>Storage location code</w:t>
            </w:r>
          </w:p>
        </w:tc>
      </w:tr>
      <w:tr w14:paraId="169510D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shd w:val="clear" w:color="auto" w:fill="F5F7F7"/>
            <w:tcMar>
              <w:top w:w="80" w:type="dxa"/>
              <w:left w:w="120" w:type="dxa"/>
              <w:bottom w:w="80" w:type="dxa"/>
              <w:right w:w="120" w:type="dxa"/>
            </w:tcMar>
          </w:tcPr>
          <w:p w14:paraId="41C7311E">
            <w:pPr>
              <w:pStyle w:val="26"/>
            </w:pPr>
            <w:r>
              <w:rPr>
                <w:sz w:val="17"/>
                <w:szCs w:val="17"/>
              </w:rPr>
              <w:t>SALES OFFICE CODE.1</w:t>
            </w:r>
          </w:p>
        </w:tc>
        <w:tc>
          <w:tcPr>
            <w:tcW w:w="900" w:type="dxa"/>
            <w:shd w:val="clear" w:color="auto" w:fill="F5F7F7"/>
            <w:tcMar>
              <w:top w:w="80" w:type="dxa"/>
              <w:left w:w="120" w:type="dxa"/>
              <w:bottom w:w="80" w:type="dxa"/>
              <w:right w:w="120" w:type="dxa"/>
            </w:tcMar>
          </w:tcPr>
          <w:p w14:paraId="385EA1EB">
            <w:pPr>
              <w:pStyle w:val="26"/>
            </w:pPr>
            <w:r>
              <w:rPr>
                <w:sz w:val="17"/>
                <w:szCs w:val="17"/>
              </w:rPr>
              <w:t>text</w:t>
            </w:r>
          </w:p>
        </w:tc>
        <w:tc>
          <w:tcPr>
            <w:tcW w:w="1000" w:type="dxa"/>
            <w:shd w:val="clear" w:color="auto" w:fill="F5F7F7"/>
            <w:tcMar>
              <w:top w:w="80" w:type="dxa"/>
              <w:left w:w="120" w:type="dxa"/>
              <w:bottom w:w="80" w:type="dxa"/>
              <w:right w:w="120" w:type="dxa"/>
            </w:tcMar>
          </w:tcPr>
          <w:p w14:paraId="5E80AC51">
            <w:pPr>
              <w:pStyle w:val="26"/>
            </w:pPr>
            <w:r>
              <w:rPr>
                <w:sz w:val="17"/>
                <w:szCs w:val="17"/>
              </w:rPr>
              <w:t>0.0</w:t>
            </w:r>
          </w:p>
        </w:tc>
        <w:tc>
          <w:tcPr>
            <w:tcW w:w="1100" w:type="dxa"/>
            <w:shd w:val="clear" w:color="auto" w:fill="F5F7F7"/>
            <w:tcMar>
              <w:top w:w="80" w:type="dxa"/>
              <w:left w:w="120" w:type="dxa"/>
              <w:bottom w:w="80" w:type="dxa"/>
              <w:right w:w="120" w:type="dxa"/>
            </w:tcMar>
          </w:tcPr>
          <w:p w14:paraId="5FBAD2AA">
            <w:pPr>
              <w:pStyle w:val="26"/>
            </w:pPr>
            <w:r>
              <w:rPr>
                <w:sz w:val="17"/>
                <w:szCs w:val="17"/>
              </w:rPr>
              <w:t>5</w:t>
            </w:r>
          </w:p>
        </w:tc>
        <w:tc>
          <w:tcPr>
            <w:tcW w:w="4260" w:type="dxa"/>
            <w:shd w:val="clear" w:color="auto" w:fill="F5F7F7"/>
            <w:tcMar>
              <w:top w:w="80" w:type="dxa"/>
              <w:left w:w="120" w:type="dxa"/>
              <w:bottom w:w="80" w:type="dxa"/>
              <w:right w:w="120" w:type="dxa"/>
            </w:tcMar>
          </w:tcPr>
          <w:p w14:paraId="5287C840">
            <w:pPr>
              <w:pStyle w:val="26"/>
            </w:pPr>
            <w:r>
              <w:rPr>
                <w:sz w:val="17"/>
                <w:szCs w:val="17"/>
              </w:rPr>
              <w:t>Duplicate of SALES OFFICE CODE</w:t>
            </w:r>
          </w:p>
        </w:tc>
      </w:tr>
      <w:tr w14:paraId="26FC900A">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tcMar>
              <w:top w:w="80" w:type="dxa"/>
              <w:left w:w="120" w:type="dxa"/>
              <w:bottom w:w="80" w:type="dxa"/>
              <w:right w:w="120" w:type="dxa"/>
            </w:tcMar>
          </w:tcPr>
          <w:p w14:paraId="30F8025F">
            <w:pPr>
              <w:pStyle w:val="26"/>
            </w:pPr>
            <w:r>
              <w:rPr>
                <w:sz w:val="17"/>
                <w:szCs w:val="17"/>
              </w:rPr>
              <w:t>SBU</w:t>
            </w:r>
          </w:p>
        </w:tc>
        <w:tc>
          <w:tcPr>
            <w:tcW w:w="900" w:type="dxa"/>
            <w:tcMar>
              <w:top w:w="80" w:type="dxa"/>
              <w:left w:w="120" w:type="dxa"/>
              <w:bottom w:w="80" w:type="dxa"/>
              <w:right w:w="120" w:type="dxa"/>
            </w:tcMar>
          </w:tcPr>
          <w:p w14:paraId="726C6283">
            <w:pPr>
              <w:pStyle w:val="26"/>
            </w:pPr>
            <w:r>
              <w:rPr>
                <w:sz w:val="17"/>
                <w:szCs w:val="17"/>
              </w:rPr>
              <w:t>text</w:t>
            </w:r>
          </w:p>
        </w:tc>
        <w:tc>
          <w:tcPr>
            <w:tcW w:w="1000" w:type="dxa"/>
            <w:tcMar>
              <w:top w:w="80" w:type="dxa"/>
              <w:left w:w="120" w:type="dxa"/>
              <w:bottom w:w="80" w:type="dxa"/>
              <w:right w:w="120" w:type="dxa"/>
            </w:tcMar>
          </w:tcPr>
          <w:p w14:paraId="210E71F1">
            <w:pPr>
              <w:pStyle w:val="26"/>
            </w:pPr>
            <w:r>
              <w:rPr>
                <w:sz w:val="17"/>
                <w:szCs w:val="17"/>
              </w:rPr>
              <w:t>0.0</w:t>
            </w:r>
          </w:p>
        </w:tc>
        <w:tc>
          <w:tcPr>
            <w:tcW w:w="1100" w:type="dxa"/>
            <w:tcMar>
              <w:top w:w="80" w:type="dxa"/>
              <w:left w:w="120" w:type="dxa"/>
              <w:bottom w:w="80" w:type="dxa"/>
              <w:right w:w="120" w:type="dxa"/>
            </w:tcMar>
          </w:tcPr>
          <w:p w14:paraId="1AC06152">
            <w:pPr>
              <w:pStyle w:val="26"/>
            </w:pPr>
            <w:r>
              <w:rPr>
                <w:sz w:val="17"/>
                <w:szCs w:val="17"/>
              </w:rPr>
              <w:t>1</w:t>
            </w:r>
          </w:p>
        </w:tc>
        <w:tc>
          <w:tcPr>
            <w:tcW w:w="4260" w:type="dxa"/>
            <w:tcMar>
              <w:top w:w="80" w:type="dxa"/>
              <w:left w:w="120" w:type="dxa"/>
              <w:bottom w:w="80" w:type="dxa"/>
              <w:right w:w="120" w:type="dxa"/>
            </w:tcMar>
          </w:tcPr>
          <w:p w14:paraId="34D48ED8">
            <w:pPr>
              <w:pStyle w:val="26"/>
            </w:pPr>
            <w:r>
              <w:rPr>
                <w:sz w:val="17"/>
                <w:szCs w:val="17"/>
              </w:rPr>
              <w:t>Strategic business unit (RA)</w:t>
            </w:r>
          </w:p>
        </w:tc>
      </w:tr>
      <w:tr w14:paraId="11109E3B">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shd w:val="clear" w:color="auto" w:fill="F5F7F7"/>
            <w:tcMar>
              <w:top w:w="80" w:type="dxa"/>
              <w:left w:w="120" w:type="dxa"/>
              <w:bottom w:w="80" w:type="dxa"/>
              <w:right w:w="120" w:type="dxa"/>
            </w:tcMar>
          </w:tcPr>
          <w:p w14:paraId="4F02B028">
            <w:pPr>
              <w:pStyle w:val="26"/>
            </w:pPr>
            <w:r>
              <w:rPr>
                <w:sz w:val="17"/>
                <w:szCs w:val="17"/>
              </w:rPr>
              <w:t>Year</w:t>
            </w:r>
          </w:p>
        </w:tc>
        <w:tc>
          <w:tcPr>
            <w:tcW w:w="900" w:type="dxa"/>
            <w:shd w:val="clear" w:color="auto" w:fill="F5F7F7"/>
            <w:tcMar>
              <w:top w:w="80" w:type="dxa"/>
              <w:left w:w="120" w:type="dxa"/>
              <w:bottom w:w="80" w:type="dxa"/>
              <w:right w:w="120" w:type="dxa"/>
            </w:tcMar>
          </w:tcPr>
          <w:p w14:paraId="567E22EF">
            <w:pPr>
              <w:pStyle w:val="26"/>
            </w:pPr>
            <w:r>
              <w:rPr>
                <w:sz w:val="17"/>
                <w:szCs w:val="17"/>
              </w:rPr>
              <w:t>text</w:t>
            </w:r>
          </w:p>
        </w:tc>
        <w:tc>
          <w:tcPr>
            <w:tcW w:w="1000" w:type="dxa"/>
            <w:shd w:val="clear" w:color="auto" w:fill="F5F7F7"/>
            <w:tcMar>
              <w:top w:w="80" w:type="dxa"/>
              <w:left w:w="120" w:type="dxa"/>
              <w:bottom w:w="80" w:type="dxa"/>
              <w:right w:w="120" w:type="dxa"/>
            </w:tcMar>
          </w:tcPr>
          <w:p w14:paraId="42E88995">
            <w:pPr>
              <w:pStyle w:val="26"/>
            </w:pPr>
            <w:r>
              <w:rPr>
                <w:sz w:val="17"/>
                <w:szCs w:val="17"/>
              </w:rPr>
              <w:t>0.0</w:t>
            </w:r>
          </w:p>
        </w:tc>
        <w:tc>
          <w:tcPr>
            <w:tcW w:w="1100" w:type="dxa"/>
            <w:shd w:val="clear" w:color="auto" w:fill="F5F7F7"/>
            <w:tcMar>
              <w:top w:w="80" w:type="dxa"/>
              <w:left w:w="120" w:type="dxa"/>
              <w:bottom w:w="80" w:type="dxa"/>
              <w:right w:w="120" w:type="dxa"/>
            </w:tcMar>
          </w:tcPr>
          <w:p w14:paraId="6440D9D5">
            <w:pPr>
              <w:pStyle w:val="26"/>
            </w:pPr>
            <w:r>
              <w:rPr>
                <w:sz w:val="17"/>
                <w:szCs w:val="17"/>
              </w:rPr>
              <w:t>3</w:t>
            </w:r>
          </w:p>
        </w:tc>
        <w:tc>
          <w:tcPr>
            <w:tcW w:w="4260" w:type="dxa"/>
            <w:shd w:val="clear" w:color="auto" w:fill="F5F7F7"/>
            <w:tcMar>
              <w:top w:w="80" w:type="dxa"/>
              <w:left w:w="120" w:type="dxa"/>
              <w:bottom w:w="80" w:type="dxa"/>
              <w:right w:w="120" w:type="dxa"/>
            </w:tcMar>
          </w:tcPr>
          <w:p w14:paraId="593C5E06">
            <w:pPr>
              <w:pStyle w:val="26"/>
            </w:pPr>
            <w:r>
              <w:rPr>
                <w:sz w:val="17"/>
                <w:szCs w:val="17"/>
              </w:rPr>
              <w:t>Fiscal year label (22-23, 23-24, 24-25 Q1)</w:t>
            </w:r>
          </w:p>
        </w:tc>
      </w:tr>
      <w:tr w14:paraId="5A3D4CF8">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tcMar>
              <w:top w:w="80" w:type="dxa"/>
              <w:left w:w="120" w:type="dxa"/>
              <w:bottom w:w="80" w:type="dxa"/>
              <w:right w:w="120" w:type="dxa"/>
            </w:tcMar>
          </w:tcPr>
          <w:p w14:paraId="31E20A90">
            <w:pPr>
              <w:pStyle w:val="26"/>
            </w:pPr>
            <w:r>
              <w:rPr>
                <w:sz w:val="17"/>
                <w:szCs w:val="17"/>
              </w:rPr>
              <w:t>Month</w:t>
            </w:r>
          </w:p>
        </w:tc>
        <w:tc>
          <w:tcPr>
            <w:tcW w:w="900" w:type="dxa"/>
            <w:tcMar>
              <w:top w:w="80" w:type="dxa"/>
              <w:left w:w="120" w:type="dxa"/>
              <w:bottom w:w="80" w:type="dxa"/>
              <w:right w:w="120" w:type="dxa"/>
            </w:tcMar>
          </w:tcPr>
          <w:p w14:paraId="389FF848">
            <w:pPr>
              <w:pStyle w:val="26"/>
            </w:pPr>
            <w:r>
              <w:rPr>
                <w:sz w:val="17"/>
                <w:szCs w:val="17"/>
              </w:rPr>
              <w:t>text</w:t>
            </w:r>
          </w:p>
        </w:tc>
        <w:tc>
          <w:tcPr>
            <w:tcW w:w="1000" w:type="dxa"/>
            <w:tcMar>
              <w:top w:w="80" w:type="dxa"/>
              <w:left w:w="120" w:type="dxa"/>
              <w:bottom w:w="80" w:type="dxa"/>
              <w:right w:w="120" w:type="dxa"/>
            </w:tcMar>
          </w:tcPr>
          <w:p w14:paraId="326FF7BE">
            <w:pPr>
              <w:pStyle w:val="26"/>
            </w:pPr>
            <w:r>
              <w:rPr>
                <w:sz w:val="17"/>
                <w:szCs w:val="17"/>
              </w:rPr>
              <w:t>0.0</w:t>
            </w:r>
          </w:p>
        </w:tc>
        <w:tc>
          <w:tcPr>
            <w:tcW w:w="1100" w:type="dxa"/>
            <w:tcMar>
              <w:top w:w="80" w:type="dxa"/>
              <w:left w:w="120" w:type="dxa"/>
              <w:bottom w:w="80" w:type="dxa"/>
              <w:right w:w="120" w:type="dxa"/>
            </w:tcMar>
          </w:tcPr>
          <w:p w14:paraId="54448887">
            <w:pPr>
              <w:pStyle w:val="26"/>
            </w:pPr>
            <w:r>
              <w:rPr>
                <w:sz w:val="17"/>
                <w:szCs w:val="17"/>
              </w:rPr>
              <w:t>12</w:t>
            </w:r>
          </w:p>
        </w:tc>
        <w:tc>
          <w:tcPr>
            <w:tcW w:w="4260" w:type="dxa"/>
            <w:tcMar>
              <w:top w:w="80" w:type="dxa"/>
              <w:left w:w="120" w:type="dxa"/>
              <w:bottom w:w="80" w:type="dxa"/>
              <w:right w:w="120" w:type="dxa"/>
            </w:tcMar>
          </w:tcPr>
          <w:p w14:paraId="46082B03">
            <w:pPr>
              <w:pStyle w:val="26"/>
            </w:pPr>
            <w:r>
              <w:rPr>
                <w:sz w:val="17"/>
                <w:szCs w:val="17"/>
              </w:rPr>
              <w:t>Fiscal month label</w:t>
            </w:r>
          </w:p>
        </w:tc>
      </w:tr>
      <w:tr w14:paraId="7CA51E5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shd w:val="clear" w:color="auto" w:fill="F5F7F7"/>
            <w:tcMar>
              <w:top w:w="80" w:type="dxa"/>
              <w:left w:w="120" w:type="dxa"/>
              <w:bottom w:w="80" w:type="dxa"/>
              <w:right w:w="120" w:type="dxa"/>
            </w:tcMar>
          </w:tcPr>
          <w:p w14:paraId="7183C223">
            <w:pPr>
              <w:pStyle w:val="26"/>
            </w:pPr>
            <w:r>
              <w:rPr>
                <w:sz w:val="17"/>
                <w:szCs w:val="17"/>
              </w:rPr>
              <w:t>Week</w:t>
            </w:r>
          </w:p>
        </w:tc>
        <w:tc>
          <w:tcPr>
            <w:tcW w:w="900" w:type="dxa"/>
            <w:shd w:val="clear" w:color="auto" w:fill="F5F7F7"/>
            <w:tcMar>
              <w:top w:w="80" w:type="dxa"/>
              <w:left w:w="120" w:type="dxa"/>
              <w:bottom w:w="80" w:type="dxa"/>
              <w:right w:w="120" w:type="dxa"/>
            </w:tcMar>
          </w:tcPr>
          <w:p w14:paraId="5450D64A">
            <w:pPr>
              <w:pStyle w:val="26"/>
            </w:pPr>
            <w:r>
              <w:rPr>
                <w:sz w:val="17"/>
                <w:szCs w:val="17"/>
              </w:rPr>
              <w:t>text</w:t>
            </w:r>
          </w:p>
        </w:tc>
        <w:tc>
          <w:tcPr>
            <w:tcW w:w="1000" w:type="dxa"/>
            <w:shd w:val="clear" w:color="auto" w:fill="F5F7F7"/>
            <w:tcMar>
              <w:top w:w="80" w:type="dxa"/>
              <w:left w:w="120" w:type="dxa"/>
              <w:bottom w:w="80" w:type="dxa"/>
              <w:right w:w="120" w:type="dxa"/>
            </w:tcMar>
          </w:tcPr>
          <w:p w14:paraId="5D72B6A2">
            <w:pPr>
              <w:pStyle w:val="26"/>
            </w:pPr>
            <w:r>
              <w:rPr>
                <w:sz w:val="17"/>
                <w:szCs w:val="17"/>
              </w:rPr>
              <w:t>0.0</w:t>
            </w:r>
          </w:p>
        </w:tc>
        <w:tc>
          <w:tcPr>
            <w:tcW w:w="1100" w:type="dxa"/>
            <w:shd w:val="clear" w:color="auto" w:fill="F5F7F7"/>
            <w:tcMar>
              <w:top w:w="80" w:type="dxa"/>
              <w:left w:w="120" w:type="dxa"/>
              <w:bottom w:w="80" w:type="dxa"/>
              <w:right w:w="120" w:type="dxa"/>
            </w:tcMar>
          </w:tcPr>
          <w:p w14:paraId="49510443">
            <w:pPr>
              <w:pStyle w:val="26"/>
            </w:pPr>
            <w:r>
              <w:rPr>
                <w:sz w:val="17"/>
                <w:szCs w:val="17"/>
              </w:rPr>
              <w:t>4</w:t>
            </w:r>
          </w:p>
        </w:tc>
        <w:tc>
          <w:tcPr>
            <w:tcW w:w="4260" w:type="dxa"/>
            <w:shd w:val="clear" w:color="auto" w:fill="F5F7F7"/>
            <w:tcMar>
              <w:top w:w="80" w:type="dxa"/>
              <w:left w:w="120" w:type="dxa"/>
              <w:bottom w:w="80" w:type="dxa"/>
              <w:right w:w="120" w:type="dxa"/>
            </w:tcMar>
          </w:tcPr>
          <w:p w14:paraId="63767835">
            <w:pPr>
              <w:pStyle w:val="26"/>
            </w:pPr>
            <w:r>
              <w:rPr>
                <w:sz w:val="17"/>
                <w:szCs w:val="17"/>
              </w:rPr>
              <w:t>Week-of-month label (Wk 1-4)</w:t>
            </w:r>
          </w:p>
        </w:tc>
      </w:tr>
      <w:tr w14:paraId="68B1D7AB">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tcMar>
              <w:top w:w="80" w:type="dxa"/>
              <w:left w:w="120" w:type="dxa"/>
              <w:bottom w:w="80" w:type="dxa"/>
              <w:right w:w="120" w:type="dxa"/>
            </w:tcMar>
          </w:tcPr>
          <w:p w14:paraId="2345AA6B">
            <w:pPr>
              <w:pStyle w:val="26"/>
            </w:pPr>
            <w:r>
              <w:rPr>
                <w:sz w:val="17"/>
                <w:szCs w:val="17"/>
              </w:rPr>
              <w:t>Billing Date</w:t>
            </w:r>
          </w:p>
        </w:tc>
        <w:tc>
          <w:tcPr>
            <w:tcW w:w="900" w:type="dxa"/>
            <w:tcMar>
              <w:top w:w="80" w:type="dxa"/>
              <w:left w:w="120" w:type="dxa"/>
              <w:bottom w:w="80" w:type="dxa"/>
              <w:right w:w="120" w:type="dxa"/>
            </w:tcMar>
          </w:tcPr>
          <w:p w14:paraId="3482D32B">
            <w:pPr>
              <w:pStyle w:val="26"/>
            </w:pPr>
            <w:r>
              <w:rPr>
                <w:sz w:val="17"/>
                <w:szCs w:val="17"/>
              </w:rPr>
              <w:t>date</w:t>
            </w:r>
          </w:p>
        </w:tc>
        <w:tc>
          <w:tcPr>
            <w:tcW w:w="1000" w:type="dxa"/>
            <w:tcMar>
              <w:top w:w="80" w:type="dxa"/>
              <w:left w:w="120" w:type="dxa"/>
              <w:bottom w:w="80" w:type="dxa"/>
              <w:right w:w="120" w:type="dxa"/>
            </w:tcMar>
          </w:tcPr>
          <w:p w14:paraId="3482E559">
            <w:pPr>
              <w:pStyle w:val="26"/>
            </w:pPr>
            <w:r>
              <w:rPr>
                <w:sz w:val="17"/>
                <w:szCs w:val="17"/>
              </w:rPr>
              <w:t>0.0</w:t>
            </w:r>
          </w:p>
        </w:tc>
        <w:tc>
          <w:tcPr>
            <w:tcW w:w="1100" w:type="dxa"/>
            <w:tcMar>
              <w:top w:w="80" w:type="dxa"/>
              <w:left w:w="120" w:type="dxa"/>
              <w:bottom w:w="80" w:type="dxa"/>
              <w:right w:w="120" w:type="dxa"/>
            </w:tcMar>
          </w:tcPr>
          <w:p w14:paraId="7C6AAA68">
            <w:pPr>
              <w:pStyle w:val="26"/>
            </w:pPr>
            <w:r>
              <w:rPr>
                <w:sz w:val="17"/>
                <w:szCs w:val="17"/>
              </w:rPr>
              <w:t>625</w:t>
            </w:r>
          </w:p>
        </w:tc>
        <w:tc>
          <w:tcPr>
            <w:tcW w:w="4260" w:type="dxa"/>
            <w:tcMar>
              <w:top w:w="80" w:type="dxa"/>
              <w:left w:w="120" w:type="dxa"/>
              <w:bottom w:w="80" w:type="dxa"/>
              <w:right w:w="120" w:type="dxa"/>
            </w:tcMar>
          </w:tcPr>
          <w:p w14:paraId="6313D15D">
            <w:pPr>
              <w:pStyle w:val="26"/>
            </w:pPr>
            <w:r>
              <w:rPr>
                <w:sz w:val="17"/>
                <w:szCs w:val="17"/>
              </w:rPr>
              <w:t>Invoice date</w:t>
            </w:r>
          </w:p>
        </w:tc>
      </w:tr>
      <w:tr w14:paraId="16644DD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shd w:val="clear" w:color="auto" w:fill="F5F7F7"/>
            <w:tcMar>
              <w:top w:w="80" w:type="dxa"/>
              <w:left w:w="120" w:type="dxa"/>
              <w:bottom w:w="80" w:type="dxa"/>
              <w:right w:w="120" w:type="dxa"/>
            </w:tcMar>
          </w:tcPr>
          <w:p w14:paraId="20819781">
            <w:pPr>
              <w:pStyle w:val="26"/>
            </w:pPr>
            <w:r>
              <w:rPr>
                <w:sz w:val="17"/>
                <w:szCs w:val="17"/>
              </w:rPr>
              <w:t>Customer</w:t>
            </w:r>
          </w:p>
        </w:tc>
        <w:tc>
          <w:tcPr>
            <w:tcW w:w="900" w:type="dxa"/>
            <w:shd w:val="clear" w:color="auto" w:fill="F5F7F7"/>
            <w:tcMar>
              <w:top w:w="80" w:type="dxa"/>
              <w:left w:w="120" w:type="dxa"/>
              <w:bottom w:w="80" w:type="dxa"/>
              <w:right w:w="120" w:type="dxa"/>
            </w:tcMar>
          </w:tcPr>
          <w:p w14:paraId="039BB85F">
            <w:pPr>
              <w:pStyle w:val="26"/>
            </w:pPr>
            <w:r>
              <w:rPr>
                <w:sz w:val="17"/>
                <w:szCs w:val="17"/>
              </w:rPr>
              <w:t>text</w:t>
            </w:r>
          </w:p>
        </w:tc>
        <w:tc>
          <w:tcPr>
            <w:tcW w:w="1000" w:type="dxa"/>
            <w:shd w:val="clear" w:color="auto" w:fill="F5F7F7"/>
            <w:tcMar>
              <w:top w:w="80" w:type="dxa"/>
              <w:left w:w="120" w:type="dxa"/>
              <w:bottom w:w="80" w:type="dxa"/>
              <w:right w:w="120" w:type="dxa"/>
            </w:tcMar>
          </w:tcPr>
          <w:p w14:paraId="2BE8DEAB">
            <w:pPr>
              <w:pStyle w:val="26"/>
            </w:pPr>
            <w:r>
              <w:rPr>
                <w:sz w:val="17"/>
                <w:szCs w:val="17"/>
              </w:rPr>
              <w:t>0.0</w:t>
            </w:r>
          </w:p>
        </w:tc>
        <w:tc>
          <w:tcPr>
            <w:tcW w:w="1100" w:type="dxa"/>
            <w:shd w:val="clear" w:color="auto" w:fill="F5F7F7"/>
            <w:tcMar>
              <w:top w:w="80" w:type="dxa"/>
              <w:left w:w="120" w:type="dxa"/>
              <w:bottom w:w="80" w:type="dxa"/>
              <w:right w:w="120" w:type="dxa"/>
            </w:tcMar>
          </w:tcPr>
          <w:p w14:paraId="4E6E8036">
            <w:pPr>
              <w:pStyle w:val="26"/>
            </w:pPr>
            <w:r>
              <w:rPr>
                <w:sz w:val="17"/>
                <w:szCs w:val="17"/>
              </w:rPr>
              <w:t>2,352</w:t>
            </w:r>
          </w:p>
        </w:tc>
        <w:tc>
          <w:tcPr>
            <w:tcW w:w="4260" w:type="dxa"/>
            <w:shd w:val="clear" w:color="auto" w:fill="F5F7F7"/>
            <w:tcMar>
              <w:top w:w="80" w:type="dxa"/>
              <w:left w:w="120" w:type="dxa"/>
              <w:bottom w:w="80" w:type="dxa"/>
              <w:right w:w="120" w:type="dxa"/>
            </w:tcMar>
          </w:tcPr>
          <w:p w14:paraId="46FDA6E5">
            <w:pPr>
              <w:pStyle w:val="26"/>
            </w:pPr>
            <w:r>
              <w:rPr>
                <w:sz w:val="17"/>
                <w:szCs w:val="17"/>
              </w:rPr>
              <w:t>Billed customer (masked in this report)</w:t>
            </w:r>
          </w:p>
        </w:tc>
      </w:tr>
      <w:tr w14:paraId="1D10F67B">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tcMar>
              <w:top w:w="80" w:type="dxa"/>
              <w:left w:w="120" w:type="dxa"/>
              <w:bottom w:w="80" w:type="dxa"/>
              <w:right w:w="120" w:type="dxa"/>
            </w:tcMar>
          </w:tcPr>
          <w:p w14:paraId="38D8B8A2">
            <w:pPr>
              <w:pStyle w:val="26"/>
            </w:pPr>
            <w:r>
              <w:rPr>
                <w:sz w:val="17"/>
                <w:szCs w:val="17"/>
              </w:rPr>
              <w:t>Material.1</w:t>
            </w:r>
          </w:p>
        </w:tc>
        <w:tc>
          <w:tcPr>
            <w:tcW w:w="900" w:type="dxa"/>
            <w:tcMar>
              <w:top w:w="80" w:type="dxa"/>
              <w:left w:w="120" w:type="dxa"/>
              <w:bottom w:w="80" w:type="dxa"/>
              <w:right w:w="120" w:type="dxa"/>
            </w:tcMar>
          </w:tcPr>
          <w:p w14:paraId="2CD32437">
            <w:pPr>
              <w:pStyle w:val="26"/>
            </w:pPr>
            <w:r>
              <w:rPr>
                <w:sz w:val="17"/>
                <w:szCs w:val="17"/>
              </w:rPr>
              <w:t>text</w:t>
            </w:r>
          </w:p>
        </w:tc>
        <w:tc>
          <w:tcPr>
            <w:tcW w:w="1000" w:type="dxa"/>
            <w:tcMar>
              <w:top w:w="80" w:type="dxa"/>
              <w:left w:w="120" w:type="dxa"/>
              <w:bottom w:w="80" w:type="dxa"/>
              <w:right w:w="120" w:type="dxa"/>
            </w:tcMar>
          </w:tcPr>
          <w:p w14:paraId="7F79D709">
            <w:pPr>
              <w:pStyle w:val="26"/>
            </w:pPr>
            <w:r>
              <w:rPr>
                <w:sz w:val="17"/>
                <w:szCs w:val="17"/>
              </w:rPr>
              <w:t>0.0</w:t>
            </w:r>
          </w:p>
        </w:tc>
        <w:tc>
          <w:tcPr>
            <w:tcW w:w="1100" w:type="dxa"/>
            <w:tcMar>
              <w:top w:w="80" w:type="dxa"/>
              <w:left w:w="120" w:type="dxa"/>
              <w:bottom w:w="80" w:type="dxa"/>
              <w:right w:w="120" w:type="dxa"/>
            </w:tcMar>
          </w:tcPr>
          <w:p w14:paraId="7604F24F">
            <w:pPr>
              <w:pStyle w:val="26"/>
            </w:pPr>
            <w:r>
              <w:rPr>
                <w:sz w:val="17"/>
                <w:szCs w:val="17"/>
              </w:rPr>
              <w:t>154</w:t>
            </w:r>
          </w:p>
        </w:tc>
        <w:tc>
          <w:tcPr>
            <w:tcW w:w="4260" w:type="dxa"/>
            <w:tcMar>
              <w:top w:w="80" w:type="dxa"/>
              <w:left w:w="120" w:type="dxa"/>
              <w:bottom w:w="80" w:type="dxa"/>
              <w:right w:w="120" w:type="dxa"/>
            </w:tcMar>
          </w:tcPr>
          <w:p w14:paraId="14BAE966">
            <w:pPr>
              <w:pStyle w:val="26"/>
            </w:pPr>
            <w:r>
              <w:rPr>
                <w:sz w:val="17"/>
                <w:szCs w:val="17"/>
              </w:rPr>
              <w:t>Duplicate of Material</w:t>
            </w:r>
          </w:p>
        </w:tc>
      </w:tr>
      <w:tr w14:paraId="41037E1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shd w:val="clear" w:color="auto" w:fill="F5F7F7"/>
            <w:tcMar>
              <w:top w:w="80" w:type="dxa"/>
              <w:left w:w="120" w:type="dxa"/>
              <w:bottom w:w="80" w:type="dxa"/>
              <w:right w:w="120" w:type="dxa"/>
            </w:tcMar>
          </w:tcPr>
          <w:p w14:paraId="547D262A">
            <w:pPr>
              <w:pStyle w:val="26"/>
            </w:pPr>
            <w:r>
              <w:rPr>
                <w:sz w:val="17"/>
                <w:szCs w:val="17"/>
              </w:rPr>
              <w:t>Billing Quantity ODU</w:t>
            </w:r>
          </w:p>
        </w:tc>
        <w:tc>
          <w:tcPr>
            <w:tcW w:w="900" w:type="dxa"/>
            <w:shd w:val="clear" w:color="auto" w:fill="F5F7F7"/>
            <w:tcMar>
              <w:top w:w="80" w:type="dxa"/>
              <w:left w:w="120" w:type="dxa"/>
              <w:bottom w:w="80" w:type="dxa"/>
              <w:right w:w="120" w:type="dxa"/>
            </w:tcMar>
          </w:tcPr>
          <w:p w14:paraId="7E59FCF7">
            <w:pPr>
              <w:pStyle w:val="26"/>
            </w:pPr>
            <w:r>
              <w:rPr>
                <w:sz w:val="17"/>
                <w:szCs w:val="17"/>
              </w:rPr>
              <w:t>numeric</w:t>
            </w:r>
          </w:p>
        </w:tc>
        <w:tc>
          <w:tcPr>
            <w:tcW w:w="1000" w:type="dxa"/>
            <w:shd w:val="clear" w:color="auto" w:fill="F5F7F7"/>
            <w:tcMar>
              <w:top w:w="80" w:type="dxa"/>
              <w:left w:w="120" w:type="dxa"/>
              <w:bottom w:w="80" w:type="dxa"/>
              <w:right w:w="120" w:type="dxa"/>
            </w:tcMar>
          </w:tcPr>
          <w:p w14:paraId="2210DF0F">
            <w:pPr>
              <w:pStyle w:val="26"/>
            </w:pPr>
            <w:r>
              <w:rPr>
                <w:sz w:val="17"/>
                <w:szCs w:val="17"/>
              </w:rPr>
              <w:t>0.0</w:t>
            </w:r>
          </w:p>
        </w:tc>
        <w:tc>
          <w:tcPr>
            <w:tcW w:w="1100" w:type="dxa"/>
            <w:shd w:val="clear" w:color="auto" w:fill="F5F7F7"/>
            <w:tcMar>
              <w:top w:w="80" w:type="dxa"/>
              <w:left w:w="120" w:type="dxa"/>
              <w:bottom w:w="80" w:type="dxa"/>
              <w:right w:w="120" w:type="dxa"/>
            </w:tcMar>
          </w:tcPr>
          <w:p w14:paraId="4493F202">
            <w:pPr>
              <w:pStyle w:val="26"/>
            </w:pPr>
            <w:r>
              <w:rPr>
                <w:sz w:val="17"/>
                <w:szCs w:val="17"/>
              </w:rPr>
              <w:t>189</w:t>
            </w:r>
          </w:p>
        </w:tc>
        <w:tc>
          <w:tcPr>
            <w:tcW w:w="4260" w:type="dxa"/>
            <w:shd w:val="clear" w:color="auto" w:fill="F5F7F7"/>
            <w:tcMar>
              <w:top w:w="80" w:type="dxa"/>
              <w:left w:w="120" w:type="dxa"/>
              <w:bottom w:w="80" w:type="dxa"/>
              <w:right w:w="120" w:type="dxa"/>
            </w:tcMar>
          </w:tcPr>
          <w:p w14:paraId="5EDC5B59">
            <w:pPr>
              <w:pStyle w:val="26"/>
            </w:pPr>
            <w:r>
              <w:rPr>
                <w:sz w:val="17"/>
                <w:szCs w:val="17"/>
              </w:rPr>
              <w:t>Units billed of an outdoor unit (target variable)</w:t>
            </w:r>
          </w:p>
        </w:tc>
      </w:tr>
      <w:tr w14:paraId="56EF8347">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tcMar>
              <w:top w:w="80" w:type="dxa"/>
              <w:left w:w="120" w:type="dxa"/>
              <w:bottom w:w="80" w:type="dxa"/>
              <w:right w:w="120" w:type="dxa"/>
            </w:tcMar>
          </w:tcPr>
          <w:p w14:paraId="3AEB2AF0">
            <w:pPr>
              <w:pStyle w:val="26"/>
            </w:pPr>
            <w:r>
              <w:rPr>
                <w:sz w:val="17"/>
                <w:szCs w:val="17"/>
              </w:rPr>
              <w:t>Billing Quantity IDU</w:t>
            </w:r>
          </w:p>
        </w:tc>
        <w:tc>
          <w:tcPr>
            <w:tcW w:w="900" w:type="dxa"/>
            <w:tcMar>
              <w:top w:w="80" w:type="dxa"/>
              <w:left w:w="120" w:type="dxa"/>
              <w:bottom w:w="80" w:type="dxa"/>
              <w:right w:w="120" w:type="dxa"/>
            </w:tcMar>
          </w:tcPr>
          <w:p w14:paraId="3ECDC992">
            <w:pPr>
              <w:pStyle w:val="26"/>
            </w:pPr>
            <w:r>
              <w:rPr>
                <w:sz w:val="17"/>
                <w:szCs w:val="17"/>
              </w:rPr>
              <w:t>numeric</w:t>
            </w:r>
          </w:p>
        </w:tc>
        <w:tc>
          <w:tcPr>
            <w:tcW w:w="1000" w:type="dxa"/>
            <w:tcMar>
              <w:top w:w="80" w:type="dxa"/>
              <w:left w:w="120" w:type="dxa"/>
              <w:bottom w:w="80" w:type="dxa"/>
              <w:right w:w="120" w:type="dxa"/>
            </w:tcMar>
          </w:tcPr>
          <w:p w14:paraId="3581C13E">
            <w:pPr>
              <w:pStyle w:val="26"/>
            </w:pPr>
            <w:r>
              <w:rPr>
                <w:sz w:val="17"/>
                <w:szCs w:val="17"/>
              </w:rPr>
              <w:t>0.0</w:t>
            </w:r>
          </w:p>
        </w:tc>
        <w:tc>
          <w:tcPr>
            <w:tcW w:w="1100" w:type="dxa"/>
            <w:tcMar>
              <w:top w:w="80" w:type="dxa"/>
              <w:left w:w="120" w:type="dxa"/>
              <w:bottom w:w="80" w:type="dxa"/>
              <w:right w:w="120" w:type="dxa"/>
            </w:tcMar>
          </w:tcPr>
          <w:p w14:paraId="30AF33D8">
            <w:pPr>
              <w:pStyle w:val="26"/>
            </w:pPr>
            <w:r>
              <w:rPr>
                <w:sz w:val="17"/>
                <w:szCs w:val="17"/>
              </w:rPr>
              <w:t>133</w:t>
            </w:r>
          </w:p>
        </w:tc>
        <w:tc>
          <w:tcPr>
            <w:tcW w:w="4260" w:type="dxa"/>
            <w:tcMar>
              <w:top w:w="80" w:type="dxa"/>
              <w:left w:w="120" w:type="dxa"/>
              <w:bottom w:w="80" w:type="dxa"/>
              <w:right w:w="120" w:type="dxa"/>
            </w:tcMar>
          </w:tcPr>
          <w:p w14:paraId="3DA5FBE1">
            <w:pPr>
              <w:pStyle w:val="26"/>
            </w:pPr>
            <w:r>
              <w:rPr>
                <w:sz w:val="17"/>
                <w:szCs w:val="17"/>
              </w:rPr>
              <w:t>Units billed of an indoor unit</w:t>
            </w:r>
          </w:p>
        </w:tc>
      </w:tr>
      <w:tr w14:paraId="7DFF521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shd w:val="clear" w:color="auto" w:fill="F5F7F7"/>
            <w:tcMar>
              <w:top w:w="80" w:type="dxa"/>
              <w:left w:w="120" w:type="dxa"/>
              <w:bottom w:w="80" w:type="dxa"/>
              <w:right w:w="120" w:type="dxa"/>
            </w:tcMar>
          </w:tcPr>
          <w:p w14:paraId="16F5150E">
            <w:pPr>
              <w:pStyle w:val="26"/>
            </w:pPr>
            <w:r>
              <w:rPr>
                <w:sz w:val="17"/>
                <w:szCs w:val="17"/>
              </w:rPr>
              <w:t>Tonnage</w:t>
            </w:r>
          </w:p>
        </w:tc>
        <w:tc>
          <w:tcPr>
            <w:tcW w:w="900" w:type="dxa"/>
            <w:shd w:val="clear" w:color="auto" w:fill="F5F7F7"/>
            <w:tcMar>
              <w:top w:w="80" w:type="dxa"/>
              <w:left w:w="120" w:type="dxa"/>
              <w:bottom w:w="80" w:type="dxa"/>
              <w:right w:w="120" w:type="dxa"/>
            </w:tcMar>
          </w:tcPr>
          <w:p w14:paraId="2EDD2387">
            <w:pPr>
              <w:pStyle w:val="26"/>
            </w:pPr>
            <w:r>
              <w:rPr>
                <w:sz w:val="17"/>
                <w:szCs w:val="17"/>
              </w:rPr>
              <w:t>numeric</w:t>
            </w:r>
          </w:p>
        </w:tc>
        <w:tc>
          <w:tcPr>
            <w:tcW w:w="1000" w:type="dxa"/>
            <w:shd w:val="clear" w:color="auto" w:fill="F5F7F7"/>
            <w:tcMar>
              <w:top w:w="80" w:type="dxa"/>
              <w:left w:w="120" w:type="dxa"/>
              <w:bottom w:w="80" w:type="dxa"/>
              <w:right w:w="120" w:type="dxa"/>
            </w:tcMar>
          </w:tcPr>
          <w:p w14:paraId="6AB8ED01">
            <w:pPr>
              <w:pStyle w:val="26"/>
            </w:pPr>
            <w:r>
              <w:rPr>
                <w:sz w:val="17"/>
                <w:szCs w:val="17"/>
              </w:rPr>
              <w:t>0.0</w:t>
            </w:r>
          </w:p>
        </w:tc>
        <w:tc>
          <w:tcPr>
            <w:tcW w:w="1100" w:type="dxa"/>
            <w:shd w:val="clear" w:color="auto" w:fill="F5F7F7"/>
            <w:tcMar>
              <w:top w:w="80" w:type="dxa"/>
              <w:left w:w="120" w:type="dxa"/>
              <w:bottom w:w="80" w:type="dxa"/>
              <w:right w:w="120" w:type="dxa"/>
            </w:tcMar>
          </w:tcPr>
          <w:p w14:paraId="1D57C79E">
            <w:pPr>
              <w:pStyle w:val="26"/>
            </w:pPr>
            <w:r>
              <w:rPr>
                <w:sz w:val="17"/>
                <w:szCs w:val="17"/>
              </w:rPr>
              <w:t>9</w:t>
            </w:r>
          </w:p>
        </w:tc>
        <w:tc>
          <w:tcPr>
            <w:tcW w:w="4260" w:type="dxa"/>
            <w:shd w:val="clear" w:color="auto" w:fill="F5F7F7"/>
            <w:tcMar>
              <w:top w:w="80" w:type="dxa"/>
              <w:left w:w="120" w:type="dxa"/>
              <w:bottom w:w="80" w:type="dxa"/>
              <w:right w:w="120" w:type="dxa"/>
            </w:tcMar>
          </w:tcPr>
          <w:p w14:paraId="1B483940">
            <w:pPr>
              <w:pStyle w:val="26"/>
            </w:pPr>
            <w:r>
              <w:rPr>
                <w:sz w:val="17"/>
                <w:szCs w:val="17"/>
              </w:rPr>
              <w:t>Cooling capacity in tons</w:t>
            </w:r>
          </w:p>
        </w:tc>
      </w:tr>
      <w:tr w14:paraId="52A796A4">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tcMar>
              <w:top w:w="80" w:type="dxa"/>
              <w:left w:w="120" w:type="dxa"/>
              <w:bottom w:w="80" w:type="dxa"/>
              <w:right w:w="120" w:type="dxa"/>
            </w:tcMar>
          </w:tcPr>
          <w:p w14:paraId="0514763A">
            <w:pPr>
              <w:pStyle w:val="26"/>
            </w:pPr>
            <w:r>
              <w:rPr>
                <w:sz w:val="17"/>
                <w:szCs w:val="17"/>
              </w:rPr>
              <w:t>Dealer Name</w:t>
            </w:r>
          </w:p>
        </w:tc>
        <w:tc>
          <w:tcPr>
            <w:tcW w:w="900" w:type="dxa"/>
            <w:tcMar>
              <w:top w:w="80" w:type="dxa"/>
              <w:left w:w="120" w:type="dxa"/>
              <w:bottom w:w="80" w:type="dxa"/>
              <w:right w:w="120" w:type="dxa"/>
            </w:tcMar>
          </w:tcPr>
          <w:p w14:paraId="3F9846B3">
            <w:pPr>
              <w:pStyle w:val="26"/>
            </w:pPr>
            <w:r>
              <w:rPr>
                <w:sz w:val="17"/>
                <w:szCs w:val="17"/>
              </w:rPr>
              <w:t>text</w:t>
            </w:r>
          </w:p>
        </w:tc>
        <w:tc>
          <w:tcPr>
            <w:tcW w:w="1000" w:type="dxa"/>
            <w:tcMar>
              <w:top w:w="80" w:type="dxa"/>
              <w:left w:w="120" w:type="dxa"/>
              <w:bottom w:w="80" w:type="dxa"/>
              <w:right w:w="120" w:type="dxa"/>
            </w:tcMar>
          </w:tcPr>
          <w:p w14:paraId="36FF5CD8">
            <w:pPr>
              <w:pStyle w:val="26"/>
            </w:pPr>
            <w:r>
              <w:rPr>
                <w:sz w:val="17"/>
                <w:szCs w:val="17"/>
              </w:rPr>
              <w:t>28.8</w:t>
            </w:r>
          </w:p>
        </w:tc>
        <w:tc>
          <w:tcPr>
            <w:tcW w:w="1100" w:type="dxa"/>
            <w:tcMar>
              <w:top w:w="80" w:type="dxa"/>
              <w:left w:w="120" w:type="dxa"/>
              <w:bottom w:w="80" w:type="dxa"/>
              <w:right w:w="120" w:type="dxa"/>
            </w:tcMar>
          </w:tcPr>
          <w:p w14:paraId="36E5E170">
            <w:pPr>
              <w:pStyle w:val="26"/>
            </w:pPr>
            <w:r>
              <w:rPr>
                <w:sz w:val="17"/>
                <w:szCs w:val="17"/>
              </w:rPr>
              <w:t>510</w:t>
            </w:r>
          </w:p>
        </w:tc>
        <w:tc>
          <w:tcPr>
            <w:tcW w:w="4260" w:type="dxa"/>
            <w:tcMar>
              <w:top w:w="80" w:type="dxa"/>
              <w:left w:w="120" w:type="dxa"/>
              <w:bottom w:w="80" w:type="dxa"/>
              <w:right w:w="120" w:type="dxa"/>
            </w:tcMar>
          </w:tcPr>
          <w:p w14:paraId="412D1D15">
            <w:pPr>
              <w:pStyle w:val="26"/>
            </w:pPr>
            <w:r>
              <w:rPr>
                <w:sz w:val="17"/>
                <w:szCs w:val="17"/>
              </w:rPr>
              <w:t>Channel dealer (masked in this report)</w:t>
            </w:r>
          </w:p>
        </w:tc>
      </w:tr>
      <w:tr w14:paraId="47124B66">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100" w:type="dxa"/>
            <w:shd w:val="clear" w:color="auto" w:fill="F5F7F7"/>
            <w:tcMar>
              <w:top w:w="80" w:type="dxa"/>
              <w:left w:w="120" w:type="dxa"/>
              <w:bottom w:w="80" w:type="dxa"/>
              <w:right w:w="120" w:type="dxa"/>
            </w:tcMar>
          </w:tcPr>
          <w:p w14:paraId="1B24BA41">
            <w:pPr>
              <w:pStyle w:val="26"/>
            </w:pPr>
            <w:r>
              <w:rPr>
                <w:sz w:val="17"/>
                <w:szCs w:val="17"/>
              </w:rPr>
              <w:t>Tonnage.1</w:t>
            </w:r>
          </w:p>
        </w:tc>
        <w:tc>
          <w:tcPr>
            <w:tcW w:w="900" w:type="dxa"/>
            <w:shd w:val="clear" w:color="auto" w:fill="F5F7F7"/>
            <w:tcMar>
              <w:top w:w="80" w:type="dxa"/>
              <w:left w:w="120" w:type="dxa"/>
              <w:bottom w:w="80" w:type="dxa"/>
              <w:right w:w="120" w:type="dxa"/>
            </w:tcMar>
          </w:tcPr>
          <w:p w14:paraId="2B9D9224">
            <w:pPr>
              <w:pStyle w:val="26"/>
            </w:pPr>
            <w:r>
              <w:rPr>
                <w:sz w:val="17"/>
                <w:szCs w:val="17"/>
              </w:rPr>
              <w:t>numeric</w:t>
            </w:r>
          </w:p>
        </w:tc>
        <w:tc>
          <w:tcPr>
            <w:tcW w:w="1000" w:type="dxa"/>
            <w:shd w:val="clear" w:color="auto" w:fill="F5F7F7"/>
            <w:tcMar>
              <w:top w:w="80" w:type="dxa"/>
              <w:left w:w="120" w:type="dxa"/>
              <w:bottom w:w="80" w:type="dxa"/>
              <w:right w:w="120" w:type="dxa"/>
            </w:tcMar>
          </w:tcPr>
          <w:p w14:paraId="19B25C67">
            <w:pPr>
              <w:pStyle w:val="26"/>
            </w:pPr>
            <w:r>
              <w:rPr>
                <w:sz w:val="17"/>
                <w:szCs w:val="17"/>
              </w:rPr>
              <w:t>0.0</w:t>
            </w:r>
          </w:p>
        </w:tc>
        <w:tc>
          <w:tcPr>
            <w:tcW w:w="1100" w:type="dxa"/>
            <w:shd w:val="clear" w:color="auto" w:fill="F5F7F7"/>
            <w:tcMar>
              <w:top w:w="80" w:type="dxa"/>
              <w:left w:w="120" w:type="dxa"/>
              <w:bottom w:w="80" w:type="dxa"/>
              <w:right w:w="120" w:type="dxa"/>
            </w:tcMar>
          </w:tcPr>
          <w:p w14:paraId="61090AAA">
            <w:pPr>
              <w:pStyle w:val="26"/>
            </w:pPr>
            <w:r>
              <w:rPr>
                <w:sz w:val="17"/>
                <w:szCs w:val="17"/>
              </w:rPr>
              <w:t>9</w:t>
            </w:r>
          </w:p>
        </w:tc>
        <w:tc>
          <w:tcPr>
            <w:tcW w:w="4260" w:type="dxa"/>
            <w:shd w:val="clear" w:color="auto" w:fill="F5F7F7"/>
            <w:tcMar>
              <w:top w:w="80" w:type="dxa"/>
              <w:left w:w="120" w:type="dxa"/>
              <w:bottom w:w="80" w:type="dxa"/>
              <w:right w:w="120" w:type="dxa"/>
            </w:tcMar>
          </w:tcPr>
          <w:p w14:paraId="73E3C4B7">
            <w:pPr>
              <w:pStyle w:val="26"/>
            </w:pPr>
            <w:r>
              <w:rPr>
                <w:sz w:val="17"/>
                <w:szCs w:val="17"/>
              </w:rPr>
              <w:t>Duplicate of Tonnage</w:t>
            </w:r>
          </w:p>
        </w:tc>
      </w:tr>
    </w:tbl>
    <w:p w14:paraId="45E259A3">
      <w:pPr>
        <w:pStyle w:val="25"/>
      </w:pPr>
      <w:r>
        <w:t>Source: Sponsor ERP billing extract, July 2022 - June 2024; team analysis. Distinct counts for personal fields are shown; values are not.</w:t>
      </w:r>
    </w:p>
    <w:p w14:paraId="18D8E186">
      <w:pPr>
        <w:pStyle w:val="10"/>
        <w:keepNext/>
      </w:pPr>
      <w:r>
        <w:t>Table B.</w:t>
      </w:r>
      <w:r>
        <w:fldChar w:fldCharType="begin"/>
      </w:r>
      <w:r>
        <w:instrText xml:space="preserve">SEQ Table \* ARABIC \s 1</w:instrText>
      </w:r>
      <w:r>
        <w:fldChar w:fldCharType="separate"/>
      </w:r>
      <w:r>
        <w:t>2</w:t>
      </w:r>
      <w:r>
        <w:fldChar w:fldCharType="end"/>
      </w:r>
      <w:bookmarkStart w:id="106" w:name="_Toc25660"/>
      <w:r>
        <w:t>: Weekly WAPE (%) by backtest fold (fold start date shown)</w:t>
      </w:r>
      <w:bookmarkEnd w:id="106"/>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2560"/>
        <w:gridCol w:w="850"/>
        <w:gridCol w:w="850"/>
        <w:gridCol w:w="850"/>
        <w:gridCol w:w="850"/>
        <w:gridCol w:w="850"/>
        <w:gridCol w:w="850"/>
        <w:gridCol w:w="850"/>
        <w:gridCol w:w="850"/>
      </w:tblGrid>
      <w:tr w14:paraId="3DAA4DE6">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2560" w:type="dxa"/>
            <w:shd w:val="clear" w:color="auto" w:fill="1F3864"/>
            <w:tcMar>
              <w:top w:w="80" w:type="dxa"/>
              <w:left w:w="120" w:type="dxa"/>
              <w:bottom w:w="80" w:type="dxa"/>
              <w:right w:w="120" w:type="dxa"/>
            </w:tcMar>
            <w:vAlign w:val="center"/>
          </w:tcPr>
          <w:p w14:paraId="088D7367">
            <w:pPr>
              <w:pStyle w:val="27"/>
            </w:pPr>
            <w:r>
              <w:rPr>
                <w:sz w:val="17"/>
                <w:szCs w:val="17"/>
              </w:rPr>
              <w:t>Model</w:t>
            </w:r>
          </w:p>
        </w:tc>
        <w:tc>
          <w:tcPr>
            <w:tcW w:w="850" w:type="dxa"/>
            <w:shd w:val="clear" w:color="auto" w:fill="1F3864"/>
            <w:tcMar>
              <w:top w:w="80" w:type="dxa"/>
              <w:left w:w="120" w:type="dxa"/>
              <w:bottom w:w="80" w:type="dxa"/>
              <w:right w:w="120" w:type="dxa"/>
            </w:tcMar>
            <w:vAlign w:val="center"/>
          </w:tcPr>
          <w:p w14:paraId="70B6F572">
            <w:pPr>
              <w:pStyle w:val="27"/>
            </w:pPr>
            <w:r>
              <w:rPr>
                <w:sz w:val="17"/>
                <w:szCs w:val="17"/>
              </w:rPr>
              <w:t>26 Nov 23</w:t>
            </w:r>
          </w:p>
        </w:tc>
        <w:tc>
          <w:tcPr>
            <w:tcW w:w="850" w:type="dxa"/>
            <w:shd w:val="clear" w:color="auto" w:fill="1F3864"/>
            <w:tcMar>
              <w:top w:w="80" w:type="dxa"/>
              <w:left w:w="120" w:type="dxa"/>
              <w:bottom w:w="80" w:type="dxa"/>
              <w:right w:w="120" w:type="dxa"/>
            </w:tcMar>
            <w:vAlign w:val="center"/>
          </w:tcPr>
          <w:p w14:paraId="6EE00E37">
            <w:pPr>
              <w:pStyle w:val="27"/>
            </w:pPr>
            <w:r>
              <w:rPr>
                <w:sz w:val="17"/>
                <w:szCs w:val="17"/>
              </w:rPr>
              <w:t>24 Dec 23</w:t>
            </w:r>
          </w:p>
        </w:tc>
        <w:tc>
          <w:tcPr>
            <w:tcW w:w="850" w:type="dxa"/>
            <w:shd w:val="clear" w:color="auto" w:fill="1F3864"/>
            <w:tcMar>
              <w:top w:w="80" w:type="dxa"/>
              <w:left w:w="120" w:type="dxa"/>
              <w:bottom w:w="80" w:type="dxa"/>
              <w:right w:w="120" w:type="dxa"/>
            </w:tcMar>
            <w:vAlign w:val="center"/>
          </w:tcPr>
          <w:p w14:paraId="56F5999B">
            <w:pPr>
              <w:pStyle w:val="27"/>
            </w:pPr>
            <w:r>
              <w:rPr>
                <w:sz w:val="17"/>
                <w:szCs w:val="17"/>
              </w:rPr>
              <w:t>21 Jan 24</w:t>
            </w:r>
          </w:p>
        </w:tc>
        <w:tc>
          <w:tcPr>
            <w:tcW w:w="850" w:type="dxa"/>
            <w:shd w:val="clear" w:color="auto" w:fill="1F3864"/>
            <w:tcMar>
              <w:top w:w="80" w:type="dxa"/>
              <w:left w:w="120" w:type="dxa"/>
              <w:bottom w:w="80" w:type="dxa"/>
              <w:right w:w="120" w:type="dxa"/>
            </w:tcMar>
            <w:vAlign w:val="center"/>
          </w:tcPr>
          <w:p w14:paraId="43D10A74">
            <w:pPr>
              <w:pStyle w:val="27"/>
            </w:pPr>
            <w:r>
              <w:rPr>
                <w:sz w:val="17"/>
                <w:szCs w:val="17"/>
              </w:rPr>
              <w:t>18 Feb 24</w:t>
            </w:r>
          </w:p>
        </w:tc>
        <w:tc>
          <w:tcPr>
            <w:tcW w:w="850" w:type="dxa"/>
            <w:shd w:val="clear" w:color="auto" w:fill="1F3864"/>
            <w:tcMar>
              <w:top w:w="80" w:type="dxa"/>
              <w:left w:w="120" w:type="dxa"/>
              <w:bottom w:w="80" w:type="dxa"/>
              <w:right w:w="120" w:type="dxa"/>
            </w:tcMar>
            <w:vAlign w:val="center"/>
          </w:tcPr>
          <w:p w14:paraId="5ABBBDB9">
            <w:pPr>
              <w:pStyle w:val="27"/>
            </w:pPr>
            <w:r>
              <w:rPr>
                <w:sz w:val="17"/>
                <w:szCs w:val="17"/>
              </w:rPr>
              <w:t>17 Mar 24</w:t>
            </w:r>
          </w:p>
        </w:tc>
        <w:tc>
          <w:tcPr>
            <w:tcW w:w="850" w:type="dxa"/>
            <w:shd w:val="clear" w:color="auto" w:fill="1F3864"/>
            <w:tcMar>
              <w:top w:w="80" w:type="dxa"/>
              <w:left w:w="120" w:type="dxa"/>
              <w:bottom w:w="80" w:type="dxa"/>
              <w:right w:w="120" w:type="dxa"/>
            </w:tcMar>
            <w:vAlign w:val="center"/>
          </w:tcPr>
          <w:p w14:paraId="4D3313B1">
            <w:pPr>
              <w:pStyle w:val="27"/>
            </w:pPr>
            <w:r>
              <w:rPr>
                <w:sz w:val="17"/>
                <w:szCs w:val="17"/>
              </w:rPr>
              <w:t>14 Apr 24</w:t>
            </w:r>
          </w:p>
        </w:tc>
        <w:tc>
          <w:tcPr>
            <w:tcW w:w="850" w:type="dxa"/>
            <w:shd w:val="clear" w:color="auto" w:fill="1F3864"/>
            <w:tcMar>
              <w:top w:w="80" w:type="dxa"/>
              <w:left w:w="120" w:type="dxa"/>
              <w:bottom w:w="80" w:type="dxa"/>
              <w:right w:w="120" w:type="dxa"/>
            </w:tcMar>
            <w:vAlign w:val="center"/>
          </w:tcPr>
          <w:p w14:paraId="10C58CAF">
            <w:pPr>
              <w:pStyle w:val="27"/>
            </w:pPr>
            <w:r>
              <w:rPr>
                <w:sz w:val="17"/>
                <w:szCs w:val="17"/>
              </w:rPr>
              <w:t>12 May 24</w:t>
            </w:r>
          </w:p>
        </w:tc>
        <w:tc>
          <w:tcPr>
            <w:tcW w:w="850" w:type="dxa"/>
            <w:shd w:val="clear" w:color="auto" w:fill="1F3864"/>
            <w:tcMar>
              <w:top w:w="80" w:type="dxa"/>
              <w:left w:w="120" w:type="dxa"/>
              <w:bottom w:w="80" w:type="dxa"/>
              <w:right w:w="120" w:type="dxa"/>
            </w:tcMar>
            <w:vAlign w:val="center"/>
          </w:tcPr>
          <w:p w14:paraId="5ADB8E45">
            <w:pPr>
              <w:pStyle w:val="27"/>
            </w:pPr>
            <w:r>
              <w:rPr>
                <w:sz w:val="17"/>
                <w:szCs w:val="17"/>
              </w:rPr>
              <w:t>09 Jun 24</w:t>
            </w:r>
          </w:p>
        </w:tc>
      </w:tr>
      <w:tr w14:paraId="6A3CB1F4">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tcMar>
              <w:top w:w="80" w:type="dxa"/>
              <w:left w:w="120" w:type="dxa"/>
              <w:bottom w:w="80" w:type="dxa"/>
              <w:right w:w="120" w:type="dxa"/>
            </w:tcMar>
          </w:tcPr>
          <w:p w14:paraId="6B6B29B1">
            <w:pPr>
              <w:pStyle w:val="26"/>
            </w:pPr>
            <w:r>
              <w:rPr>
                <w:b/>
                <w:bCs/>
                <w:color w:val="1F3864"/>
                <w:sz w:val="17"/>
                <w:szCs w:val="17"/>
              </w:rPr>
              <w:t>LightGBM</w:t>
            </w:r>
          </w:p>
        </w:tc>
        <w:tc>
          <w:tcPr>
            <w:tcW w:w="850" w:type="dxa"/>
            <w:tcMar>
              <w:top w:w="80" w:type="dxa"/>
              <w:left w:w="120" w:type="dxa"/>
              <w:bottom w:w="80" w:type="dxa"/>
              <w:right w:w="120" w:type="dxa"/>
            </w:tcMar>
          </w:tcPr>
          <w:p w14:paraId="72557698">
            <w:pPr>
              <w:pStyle w:val="26"/>
            </w:pPr>
            <w:r>
              <w:rPr>
                <w:sz w:val="17"/>
                <w:szCs w:val="17"/>
              </w:rPr>
              <w:t>95</w:t>
            </w:r>
          </w:p>
        </w:tc>
        <w:tc>
          <w:tcPr>
            <w:tcW w:w="850" w:type="dxa"/>
            <w:tcMar>
              <w:top w:w="80" w:type="dxa"/>
              <w:left w:w="120" w:type="dxa"/>
              <w:bottom w:w="80" w:type="dxa"/>
              <w:right w:w="120" w:type="dxa"/>
            </w:tcMar>
          </w:tcPr>
          <w:p w14:paraId="166C7ABB">
            <w:pPr>
              <w:pStyle w:val="26"/>
            </w:pPr>
            <w:r>
              <w:rPr>
                <w:sz w:val="17"/>
                <w:szCs w:val="17"/>
              </w:rPr>
              <w:t>94</w:t>
            </w:r>
          </w:p>
        </w:tc>
        <w:tc>
          <w:tcPr>
            <w:tcW w:w="850" w:type="dxa"/>
            <w:tcMar>
              <w:top w:w="80" w:type="dxa"/>
              <w:left w:w="120" w:type="dxa"/>
              <w:bottom w:w="80" w:type="dxa"/>
              <w:right w:w="120" w:type="dxa"/>
            </w:tcMar>
          </w:tcPr>
          <w:p w14:paraId="57BDBD4E">
            <w:pPr>
              <w:pStyle w:val="26"/>
            </w:pPr>
            <w:r>
              <w:rPr>
                <w:sz w:val="17"/>
                <w:szCs w:val="17"/>
              </w:rPr>
              <w:t>82</w:t>
            </w:r>
          </w:p>
        </w:tc>
        <w:tc>
          <w:tcPr>
            <w:tcW w:w="850" w:type="dxa"/>
            <w:tcMar>
              <w:top w:w="80" w:type="dxa"/>
              <w:left w:w="120" w:type="dxa"/>
              <w:bottom w:w="80" w:type="dxa"/>
              <w:right w:w="120" w:type="dxa"/>
            </w:tcMar>
          </w:tcPr>
          <w:p w14:paraId="50C3C1F9">
            <w:pPr>
              <w:pStyle w:val="26"/>
            </w:pPr>
            <w:r>
              <w:rPr>
                <w:sz w:val="17"/>
                <w:szCs w:val="17"/>
              </w:rPr>
              <w:t>77</w:t>
            </w:r>
          </w:p>
        </w:tc>
        <w:tc>
          <w:tcPr>
            <w:tcW w:w="850" w:type="dxa"/>
            <w:tcMar>
              <w:top w:w="80" w:type="dxa"/>
              <w:left w:w="120" w:type="dxa"/>
              <w:bottom w:w="80" w:type="dxa"/>
              <w:right w:w="120" w:type="dxa"/>
            </w:tcMar>
          </w:tcPr>
          <w:p w14:paraId="488CE3B5">
            <w:pPr>
              <w:pStyle w:val="26"/>
            </w:pPr>
            <w:r>
              <w:rPr>
                <w:sz w:val="17"/>
                <w:szCs w:val="17"/>
              </w:rPr>
              <w:t>65</w:t>
            </w:r>
          </w:p>
        </w:tc>
        <w:tc>
          <w:tcPr>
            <w:tcW w:w="850" w:type="dxa"/>
            <w:tcMar>
              <w:top w:w="80" w:type="dxa"/>
              <w:left w:w="120" w:type="dxa"/>
              <w:bottom w:w="80" w:type="dxa"/>
              <w:right w:w="120" w:type="dxa"/>
            </w:tcMar>
          </w:tcPr>
          <w:p w14:paraId="0EA40B14">
            <w:pPr>
              <w:pStyle w:val="26"/>
            </w:pPr>
            <w:r>
              <w:rPr>
                <w:sz w:val="17"/>
                <w:szCs w:val="17"/>
              </w:rPr>
              <w:t>82</w:t>
            </w:r>
          </w:p>
        </w:tc>
        <w:tc>
          <w:tcPr>
            <w:tcW w:w="850" w:type="dxa"/>
            <w:tcMar>
              <w:top w:w="80" w:type="dxa"/>
              <w:left w:w="120" w:type="dxa"/>
              <w:bottom w:w="80" w:type="dxa"/>
              <w:right w:w="120" w:type="dxa"/>
            </w:tcMar>
          </w:tcPr>
          <w:p w14:paraId="221A8EE5">
            <w:pPr>
              <w:pStyle w:val="26"/>
            </w:pPr>
            <w:r>
              <w:rPr>
                <w:sz w:val="17"/>
                <w:szCs w:val="17"/>
              </w:rPr>
              <w:t>144</w:t>
            </w:r>
          </w:p>
        </w:tc>
        <w:tc>
          <w:tcPr>
            <w:tcW w:w="850" w:type="dxa"/>
            <w:tcMar>
              <w:top w:w="80" w:type="dxa"/>
              <w:left w:w="120" w:type="dxa"/>
              <w:bottom w:w="80" w:type="dxa"/>
              <w:right w:w="120" w:type="dxa"/>
            </w:tcMar>
          </w:tcPr>
          <w:p w14:paraId="03367E6F">
            <w:pPr>
              <w:pStyle w:val="26"/>
            </w:pPr>
            <w:r>
              <w:rPr>
                <w:sz w:val="17"/>
                <w:szCs w:val="17"/>
              </w:rPr>
              <w:t>94</w:t>
            </w:r>
          </w:p>
        </w:tc>
      </w:tr>
      <w:tr w14:paraId="0B99602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shd w:val="clear" w:color="auto" w:fill="F5F7F7"/>
            <w:tcMar>
              <w:top w:w="80" w:type="dxa"/>
              <w:left w:w="120" w:type="dxa"/>
              <w:bottom w:w="80" w:type="dxa"/>
              <w:right w:w="120" w:type="dxa"/>
            </w:tcMar>
          </w:tcPr>
          <w:p w14:paraId="23AE1C70">
            <w:pPr>
              <w:pStyle w:val="26"/>
            </w:pPr>
            <w:r>
              <w:rPr>
                <w:b/>
                <w:bCs/>
                <w:color w:val="1F3864"/>
                <w:sz w:val="17"/>
                <w:szCs w:val="17"/>
              </w:rPr>
              <w:t>Ensemble (LightGBM + Seasonal SBA)</w:t>
            </w:r>
          </w:p>
        </w:tc>
        <w:tc>
          <w:tcPr>
            <w:tcW w:w="850" w:type="dxa"/>
            <w:shd w:val="clear" w:color="auto" w:fill="F5F7F7"/>
            <w:tcMar>
              <w:top w:w="80" w:type="dxa"/>
              <w:left w:w="120" w:type="dxa"/>
              <w:bottom w:w="80" w:type="dxa"/>
              <w:right w:w="120" w:type="dxa"/>
            </w:tcMar>
          </w:tcPr>
          <w:p w14:paraId="0E12F910">
            <w:pPr>
              <w:pStyle w:val="26"/>
            </w:pPr>
            <w:r>
              <w:rPr>
                <w:sz w:val="17"/>
                <w:szCs w:val="17"/>
              </w:rPr>
              <w:t>124</w:t>
            </w:r>
          </w:p>
        </w:tc>
        <w:tc>
          <w:tcPr>
            <w:tcW w:w="850" w:type="dxa"/>
            <w:shd w:val="clear" w:color="auto" w:fill="F5F7F7"/>
            <w:tcMar>
              <w:top w:w="80" w:type="dxa"/>
              <w:left w:w="120" w:type="dxa"/>
              <w:bottom w:w="80" w:type="dxa"/>
              <w:right w:w="120" w:type="dxa"/>
            </w:tcMar>
          </w:tcPr>
          <w:p w14:paraId="7AEB2564">
            <w:pPr>
              <w:pStyle w:val="26"/>
            </w:pPr>
            <w:r>
              <w:rPr>
                <w:sz w:val="17"/>
                <w:szCs w:val="17"/>
              </w:rPr>
              <w:t>111</w:t>
            </w:r>
          </w:p>
        </w:tc>
        <w:tc>
          <w:tcPr>
            <w:tcW w:w="850" w:type="dxa"/>
            <w:shd w:val="clear" w:color="auto" w:fill="F5F7F7"/>
            <w:tcMar>
              <w:top w:w="80" w:type="dxa"/>
              <w:left w:w="120" w:type="dxa"/>
              <w:bottom w:w="80" w:type="dxa"/>
              <w:right w:w="120" w:type="dxa"/>
            </w:tcMar>
          </w:tcPr>
          <w:p w14:paraId="6D50F145">
            <w:pPr>
              <w:pStyle w:val="26"/>
            </w:pPr>
            <w:r>
              <w:rPr>
                <w:sz w:val="17"/>
                <w:szCs w:val="17"/>
              </w:rPr>
              <w:t>91</w:t>
            </w:r>
          </w:p>
        </w:tc>
        <w:tc>
          <w:tcPr>
            <w:tcW w:w="850" w:type="dxa"/>
            <w:shd w:val="clear" w:color="auto" w:fill="F5F7F7"/>
            <w:tcMar>
              <w:top w:w="80" w:type="dxa"/>
              <w:left w:w="120" w:type="dxa"/>
              <w:bottom w:w="80" w:type="dxa"/>
              <w:right w:w="120" w:type="dxa"/>
            </w:tcMar>
          </w:tcPr>
          <w:p w14:paraId="0A69D4CF">
            <w:pPr>
              <w:pStyle w:val="26"/>
            </w:pPr>
            <w:r>
              <w:rPr>
                <w:sz w:val="17"/>
                <w:szCs w:val="17"/>
              </w:rPr>
              <w:t>82</w:t>
            </w:r>
          </w:p>
        </w:tc>
        <w:tc>
          <w:tcPr>
            <w:tcW w:w="850" w:type="dxa"/>
            <w:shd w:val="clear" w:color="auto" w:fill="F5F7F7"/>
            <w:tcMar>
              <w:top w:w="80" w:type="dxa"/>
              <w:left w:w="120" w:type="dxa"/>
              <w:bottom w:w="80" w:type="dxa"/>
              <w:right w:w="120" w:type="dxa"/>
            </w:tcMar>
          </w:tcPr>
          <w:p w14:paraId="700946F6">
            <w:pPr>
              <w:pStyle w:val="26"/>
            </w:pPr>
            <w:r>
              <w:rPr>
                <w:sz w:val="17"/>
                <w:szCs w:val="17"/>
              </w:rPr>
              <w:t>71</w:t>
            </w:r>
          </w:p>
        </w:tc>
        <w:tc>
          <w:tcPr>
            <w:tcW w:w="850" w:type="dxa"/>
            <w:shd w:val="clear" w:color="auto" w:fill="F5F7F7"/>
            <w:tcMar>
              <w:top w:w="80" w:type="dxa"/>
              <w:left w:w="120" w:type="dxa"/>
              <w:bottom w:w="80" w:type="dxa"/>
              <w:right w:w="120" w:type="dxa"/>
            </w:tcMar>
          </w:tcPr>
          <w:p w14:paraId="54215CDA">
            <w:pPr>
              <w:pStyle w:val="26"/>
            </w:pPr>
            <w:r>
              <w:rPr>
                <w:sz w:val="17"/>
                <w:szCs w:val="17"/>
              </w:rPr>
              <w:t>85</w:t>
            </w:r>
          </w:p>
        </w:tc>
        <w:tc>
          <w:tcPr>
            <w:tcW w:w="850" w:type="dxa"/>
            <w:shd w:val="clear" w:color="auto" w:fill="F5F7F7"/>
            <w:tcMar>
              <w:top w:w="80" w:type="dxa"/>
              <w:left w:w="120" w:type="dxa"/>
              <w:bottom w:w="80" w:type="dxa"/>
              <w:right w:w="120" w:type="dxa"/>
            </w:tcMar>
          </w:tcPr>
          <w:p w14:paraId="23DE1C4D">
            <w:pPr>
              <w:pStyle w:val="26"/>
            </w:pPr>
            <w:r>
              <w:rPr>
                <w:sz w:val="17"/>
                <w:szCs w:val="17"/>
              </w:rPr>
              <w:t>137</w:t>
            </w:r>
          </w:p>
        </w:tc>
        <w:tc>
          <w:tcPr>
            <w:tcW w:w="850" w:type="dxa"/>
            <w:shd w:val="clear" w:color="auto" w:fill="F5F7F7"/>
            <w:tcMar>
              <w:top w:w="80" w:type="dxa"/>
              <w:left w:w="120" w:type="dxa"/>
              <w:bottom w:w="80" w:type="dxa"/>
              <w:right w:w="120" w:type="dxa"/>
            </w:tcMar>
          </w:tcPr>
          <w:p w14:paraId="481EF733">
            <w:pPr>
              <w:pStyle w:val="26"/>
            </w:pPr>
            <w:r>
              <w:rPr>
                <w:sz w:val="17"/>
                <w:szCs w:val="17"/>
              </w:rPr>
              <w:t>145</w:t>
            </w:r>
          </w:p>
        </w:tc>
      </w:tr>
      <w:tr w14:paraId="56F8A2C7">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tcMar>
              <w:top w:w="80" w:type="dxa"/>
              <w:left w:w="120" w:type="dxa"/>
              <w:bottom w:w="80" w:type="dxa"/>
              <w:right w:w="120" w:type="dxa"/>
            </w:tcMar>
          </w:tcPr>
          <w:p w14:paraId="2EF054AF">
            <w:pPr>
              <w:pStyle w:val="26"/>
            </w:pPr>
            <w:r>
              <w:rPr>
                <w:b/>
                <w:bCs/>
                <w:color w:val="1F3864"/>
                <w:sz w:val="17"/>
                <w:szCs w:val="17"/>
              </w:rPr>
              <w:t>SES</w:t>
            </w:r>
          </w:p>
        </w:tc>
        <w:tc>
          <w:tcPr>
            <w:tcW w:w="850" w:type="dxa"/>
            <w:tcMar>
              <w:top w:w="80" w:type="dxa"/>
              <w:left w:w="120" w:type="dxa"/>
              <w:bottom w:w="80" w:type="dxa"/>
              <w:right w:w="120" w:type="dxa"/>
            </w:tcMar>
          </w:tcPr>
          <w:p w14:paraId="45438761">
            <w:pPr>
              <w:pStyle w:val="26"/>
            </w:pPr>
            <w:r>
              <w:rPr>
                <w:sz w:val="17"/>
                <w:szCs w:val="17"/>
              </w:rPr>
              <w:t>103</w:t>
            </w:r>
          </w:p>
        </w:tc>
        <w:tc>
          <w:tcPr>
            <w:tcW w:w="850" w:type="dxa"/>
            <w:tcMar>
              <w:top w:w="80" w:type="dxa"/>
              <w:left w:w="120" w:type="dxa"/>
              <w:bottom w:w="80" w:type="dxa"/>
              <w:right w:w="120" w:type="dxa"/>
            </w:tcMar>
          </w:tcPr>
          <w:p w14:paraId="1995C376">
            <w:pPr>
              <w:pStyle w:val="26"/>
            </w:pPr>
            <w:r>
              <w:rPr>
                <w:sz w:val="17"/>
                <w:szCs w:val="17"/>
              </w:rPr>
              <w:t>107</w:t>
            </w:r>
          </w:p>
        </w:tc>
        <w:tc>
          <w:tcPr>
            <w:tcW w:w="850" w:type="dxa"/>
            <w:tcMar>
              <w:top w:w="80" w:type="dxa"/>
              <w:left w:w="120" w:type="dxa"/>
              <w:bottom w:w="80" w:type="dxa"/>
              <w:right w:w="120" w:type="dxa"/>
            </w:tcMar>
          </w:tcPr>
          <w:p w14:paraId="5A225A53">
            <w:pPr>
              <w:pStyle w:val="26"/>
            </w:pPr>
            <w:r>
              <w:rPr>
                <w:sz w:val="17"/>
                <w:szCs w:val="17"/>
              </w:rPr>
              <w:t>94</w:t>
            </w:r>
          </w:p>
        </w:tc>
        <w:tc>
          <w:tcPr>
            <w:tcW w:w="850" w:type="dxa"/>
            <w:tcMar>
              <w:top w:w="80" w:type="dxa"/>
              <w:left w:w="120" w:type="dxa"/>
              <w:bottom w:w="80" w:type="dxa"/>
              <w:right w:w="120" w:type="dxa"/>
            </w:tcMar>
          </w:tcPr>
          <w:p w14:paraId="2C7C6E46">
            <w:pPr>
              <w:pStyle w:val="26"/>
            </w:pPr>
            <w:r>
              <w:rPr>
                <w:sz w:val="17"/>
                <w:szCs w:val="17"/>
              </w:rPr>
              <w:t>73</w:t>
            </w:r>
          </w:p>
        </w:tc>
        <w:tc>
          <w:tcPr>
            <w:tcW w:w="850" w:type="dxa"/>
            <w:tcMar>
              <w:top w:w="80" w:type="dxa"/>
              <w:left w:w="120" w:type="dxa"/>
              <w:bottom w:w="80" w:type="dxa"/>
              <w:right w:w="120" w:type="dxa"/>
            </w:tcMar>
          </w:tcPr>
          <w:p w14:paraId="52001E64">
            <w:pPr>
              <w:pStyle w:val="26"/>
            </w:pPr>
            <w:r>
              <w:rPr>
                <w:sz w:val="17"/>
                <w:szCs w:val="17"/>
              </w:rPr>
              <w:t>66</w:t>
            </w:r>
          </w:p>
        </w:tc>
        <w:tc>
          <w:tcPr>
            <w:tcW w:w="850" w:type="dxa"/>
            <w:tcMar>
              <w:top w:w="80" w:type="dxa"/>
              <w:left w:w="120" w:type="dxa"/>
              <w:bottom w:w="80" w:type="dxa"/>
              <w:right w:w="120" w:type="dxa"/>
            </w:tcMar>
          </w:tcPr>
          <w:p w14:paraId="78392163">
            <w:pPr>
              <w:pStyle w:val="26"/>
            </w:pPr>
            <w:r>
              <w:rPr>
                <w:sz w:val="17"/>
                <w:szCs w:val="17"/>
              </w:rPr>
              <w:t>82</w:t>
            </w:r>
          </w:p>
        </w:tc>
        <w:tc>
          <w:tcPr>
            <w:tcW w:w="850" w:type="dxa"/>
            <w:tcMar>
              <w:top w:w="80" w:type="dxa"/>
              <w:left w:w="120" w:type="dxa"/>
              <w:bottom w:w="80" w:type="dxa"/>
              <w:right w:w="120" w:type="dxa"/>
            </w:tcMar>
          </w:tcPr>
          <w:p w14:paraId="0CE26816">
            <w:pPr>
              <w:pStyle w:val="26"/>
            </w:pPr>
            <w:r>
              <w:rPr>
                <w:sz w:val="17"/>
                <w:szCs w:val="17"/>
              </w:rPr>
              <w:t>197</w:t>
            </w:r>
          </w:p>
        </w:tc>
        <w:tc>
          <w:tcPr>
            <w:tcW w:w="850" w:type="dxa"/>
            <w:tcMar>
              <w:top w:w="80" w:type="dxa"/>
              <w:left w:w="120" w:type="dxa"/>
              <w:bottom w:w="80" w:type="dxa"/>
              <w:right w:w="120" w:type="dxa"/>
            </w:tcMar>
          </w:tcPr>
          <w:p w14:paraId="4A219AC9">
            <w:pPr>
              <w:pStyle w:val="26"/>
            </w:pPr>
            <w:r>
              <w:rPr>
                <w:sz w:val="17"/>
                <w:szCs w:val="17"/>
              </w:rPr>
              <w:t>250</w:t>
            </w:r>
          </w:p>
        </w:tc>
      </w:tr>
      <w:tr w14:paraId="7287731A">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shd w:val="clear" w:color="auto" w:fill="F5F7F7"/>
            <w:tcMar>
              <w:top w:w="80" w:type="dxa"/>
              <w:left w:w="120" w:type="dxa"/>
              <w:bottom w:w="80" w:type="dxa"/>
              <w:right w:w="120" w:type="dxa"/>
            </w:tcMar>
          </w:tcPr>
          <w:p w14:paraId="4694C1B1">
            <w:pPr>
              <w:pStyle w:val="26"/>
            </w:pPr>
            <w:r>
              <w:rPr>
                <w:b/>
                <w:bCs/>
                <w:color w:val="1F3864"/>
                <w:sz w:val="17"/>
                <w:szCs w:val="17"/>
              </w:rPr>
              <w:t>Naive</w:t>
            </w:r>
          </w:p>
        </w:tc>
        <w:tc>
          <w:tcPr>
            <w:tcW w:w="850" w:type="dxa"/>
            <w:shd w:val="clear" w:color="auto" w:fill="F5F7F7"/>
            <w:tcMar>
              <w:top w:w="80" w:type="dxa"/>
              <w:left w:w="120" w:type="dxa"/>
              <w:bottom w:w="80" w:type="dxa"/>
              <w:right w:w="120" w:type="dxa"/>
            </w:tcMar>
          </w:tcPr>
          <w:p w14:paraId="79739983">
            <w:pPr>
              <w:pStyle w:val="26"/>
            </w:pPr>
            <w:r>
              <w:rPr>
                <w:sz w:val="17"/>
                <w:szCs w:val="17"/>
              </w:rPr>
              <w:t>100</w:t>
            </w:r>
          </w:p>
        </w:tc>
        <w:tc>
          <w:tcPr>
            <w:tcW w:w="850" w:type="dxa"/>
            <w:shd w:val="clear" w:color="auto" w:fill="F5F7F7"/>
            <w:tcMar>
              <w:top w:w="80" w:type="dxa"/>
              <w:left w:w="120" w:type="dxa"/>
              <w:bottom w:w="80" w:type="dxa"/>
              <w:right w:w="120" w:type="dxa"/>
            </w:tcMar>
          </w:tcPr>
          <w:p w14:paraId="4A4BEE0B">
            <w:pPr>
              <w:pStyle w:val="26"/>
            </w:pPr>
            <w:r>
              <w:rPr>
                <w:sz w:val="17"/>
                <w:szCs w:val="17"/>
              </w:rPr>
              <w:t>150</w:t>
            </w:r>
          </w:p>
        </w:tc>
        <w:tc>
          <w:tcPr>
            <w:tcW w:w="850" w:type="dxa"/>
            <w:shd w:val="clear" w:color="auto" w:fill="F5F7F7"/>
            <w:tcMar>
              <w:top w:w="80" w:type="dxa"/>
              <w:left w:w="120" w:type="dxa"/>
              <w:bottom w:w="80" w:type="dxa"/>
              <w:right w:w="120" w:type="dxa"/>
            </w:tcMar>
          </w:tcPr>
          <w:p w14:paraId="5D9117A7">
            <w:pPr>
              <w:pStyle w:val="26"/>
            </w:pPr>
            <w:r>
              <w:rPr>
                <w:sz w:val="17"/>
                <w:szCs w:val="17"/>
              </w:rPr>
              <w:t>95</w:t>
            </w:r>
          </w:p>
        </w:tc>
        <w:tc>
          <w:tcPr>
            <w:tcW w:w="850" w:type="dxa"/>
            <w:shd w:val="clear" w:color="auto" w:fill="F5F7F7"/>
            <w:tcMar>
              <w:top w:w="80" w:type="dxa"/>
              <w:left w:w="120" w:type="dxa"/>
              <w:bottom w:w="80" w:type="dxa"/>
              <w:right w:w="120" w:type="dxa"/>
            </w:tcMar>
          </w:tcPr>
          <w:p w14:paraId="020CC30F">
            <w:pPr>
              <w:pStyle w:val="26"/>
            </w:pPr>
            <w:r>
              <w:rPr>
                <w:sz w:val="17"/>
                <w:szCs w:val="17"/>
              </w:rPr>
              <w:t>75</w:t>
            </w:r>
          </w:p>
        </w:tc>
        <w:tc>
          <w:tcPr>
            <w:tcW w:w="850" w:type="dxa"/>
            <w:shd w:val="clear" w:color="auto" w:fill="F5F7F7"/>
            <w:tcMar>
              <w:top w:w="80" w:type="dxa"/>
              <w:left w:w="120" w:type="dxa"/>
              <w:bottom w:w="80" w:type="dxa"/>
              <w:right w:w="120" w:type="dxa"/>
            </w:tcMar>
          </w:tcPr>
          <w:p w14:paraId="0A4BCBF1">
            <w:pPr>
              <w:pStyle w:val="26"/>
            </w:pPr>
            <w:r>
              <w:rPr>
                <w:sz w:val="17"/>
                <w:szCs w:val="17"/>
              </w:rPr>
              <w:t>88</w:t>
            </w:r>
          </w:p>
        </w:tc>
        <w:tc>
          <w:tcPr>
            <w:tcW w:w="850" w:type="dxa"/>
            <w:shd w:val="clear" w:color="auto" w:fill="F5F7F7"/>
            <w:tcMar>
              <w:top w:w="80" w:type="dxa"/>
              <w:left w:w="120" w:type="dxa"/>
              <w:bottom w:w="80" w:type="dxa"/>
              <w:right w:w="120" w:type="dxa"/>
            </w:tcMar>
          </w:tcPr>
          <w:p w14:paraId="0493F825">
            <w:pPr>
              <w:pStyle w:val="26"/>
            </w:pPr>
            <w:r>
              <w:rPr>
                <w:sz w:val="17"/>
                <w:szCs w:val="17"/>
              </w:rPr>
              <w:t>88</w:t>
            </w:r>
          </w:p>
        </w:tc>
        <w:tc>
          <w:tcPr>
            <w:tcW w:w="850" w:type="dxa"/>
            <w:shd w:val="clear" w:color="auto" w:fill="F5F7F7"/>
            <w:tcMar>
              <w:top w:w="80" w:type="dxa"/>
              <w:left w:w="120" w:type="dxa"/>
              <w:bottom w:w="80" w:type="dxa"/>
              <w:right w:w="120" w:type="dxa"/>
            </w:tcMar>
          </w:tcPr>
          <w:p w14:paraId="6E49EEE3">
            <w:pPr>
              <w:pStyle w:val="26"/>
            </w:pPr>
            <w:r>
              <w:rPr>
                <w:sz w:val="17"/>
                <w:szCs w:val="17"/>
              </w:rPr>
              <w:t>150</w:t>
            </w:r>
          </w:p>
        </w:tc>
        <w:tc>
          <w:tcPr>
            <w:tcW w:w="850" w:type="dxa"/>
            <w:shd w:val="clear" w:color="auto" w:fill="F5F7F7"/>
            <w:tcMar>
              <w:top w:w="80" w:type="dxa"/>
              <w:left w:w="120" w:type="dxa"/>
              <w:bottom w:w="80" w:type="dxa"/>
              <w:right w:w="120" w:type="dxa"/>
            </w:tcMar>
          </w:tcPr>
          <w:p w14:paraId="22F19BAE">
            <w:pPr>
              <w:pStyle w:val="26"/>
            </w:pPr>
            <w:r>
              <w:rPr>
                <w:sz w:val="17"/>
                <w:szCs w:val="17"/>
              </w:rPr>
              <w:t>131</w:t>
            </w:r>
          </w:p>
        </w:tc>
      </w:tr>
      <w:tr w14:paraId="55512E19">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tcMar>
              <w:top w:w="80" w:type="dxa"/>
              <w:left w:w="120" w:type="dxa"/>
              <w:bottom w:w="80" w:type="dxa"/>
              <w:right w:w="120" w:type="dxa"/>
            </w:tcMar>
          </w:tcPr>
          <w:p w14:paraId="1095CEE8">
            <w:pPr>
              <w:pStyle w:val="26"/>
            </w:pPr>
            <w:r>
              <w:rPr>
                <w:b/>
                <w:bCs/>
                <w:color w:val="1F3864"/>
                <w:sz w:val="17"/>
                <w:szCs w:val="17"/>
              </w:rPr>
              <w:t>Random Forest</w:t>
            </w:r>
          </w:p>
        </w:tc>
        <w:tc>
          <w:tcPr>
            <w:tcW w:w="850" w:type="dxa"/>
            <w:tcMar>
              <w:top w:w="80" w:type="dxa"/>
              <w:left w:w="120" w:type="dxa"/>
              <w:bottom w:w="80" w:type="dxa"/>
              <w:right w:w="120" w:type="dxa"/>
            </w:tcMar>
          </w:tcPr>
          <w:p w14:paraId="6C23459A">
            <w:pPr>
              <w:pStyle w:val="26"/>
            </w:pPr>
            <w:r>
              <w:rPr>
                <w:sz w:val="17"/>
                <w:szCs w:val="17"/>
              </w:rPr>
              <w:t>120</w:t>
            </w:r>
          </w:p>
        </w:tc>
        <w:tc>
          <w:tcPr>
            <w:tcW w:w="850" w:type="dxa"/>
            <w:tcMar>
              <w:top w:w="80" w:type="dxa"/>
              <w:left w:w="120" w:type="dxa"/>
              <w:bottom w:w="80" w:type="dxa"/>
              <w:right w:w="120" w:type="dxa"/>
            </w:tcMar>
          </w:tcPr>
          <w:p w14:paraId="6836EEDD">
            <w:pPr>
              <w:pStyle w:val="26"/>
            </w:pPr>
            <w:r>
              <w:rPr>
                <w:sz w:val="17"/>
                <w:szCs w:val="17"/>
              </w:rPr>
              <w:t>120</w:t>
            </w:r>
          </w:p>
        </w:tc>
        <w:tc>
          <w:tcPr>
            <w:tcW w:w="850" w:type="dxa"/>
            <w:tcMar>
              <w:top w:w="80" w:type="dxa"/>
              <w:left w:w="120" w:type="dxa"/>
              <w:bottom w:w="80" w:type="dxa"/>
              <w:right w:w="120" w:type="dxa"/>
            </w:tcMar>
          </w:tcPr>
          <w:p w14:paraId="13020056">
            <w:pPr>
              <w:pStyle w:val="26"/>
            </w:pPr>
            <w:r>
              <w:rPr>
                <w:sz w:val="17"/>
                <w:szCs w:val="17"/>
              </w:rPr>
              <w:t>86</w:t>
            </w:r>
          </w:p>
        </w:tc>
        <w:tc>
          <w:tcPr>
            <w:tcW w:w="850" w:type="dxa"/>
            <w:tcMar>
              <w:top w:w="80" w:type="dxa"/>
              <w:left w:w="120" w:type="dxa"/>
              <w:bottom w:w="80" w:type="dxa"/>
              <w:right w:w="120" w:type="dxa"/>
            </w:tcMar>
          </w:tcPr>
          <w:p w14:paraId="4AA3BAE3">
            <w:pPr>
              <w:pStyle w:val="26"/>
            </w:pPr>
            <w:r>
              <w:rPr>
                <w:sz w:val="17"/>
                <w:szCs w:val="17"/>
              </w:rPr>
              <w:t>87</w:t>
            </w:r>
          </w:p>
        </w:tc>
        <w:tc>
          <w:tcPr>
            <w:tcW w:w="850" w:type="dxa"/>
            <w:tcMar>
              <w:top w:w="80" w:type="dxa"/>
              <w:left w:w="120" w:type="dxa"/>
              <w:bottom w:w="80" w:type="dxa"/>
              <w:right w:w="120" w:type="dxa"/>
            </w:tcMar>
          </w:tcPr>
          <w:p w14:paraId="5A2EBB73">
            <w:pPr>
              <w:pStyle w:val="26"/>
            </w:pPr>
            <w:r>
              <w:rPr>
                <w:sz w:val="17"/>
                <w:szCs w:val="17"/>
              </w:rPr>
              <w:t>69</w:t>
            </w:r>
          </w:p>
        </w:tc>
        <w:tc>
          <w:tcPr>
            <w:tcW w:w="850" w:type="dxa"/>
            <w:tcMar>
              <w:top w:w="80" w:type="dxa"/>
              <w:left w:w="120" w:type="dxa"/>
              <w:bottom w:w="80" w:type="dxa"/>
              <w:right w:w="120" w:type="dxa"/>
            </w:tcMar>
          </w:tcPr>
          <w:p w14:paraId="2EB7C901">
            <w:pPr>
              <w:pStyle w:val="26"/>
            </w:pPr>
            <w:r>
              <w:rPr>
                <w:sz w:val="17"/>
                <w:szCs w:val="17"/>
              </w:rPr>
              <w:t>105</w:t>
            </w:r>
          </w:p>
        </w:tc>
        <w:tc>
          <w:tcPr>
            <w:tcW w:w="850" w:type="dxa"/>
            <w:tcMar>
              <w:top w:w="80" w:type="dxa"/>
              <w:left w:w="120" w:type="dxa"/>
              <w:bottom w:w="80" w:type="dxa"/>
              <w:right w:w="120" w:type="dxa"/>
            </w:tcMar>
          </w:tcPr>
          <w:p w14:paraId="48DEE99F">
            <w:pPr>
              <w:pStyle w:val="26"/>
            </w:pPr>
            <w:r>
              <w:rPr>
                <w:sz w:val="17"/>
                <w:szCs w:val="17"/>
              </w:rPr>
              <w:t>198</w:t>
            </w:r>
          </w:p>
        </w:tc>
        <w:tc>
          <w:tcPr>
            <w:tcW w:w="850" w:type="dxa"/>
            <w:tcMar>
              <w:top w:w="80" w:type="dxa"/>
              <w:left w:w="120" w:type="dxa"/>
              <w:bottom w:w="80" w:type="dxa"/>
              <w:right w:w="120" w:type="dxa"/>
            </w:tcMar>
          </w:tcPr>
          <w:p w14:paraId="732CE85F">
            <w:pPr>
              <w:pStyle w:val="26"/>
            </w:pPr>
            <w:r>
              <w:rPr>
                <w:sz w:val="17"/>
                <w:szCs w:val="17"/>
              </w:rPr>
              <w:t>136</w:t>
            </w:r>
          </w:p>
        </w:tc>
      </w:tr>
      <w:tr w14:paraId="0A303467">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shd w:val="clear" w:color="auto" w:fill="F5F7F7"/>
            <w:tcMar>
              <w:top w:w="80" w:type="dxa"/>
              <w:left w:w="120" w:type="dxa"/>
              <w:bottom w:w="80" w:type="dxa"/>
              <w:right w:w="120" w:type="dxa"/>
            </w:tcMar>
          </w:tcPr>
          <w:p w14:paraId="1E3AC8A4">
            <w:pPr>
              <w:pStyle w:val="26"/>
            </w:pPr>
            <w:r>
              <w:rPr>
                <w:b/>
                <w:bCs/>
                <w:color w:val="1F3864"/>
                <w:sz w:val="17"/>
                <w:szCs w:val="17"/>
              </w:rPr>
              <w:t>ARIMA(1,1,1)</w:t>
            </w:r>
          </w:p>
        </w:tc>
        <w:tc>
          <w:tcPr>
            <w:tcW w:w="850" w:type="dxa"/>
            <w:shd w:val="clear" w:color="auto" w:fill="F5F7F7"/>
            <w:tcMar>
              <w:top w:w="80" w:type="dxa"/>
              <w:left w:w="120" w:type="dxa"/>
              <w:bottom w:w="80" w:type="dxa"/>
              <w:right w:w="120" w:type="dxa"/>
            </w:tcMar>
          </w:tcPr>
          <w:p w14:paraId="1DEF32ED">
            <w:pPr>
              <w:pStyle w:val="26"/>
            </w:pPr>
            <w:r>
              <w:rPr>
                <w:sz w:val="17"/>
                <w:szCs w:val="17"/>
              </w:rPr>
              <w:t>124</w:t>
            </w:r>
          </w:p>
        </w:tc>
        <w:tc>
          <w:tcPr>
            <w:tcW w:w="850" w:type="dxa"/>
            <w:shd w:val="clear" w:color="auto" w:fill="F5F7F7"/>
            <w:tcMar>
              <w:top w:w="80" w:type="dxa"/>
              <w:left w:w="120" w:type="dxa"/>
              <w:bottom w:w="80" w:type="dxa"/>
              <w:right w:w="120" w:type="dxa"/>
            </w:tcMar>
          </w:tcPr>
          <w:p w14:paraId="34F17854">
            <w:pPr>
              <w:pStyle w:val="26"/>
            </w:pPr>
            <w:r>
              <w:rPr>
                <w:sz w:val="17"/>
                <w:szCs w:val="17"/>
              </w:rPr>
              <w:t>113</w:t>
            </w:r>
          </w:p>
        </w:tc>
        <w:tc>
          <w:tcPr>
            <w:tcW w:w="850" w:type="dxa"/>
            <w:shd w:val="clear" w:color="auto" w:fill="F5F7F7"/>
            <w:tcMar>
              <w:top w:w="80" w:type="dxa"/>
              <w:left w:w="120" w:type="dxa"/>
              <w:bottom w:w="80" w:type="dxa"/>
              <w:right w:w="120" w:type="dxa"/>
            </w:tcMar>
          </w:tcPr>
          <w:p w14:paraId="115E1271">
            <w:pPr>
              <w:pStyle w:val="26"/>
            </w:pPr>
            <w:r>
              <w:rPr>
                <w:sz w:val="17"/>
                <w:szCs w:val="17"/>
              </w:rPr>
              <w:t>95</w:t>
            </w:r>
          </w:p>
        </w:tc>
        <w:tc>
          <w:tcPr>
            <w:tcW w:w="850" w:type="dxa"/>
            <w:shd w:val="clear" w:color="auto" w:fill="F5F7F7"/>
            <w:tcMar>
              <w:top w:w="80" w:type="dxa"/>
              <w:left w:w="120" w:type="dxa"/>
              <w:bottom w:w="80" w:type="dxa"/>
              <w:right w:w="120" w:type="dxa"/>
            </w:tcMar>
          </w:tcPr>
          <w:p w14:paraId="32FD029B">
            <w:pPr>
              <w:pStyle w:val="26"/>
            </w:pPr>
            <w:r>
              <w:rPr>
                <w:sz w:val="17"/>
                <w:szCs w:val="17"/>
              </w:rPr>
              <w:t>80</w:t>
            </w:r>
          </w:p>
        </w:tc>
        <w:tc>
          <w:tcPr>
            <w:tcW w:w="850" w:type="dxa"/>
            <w:shd w:val="clear" w:color="auto" w:fill="F5F7F7"/>
            <w:tcMar>
              <w:top w:w="80" w:type="dxa"/>
              <w:left w:w="120" w:type="dxa"/>
              <w:bottom w:w="80" w:type="dxa"/>
              <w:right w:w="120" w:type="dxa"/>
            </w:tcMar>
          </w:tcPr>
          <w:p w14:paraId="3A9D6D04">
            <w:pPr>
              <w:pStyle w:val="26"/>
            </w:pPr>
            <w:r>
              <w:rPr>
                <w:sz w:val="17"/>
                <w:szCs w:val="17"/>
              </w:rPr>
              <w:t>70</w:t>
            </w:r>
          </w:p>
        </w:tc>
        <w:tc>
          <w:tcPr>
            <w:tcW w:w="850" w:type="dxa"/>
            <w:shd w:val="clear" w:color="auto" w:fill="F5F7F7"/>
            <w:tcMar>
              <w:top w:w="80" w:type="dxa"/>
              <w:left w:w="120" w:type="dxa"/>
              <w:bottom w:w="80" w:type="dxa"/>
              <w:right w:w="120" w:type="dxa"/>
            </w:tcMar>
          </w:tcPr>
          <w:p w14:paraId="14B6AEE7">
            <w:pPr>
              <w:pStyle w:val="26"/>
            </w:pPr>
            <w:r>
              <w:rPr>
                <w:sz w:val="17"/>
                <w:szCs w:val="17"/>
              </w:rPr>
              <w:t>84</w:t>
            </w:r>
          </w:p>
        </w:tc>
        <w:tc>
          <w:tcPr>
            <w:tcW w:w="850" w:type="dxa"/>
            <w:shd w:val="clear" w:color="auto" w:fill="F5F7F7"/>
            <w:tcMar>
              <w:top w:w="80" w:type="dxa"/>
              <w:left w:w="120" w:type="dxa"/>
              <w:bottom w:w="80" w:type="dxa"/>
              <w:right w:w="120" w:type="dxa"/>
            </w:tcMar>
          </w:tcPr>
          <w:p w14:paraId="7CD4EDF7">
            <w:pPr>
              <w:pStyle w:val="26"/>
            </w:pPr>
            <w:r>
              <w:rPr>
                <w:sz w:val="17"/>
                <w:szCs w:val="17"/>
              </w:rPr>
              <w:t>184</w:t>
            </w:r>
          </w:p>
        </w:tc>
        <w:tc>
          <w:tcPr>
            <w:tcW w:w="850" w:type="dxa"/>
            <w:shd w:val="clear" w:color="auto" w:fill="F5F7F7"/>
            <w:tcMar>
              <w:top w:w="80" w:type="dxa"/>
              <w:left w:w="120" w:type="dxa"/>
              <w:bottom w:w="80" w:type="dxa"/>
              <w:right w:w="120" w:type="dxa"/>
            </w:tcMar>
          </w:tcPr>
          <w:p w14:paraId="63860C0A">
            <w:pPr>
              <w:pStyle w:val="26"/>
            </w:pPr>
            <w:r>
              <w:rPr>
                <w:sz w:val="17"/>
                <w:szCs w:val="17"/>
              </w:rPr>
              <w:t>261</w:t>
            </w:r>
          </w:p>
        </w:tc>
      </w:tr>
      <w:tr w14:paraId="375D818D">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tcMar>
              <w:top w:w="80" w:type="dxa"/>
              <w:left w:w="120" w:type="dxa"/>
              <w:bottom w:w="80" w:type="dxa"/>
              <w:right w:w="120" w:type="dxa"/>
            </w:tcMar>
          </w:tcPr>
          <w:p w14:paraId="753EC46E">
            <w:pPr>
              <w:pStyle w:val="26"/>
            </w:pPr>
            <w:r>
              <w:rPr>
                <w:b/>
                <w:bCs/>
                <w:color w:val="1F3864"/>
                <w:sz w:val="17"/>
                <w:szCs w:val="17"/>
              </w:rPr>
              <w:t>TSB</w:t>
            </w:r>
          </w:p>
        </w:tc>
        <w:tc>
          <w:tcPr>
            <w:tcW w:w="850" w:type="dxa"/>
            <w:tcMar>
              <w:top w:w="80" w:type="dxa"/>
              <w:left w:w="120" w:type="dxa"/>
              <w:bottom w:w="80" w:type="dxa"/>
              <w:right w:w="120" w:type="dxa"/>
            </w:tcMar>
          </w:tcPr>
          <w:p w14:paraId="098B96CE">
            <w:pPr>
              <w:pStyle w:val="26"/>
            </w:pPr>
            <w:r>
              <w:rPr>
                <w:sz w:val="17"/>
                <w:szCs w:val="17"/>
              </w:rPr>
              <w:t>115</w:t>
            </w:r>
          </w:p>
        </w:tc>
        <w:tc>
          <w:tcPr>
            <w:tcW w:w="850" w:type="dxa"/>
            <w:tcMar>
              <w:top w:w="80" w:type="dxa"/>
              <w:left w:w="120" w:type="dxa"/>
              <w:bottom w:w="80" w:type="dxa"/>
              <w:right w:w="120" w:type="dxa"/>
            </w:tcMar>
          </w:tcPr>
          <w:p w14:paraId="1BF2C6D7">
            <w:pPr>
              <w:pStyle w:val="26"/>
            </w:pPr>
            <w:r>
              <w:rPr>
                <w:sz w:val="17"/>
                <w:szCs w:val="17"/>
              </w:rPr>
              <w:t>110</w:t>
            </w:r>
          </w:p>
        </w:tc>
        <w:tc>
          <w:tcPr>
            <w:tcW w:w="850" w:type="dxa"/>
            <w:tcMar>
              <w:top w:w="80" w:type="dxa"/>
              <w:left w:w="120" w:type="dxa"/>
              <w:bottom w:w="80" w:type="dxa"/>
              <w:right w:w="120" w:type="dxa"/>
            </w:tcMar>
          </w:tcPr>
          <w:p w14:paraId="2233A983">
            <w:pPr>
              <w:pStyle w:val="26"/>
            </w:pPr>
            <w:r>
              <w:rPr>
                <w:sz w:val="17"/>
                <w:szCs w:val="17"/>
              </w:rPr>
              <w:t>96</w:t>
            </w:r>
          </w:p>
        </w:tc>
        <w:tc>
          <w:tcPr>
            <w:tcW w:w="850" w:type="dxa"/>
            <w:tcMar>
              <w:top w:w="80" w:type="dxa"/>
              <w:left w:w="120" w:type="dxa"/>
              <w:bottom w:w="80" w:type="dxa"/>
              <w:right w:w="120" w:type="dxa"/>
            </w:tcMar>
          </w:tcPr>
          <w:p w14:paraId="5441D8EB">
            <w:pPr>
              <w:pStyle w:val="26"/>
            </w:pPr>
            <w:r>
              <w:rPr>
                <w:sz w:val="17"/>
                <w:szCs w:val="17"/>
              </w:rPr>
              <w:t>76</w:t>
            </w:r>
          </w:p>
        </w:tc>
        <w:tc>
          <w:tcPr>
            <w:tcW w:w="850" w:type="dxa"/>
            <w:tcMar>
              <w:top w:w="80" w:type="dxa"/>
              <w:left w:w="120" w:type="dxa"/>
              <w:bottom w:w="80" w:type="dxa"/>
              <w:right w:w="120" w:type="dxa"/>
            </w:tcMar>
          </w:tcPr>
          <w:p w14:paraId="7CACF660">
            <w:pPr>
              <w:pStyle w:val="26"/>
            </w:pPr>
            <w:r>
              <w:rPr>
                <w:sz w:val="17"/>
                <w:szCs w:val="17"/>
              </w:rPr>
              <w:t>72</w:t>
            </w:r>
          </w:p>
        </w:tc>
        <w:tc>
          <w:tcPr>
            <w:tcW w:w="850" w:type="dxa"/>
            <w:tcMar>
              <w:top w:w="80" w:type="dxa"/>
              <w:left w:w="120" w:type="dxa"/>
              <w:bottom w:w="80" w:type="dxa"/>
              <w:right w:w="120" w:type="dxa"/>
            </w:tcMar>
          </w:tcPr>
          <w:p w14:paraId="47937887">
            <w:pPr>
              <w:pStyle w:val="26"/>
            </w:pPr>
            <w:r>
              <w:rPr>
                <w:sz w:val="17"/>
                <w:szCs w:val="17"/>
              </w:rPr>
              <w:t>82</w:t>
            </w:r>
          </w:p>
        </w:tc>
        <w:tc>
          <w:tcPr>
            <w:tcW w:w="850" w:type="dxa"/>
            <w:tcMar>
              <w:top w:w="80" w:type="dxa"/>
              <w:left w:w="120" w:type="dxa"/>
              <w:bottom w:w="80" w:type="dxa"/>
              <w:right w:w="120" w:type="dxa"/>
            </w:tcMar>
          </w:tcPr>
          <w:p w14:paraId="4188008B">
            <w:pPr>
              <w:pStyle w:val="26"/>
            </w:pPr>
            <w:r>
              <w:rPr>
                <w:sz w:val="17"/>
                <w:szCs w:val="17"/>
              </w:rPr>
              <w:t>182</w:t>
            </w:r>
          </w:p>
        </w:tc>
        <w:tc>
          <w:tcPr>
            <w:tcW w:w="850" w:type="dxa"/>
            <w:tcMar>
              <w:top w:w="80" w:type="dxa"/>
              <w:left w:w="120" w:type="dxa"/>
              <w:bottom w:w="80" w:type="dxa"/>
              <w:right w:w="120" w:type="dxa"/>
            </w:tcMar>
          </w:tcPr>
          <w:p w14:paraId="3241857A">
            <w:pPr>
              <w:pStyle w:val="26"/>
            </w:pPr>
            <w:r>
              <w:rPr>
                <w:sz w:val="17"/>
                <w:szCs w:val="17"/>
              </w:rPr>
              <w:t>300</w:t>
            </w:r>
          </w:p>
        </w:tc>
      </w:tr>
      <w:tr w14:paraId="1AF08642">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shd w:val="clear" w:color="auto" w:fill="F5F7F7"/>
            <w:tcMar>
              <w:top w:w="80" w:type="dxa"/>
              <w:left w:w="120" w:type="dxa"/>
              <w:bottom w:w="80" w:type="dxa"/>
              <w:right w:w="120" w:type="dxa"/>
            </w:tcMar>
          </w:tcPr>
          <w:p w14:paraId="669DC3BF">
            <w:pPr>
              <w:pStyle w:val="26"/>
            </w:pPr>
            <w:r>
              <w:rPr>
                <w:b/>
                <w:bCs/>
                <w:color w:val="1F3864"/>
                <w:sz w:val="17"/>
                <w:szCs w:val="17"/>
              </w:rPr>
              <w:t>Moving Average (8w)</w:t>
            </w:r>
          </w:p>
        </w:tc>
        <w:tc>
          <w:tcPr>
            <w:tcW w:w="850" w:type="dxa"/>
            <w:shd w:val="clear" w:color="auto" w:fill="F5F7F7"/>
            <w:tcMar>
              <w:top w:w="80" w:type="dxa"/>
              <w:left w:w="120" w:type="dxa"/>
              <w:bottom w:w="80" w:type="dxa"/>
              <w:right w:w="120" w:type="dxa"/>
            </w:tcMar>
          </w:tcPr>
          <w:p w14:paraId="3D90ECF3">
            <w:pPr>
              <w:pStyle w:val="26"/>
            </w:pPr>
            <w:r>
              <w:rPr>
                <w:sz w:val="17"/>
                <w:szCs w:val="17"/>
              </w:rPr>
              <w:t>111</w:t>
            </w:r>
          </w:p>
        </w:tc>
        <w:tc>
          <w:tcPr>
            <w:tcW w:w="850" w:type="dxa"/>
            <w:shd w:val="clear" w:color="auto" w:fill="F5F7F7"/>
            <w:tcMar>
              <w:top w:w="80" w:type="dxa"/>
              <w:left w:w="120" w:type="dxa"/>
              <w:bottom w:w="80" w:type="dxa"/>
              <w:right w:w="120" w:type="dxa"/>
            </w:tcMar>
          </w:tcPr>
          <w:p w14:paraId="34999C52">
            <w:pPr>
              <w:pStyle w:val="26"/>
            </w:pPr>
            <w:r>
              <w:rPr>
                <w:sz w:val="17"/>
                <w:szCs w:val="17"/>
              </w:rPr>
              <w:t>103</w:t>
            </w:r>
          </w:p>
        </w:tc>
        <w:tc>
          <w:tcPr>
            <w:tcW w:w="850" w:type="dxa"/>
            <w:shd w:val="clear" w:color="auto" w:fill="F5F7F7"/>
            <w:tcMar>
              <w:top w:w="80" w:type="dxa"/>
              <w:left w:w="120" w:type="dxa"/>
              <w:bottom w:w="80" w:type="dxa"/>
              <w:right w:w="120" w:type="dxa"/>
            </w:tcMar>
          </w:tcPr>
          <w:p w14:paraId="503880B7">
            <w:pPr>
              <w:pStyle w:val="26"/>
            </w:pPr>
            <w:r>
              <w:rPr>
                <w:sz w:val="17"/>
                <w:szCs w:val="17"/>
              </w:rPr>
              <w:t>99</w:t>
            </w:r>
          </w:p>
        </w:tc>
        <w:tc>
          <w:tcPr>
            <w:tcW w:w="850" w:type="dxa"/>
            <w:shd w:val="clear" w:color="auto" w:fill="F5F7F7"/>
            <w:tcMar>
              <w:top w:w="80" w:type="dxa"/>
              <w:left w:w="120" w:type="dxa"/>
              <w:bottom w:w="80" w:type="dxa"/>
              <w:right w:w="120" w:type="dxa"/>
            </w:tcMar>
          </w:tcPr>
          <w:p w14:paraId="16507ED6">
            <w:pPr>
              <w:pStyle w:val="26"/>
            </w:pPr>
            <w:r>
              <w:rPr>
                <w:sz w:val="17"/>
                <w:szCs w:val="17"/>
              </w:rPr>
              <w:t>77</w:t>
            </w:r>
          </w:p>
        </w:tc>
        <w:tc>
          <w:tcPr>
            <w:tcW w:w="850" w:type="dxa"/>
            <w:shd w:val="clear" w:color="auto" w:fill="F5F7F7"/>
            <w:tcMar>
              <w:top w:w="80" w:type="dxa"/>
              <w:left w:w="120" w:type="dxa"/>
              <w:bottom w:w="80" w:type="dxa"/>
              <w:right w:w="120" w:type="dxa"/>
            </w:tcMar>
          </w:tcPr>
          <w:p w14:paraId="6B3D7DEB">
            <w:pPr>
              <w:pStyle w:val="26"/>
            </w:pPr>
            <w:r>
              <w:rPr>
                <w:sz w:val="17"/>
                <w:szCs w:val="17"/>
              </w:rPr>
              <w:t>67</w:t>
            </w:r>
          </w:p>
        </w:tc>
        <w:tc>
          <w:tcPr>
            <w:tcW w:w="850" w:type="dxa"/>
            <w:shd w:val="clear" w:color="auto" w:fill="F5F7F7"/>
            <w:tcMar>
              <w:top w:w="80" w:type="dxa"/>
              <w:left w:w="120" w:type="dxa"/>
              <w:bottom w:w="80" w:type="dxa"/>
              <w:right w:w="120" w:type="dxa"/>
            </w:tcMar>
          </w:tcPr>
          <w:p w14:paraId="450D3616">
            <w:pPr>
              <w:pStyle w:val="26"/>
            </w:pPr>
            <w:r>
              <w:rPr>
                <w:sz w:val="17"/>
                <w:szCs w:val="17"/>
              </w:rPr>
              <w:t>83</w:t>
            </w:r>
          </w:p>
        </w:tc>
        <w:tc>
          <w:tcPr>
            <w:tcW w:w="850" w:type="dxa"/>
            <w:shd w:val="clear" w:color="auto" w:fill="F5F7F7"/>
            <w:tcMar>
              <w:top w:w="80" w:type="dxa"/>
              <w:left w:w="120" w:type="dxa"/>
              <w:bottom w:w="80" w:type="dxa"/>
              <w:right w:w="120" w:type="dxa"/>
            </w:tcMar>
          </w:tcPr>
          <w:p w14:paraId="1F5C88F7">
            <w:pPr>
              <w:pStyle w:val="26"/>
            </w:pPr>
            <w:r>
              <w:rPr>
                <w:sz w:val="17"/>
                <w:szCs w:val="17"/>
              </w:rPr>
              <w:t>233</w:t>
            </w:r>
          </w:p>
        </w:tc>
        <w:tc>
          <w:tcPr>
            <w:tcW w:w="850" w:type="dxa"/>
            <w:shd w:val="clear" w:color="auto" w:fill="F5F7F7"/>
            <w:tcMar>
              <w:top w:w="80" w:type="dxa"/>
              <w:left w:w="120" w:type="dxa"/>
              <w:bottom w:w="80" w:type="dxa"/>
              <w:right w:w="120" w:type="dxa"/>
            </w:tcMar>
          </w:tcPr>
          <w:p w14:paraId="6FA3AA23">
            <w:pPr>
              <w:pStyle w:val="26"/>
            </w:pPr>
            <w:r>
              <w:rPr>
                <w:sz w:val="17"/>
                <w:szCs w:val="17"/>
              </w:rPr>
              <w:t>283</w:t>
            </w:r>
          </w:p>
        </w:tc>
      </w:tr>
      <w:tr w14:paraId="3F14FAD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tcMar>
              <w:top w:w="80" w:type="dxa"/>
              <w:left w:w="120" w:type="dxa"/>
              <w:bottom w:w="80" w:type="dxa"/>
              <w:right w:w="120" w:type="dxa"/>
            </w:tcMar>
          </w:tcPr>
          <w:p w14:paraId="0DEF3FAB">
            <w:pPr>
              <w:pStyle w:val="26"/>
            </w:pPr>
            <w:r>
              <w:rPr>
                <w:b/>
                <w:bCs/>
                <w:color w:val="1F3864"/>
                <w:sz w:val="17"/>
                <w:szCs w:val="17"/>
              </w:rPr>
              <w:t>Seasonal SBA</w:t>
            </w:r>
          </w:p>
        </w:tc>
        <w:tc>
          <w:tcPr>
            <w:tcW w:w="850" w:type="dxa"/>
            <w:tcMar>
              <w:top w:w="80" w:type="dxa"/>
              <w:left w:w="120" w:type="dxa"/>
              <w:bottom w:w="80" w:type="dxa"/>
              <w:right w:w="120" w:type="dxa"/>
            </w:tcMar>
          </w:tcPr>
          <w:p w14:paraId="1F85B4C7">
            <w:pPr>
              <w:pStyle w:val="26"/>
            </w:pPr>
            <w:r>
              <w:rPr>
                <w:sz w:val="17"/>
                <w:szCs w:val="17"/>
              </w:rPr>
              <w:t>165</w:t>
            </w:r>
          </w:p>
        </w:tc>
        <w:tc>
          <w:tcPr>
            <w:tcW w:w="850" w:type="dxa"/>
            <w:tcMar>
              <w:top w:w="80" w:type="dxa"/>
              <w:left w:w="120" w:type="dxa"/>
              <w:bottom w:w="80" w:type="dxa"/>
              <w:right w:w="120" w:type="dxa"/>
            </w:tcMar>
          </w:tcPr>
          <w:p w14:paraId="57009EE9">
            <w:pPr>
              <w:pStyle w:val="26"/>
            </w:pPr>
            <w:r>
              <w:rPr>
                <w:sz w:val="17"/>
                <w:szCs w:val="17"/>
              </w:rPr>
              <w:t>139</w:t>
            </w:r>
          </w:p>
        </w:tc>
        <w:tc>
          <w:tcPr>
            <w:tcW w:w="850" w:type="dxa"/>
            <w:tcMar>
              <w:top w:w="80" w:type="dxa"/>
              <w:left w:w="120" w:type="dxa"/>
              <w:bottom w:w="80" w:type="dxa"/>
              <w:right w:w="120" w:type="dxa"/>
            </w:tcMar>
          </w:tcPr>
          <w:p w14:paraId="707A110A">
            <w:pPr>
              <w:pStyle w:val="26"/>
            </w:pPr>
            <w:r>
              <w:rPr>
                <w:sz w:val="17"/>
                <w:szCs w:val="17"/>
              </w:rPr>
              <w:t>110</w:t>
            </w:r>
          </w:p>
        </w:tc>
        <w:tc>
          <w:tcPr>
            <w:tcW w:w="850" w:type="dxa"/>
            <w:tcMar>
              <w:top w:w="80" w:type="dxa"/>
              <w:left w:w="120" w:type="dxa"/>
              <w:bottom w:w="80" w:type="dxa"/>
              <w:right w:w="120" w:type="dxa"/>
            </w:tcMar>
          </w:tcPr>
          <w:p w14:paraId="62642682">
            <w:pPr>
              <w:pStyle w:val="26"/>
            </w:pPr>
            <w:r>
              <w:rPr>
                <w:sz w:val="17"/>
                <w:szCs w:val="17"/>
              </w:rPr>
              <w:t>90</w:t>
            </w:r>
          </w:p>
        </w:tc>
        <w:tc>
          <w:tcPr>
            <w:tcW w:w="850" w:type="dxa"/>
            <w:tcMar>
              <w:top w:w="80" w:type="dxa"/>
              <w:left w:w="120" w:type="dxa"/>
              <w:bottom w:w="80" w:type="dxa"/>
              <w:right w:w="120" w:type="dxa"/>
            </w:tcMar>
          </w:tcPr>
          <w:p w14:paraId="3885CF5F">
            <w:pPr>
              <w:pStyle w:val="26"/>
            </w:pPr>
            <w:r>
              <w:rPr>
                <w:sz w:val="17"/>
                <w:szCs w:val="17"/>
              </w:rPr>
              <w:t>82</w:t>
            </w:r>
          </w:p>
        </w:tc>
        <w:tc>
          <w:tcPr>
            <w:tcW w:w="850" w:type="dxa"/>
            <w:tcMar>
              <w:top w:w="80" w:type="dxa"/>
              <w:left w:w="120" w:type="dxa"/>
              <w:bottom w:w="80" w:type="dxa"/>
              <w:right w:w="120" w:type="dxa"/>
            </w:tcMar>
          </w:tcPr>
          <w:p w14:paraId="11B3BF62">
            <w:pPr>
              <w:pStyle w:val="26"/>
            </w:pPr>
            <w:r>
              <w:rPr>
                <w:sz w:val="17"/>
                <w:szCs w:val="17"/>
              </w:rPr>
              <w:t>93</w:t>
            </w:r>
          </w:p>
        </w:tc>
        <w:tc>
          <w:tcPr>
            <w:tcW w:w="850" w:type="dxa"/>
            <w:tcMar>
              <w:top w:w="80" w:type="dxa"/>
              <w:left w:w="120" w:type="dxa"/>
              <w:bottom w:w="80" w:type="dxa"/>
              <w:right w:w="120" w:type="dxa"/>
            </w:tcMar>
          </w:tcPr>
          <w:p w14:paraId="5E1DEB8F">
            <w:pPr>
              <w:pStyle w:val="26"/>
            </w:pPr>
            <w:r>
              <w:rPr>
                <w:sz w:val="17"/>
                <w:szCs w:val="17"/>
              </w:rPr>
              <w:t>138</w:t>
            </w:r>
          </w:p>
        </w:tc>
        <w:tc>
          <w:tcPr>
            <w:tcW w:w="850" w:type="dxa"/>
            <w:tcMar>
              <w:top w:w="80" w:type="dxa"/>
              <w:left w:w="120" w:type="dxa"/>
              <w:bottom w:w="80" w:type="dxa"/>
              <w:right w:w="120" w:type="dxa"/>
            </w:tcMar>
          </w:tcPr>
          <w:p w14:paraId="7F6B16E8">
            <w:pPr>
              <w:pStyle w:val="26"/>
            </w:pPr>
            <w:r>
              <w:rPr>
                <w:sz w:val="17"/>
                <w:szCs w:val="17"/>
              </w:rPr>
              <w:t>204</w:t>
            </w:r>
          </w:p>
        </w:tc>
      </w:tr>
      <w:tr w14:paraId="417AFBC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shd w:val="clear" w:color="auto" w:fill="F5F7F7"/>
            <w:tcMar>
              <w:top w:w="80" w:type="dxa"/>
              <w:left w:w="120" w:type="dxa"/>
              <w:bottom w:w="80" w:type="dxa"/>
              <w:right w:w="120" w:type="dxa"/>
            </w:tcMar>
          </w:tcPr>
          <w:p w14:paraId="7C2161A3">
            <w:pPr>
              <w:pStyle w:val="26"/>
            </w:pPr>
            <w:r>
              <w:rPr>
                <w:b/>
                <w:bCs/>
                <w:color w:val="1F3864"/>
                <w:sz w:val="17"/>
                <w:szCs w:val="17"/>
              </w:rPr>
              <w:t>SBA</w:t>
            </w:r>
          </w:p>
        </w:tc>
        <w:tc>
          <w:tcPr>
            <w:tcW w:w="850" w:type="dxa"/>
            <w:shd w:val="clear" w:color="auto" w:fill="F5F7F7"/>
            <w:tcMar>
              <w:top w:w="80" w:type="dxa"/>
              <w:left w:w="120" w:type="dxa"/>
              <w:bottom w:w="80" w:type="dxa"/>
              <w:right w:w="120" w:type="dxa"/>
            </w:tcMar>
          </w:tcPr>
          <w:p w14:paraId="3EFC848D">
            <w:pPr>
              <w:pStyle w:val="26"/>
            </w:pPr>
            <w:r>
              <w:rPr>
                <w:sz w:val="17"/>
                <w:szCs w:val="17"/>
              </w:rPr>
              <w:t>129</w:t>
            </w:r>
          </w:p>
        </w:tc>
        <w:tc>
          <w:tcPr>
            <w:tcW w:w="850" w:type="dxa"/>
            <w:shd w:val="clear" w:color="auto" w:fill="F5F7F7"/>
            <w:tcMar>
              <w:top w:w="80" w:type="dxa"/>
              <w:left w:w="120" w:type="dxa"/>
              <w:bottom w:w="80" w:type="dxa"/>
              <w:right w:w="120" w:type="dxa"/>
            </w:tcMar>
          </w:tcPr>
          <w:p w14:paraId="72902548">
            <w:pPr>
              <w:pStyle w:val="26"/>
            </w:pPr>
            <w:r>
              <w:rPr>
                <w:sz w:val="17"/>
                <w:szCs w:val="17"/>
              </w:rPr>
              <w:t>117</w:t>
            </w:r>
          </w:p>
        </w:tc>
        <w:tc>
          <w:tcPr>
            <w:tcW w:w="850" w:type="dxa"/>
            <w:shd w:val="clear" w:color="auto" w:fill="F5F7F7"/>
            <w:tcMar>
              <w:top w:w="80" w:type="dxa"/>
              <w:left w:w="120" w:type="dxa"/>
              <w:bottom w:w="80" w:type="dxa"/>
              <w:right w:w="120" w:type="dxa"/>
            </w:tcMar>
          </w:tcPr>
          <w:p w14:paraId="45E9D594">
            <w:pPr>
              <w:pStyle w:val="26"/>
            </w:pPr>
            <w:r>
              <w:rPr>
                <w:sz w:val="17"/>
                <w:szCs w:val="17"/>
              </w:rPr>
              <w:t>106</w:t>
            </w:r>
          </w:p>
        </w:tc>
        <w:tc>
          <w:tcPr>
            <w:tcW w:w="850" w:type="dxa"/>
            <w:shd w:val="clear" w:color="auto" w:fill="F5F7F7"/>
            <w:tcMar>
              <w:top w:w="80" w:type="dxa"/>
              <w:left w:w="120" w:type="dxa"/>
              <w:bottom w:w="80" w:type="dxa"/>
              <w:right w:w="120" w:type="dxa"/>
            </w:tcMar>
          </w:tcPr>
          <w:p w14:paraId="3627EFE9">
            <w:pPr>
              <w:pStyle w:val="26"/>
            </w:pPr>
            <w:r>
              <w:rPr>
                <w:sz w:val="17"/>
                <w:szCs w:val="17"/>
              </w:rPr>
              <w:t>82</w:t>
            </w:r>
          </w:p>
        </w:tc>
        <w:tc>
          <w:tcPr>
            <w:tcW w:w="850" w:type="dxa"/>
            <w:shd w:val="clear" w:color="auto" w:fill="F5F7F7"/>
            <w:tcMar>
              <w:top w:w="80" w:type="dxa"/>
              <w:left w:w="120" w:type="dxa"/>
              <w:bottom w:w="80" w:type="dxa"/>
              <w:right w:w="120" w:type="dxa"/>
            </w:tcMar>
          </w:tcPr>
          <w:p w14:paraId="362BE350">
            <w:pPr>
              <w:pStyle w:val="26"/>
            </w:pPr>
            <w:r>
              <w:rPr>
                <w:sz w:val="17"/>
                <w:szCs w:val="17"/>
              </w:rPr>
              <w:t>77</w:t>
            </w:r>
          </w:p>
        </w:tc>
        <w:tc>
          <w:tcPr>
            <w:tcW w:w="850" w:type="dxa"/>
            <w:shd w:val="clear" w:color="auto" w:fill="F5F7F7"/>
            <w:tcMar>
              <w:top w:w="80" w:type="dxa"/>
              <w:left w:w="120" w:type="dxa"/>
              <w:bottom w:w="80" w:type="dxa"/>
              <w:right w:w="120" w:type="dxa"/>
            </w:tcMar>
          </w:tcPr>
          <w:p w14:paraId="13D5FCA4">
            <w:pPr>
              <w:pStyle w:val="26"/>
            </w:pPr>
            <w:r>
              <w:rPr>
                <w:sz w:val="17"/>
                <w:szCs w:val="17"/>
              </w:rPr>
              <w:t>88</w:t>
            </w:r>
          </w:p>
        </w:tc>
        <w:tc>
          <w:tcPr>
            <w:tcW w:w="850" w:type="dxa"/>
            <w:shd w:val="clear" w:color="auto" w:fill="F5F7F7"/>
            <w:tcMar>
              <w:top w:w="80" w:type="dxa"/>
              <w:left w:w="120" w:type="dxa"/>
              <w:bottom w:w="80" w:type="dxa"/>
              <w:right w:w="120" w:type="dxa"/>
            </w:tcMar>
          </w:tcPr>
          <w:p w14:paraId="448319A4">
            <w:pPr>
              <w:pStyle w:val="26"/>
            </w:pPr>
            <w:r>
              <w:rPr>
                <w:sz w:val="17"/>
                <w:szCs w:val="17"/>
              </w:rPr>
              <w:t>186</w:t>
            </w:r>
          </w:p>
        </w:tc>
        <w:tc>
          <w:tcPr>
            <w:tcW w:w="850" w:type="dxa"/>
            <w:shd w:val="clear" w:color="auto" w:fill="F5F7F7"/>
            <w:tcMar>
              <w:top w:w="80" w:type="dxa"/>
              <w:left w:w="120" w:type="dxa"/>
              <w:bottom w:w="80" w:type="dxa"/>
              <w:right w:w="120" w:type="dxa"/>
            </w:tcMar>
          </w:tcPr>
          <w:p w14:paraId="66CD6757">
            <w:pPr>
              <w:pStyle w:val="26"/>
            </w:pPr>
            <w:r>
              <w:rPr>
                <w:sz w:val="17"/>
                <w:szCs w:val="17"/>
              </w:rPr>
              <w:t>314</w:t>
            </w:r>
          </w:p>
        </w:tc>
      </w:tr>
      <w:tr w14:paraId="7E1666F8">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tcMar>
              <w:top w:w="80" w:type="dxa"/>
              <w:left w:w="120" w:type="dxa"/>
              <w:bottom w:w="80" w:type="dxa"/>
              <w:right w:w="120" w:type="dxa"/>
            </w:tcMar>
          </w:tcPr>
          <w:p w14:paraId="755E4F1A">
            <w:pPr>
              <w:pStyle w:val="26"/>
            </w:pPr>
            <w:r>
              <w:rPr>
                <w:b/>
                <w:bCs/>
                <w:color w:val="1F3864"/>
                <w:sz w:val="17"/>
                <w:szCs w:val="17"/>
              </w:rPr>
              <w:t>Croston</w:t>
            </w:r>
          </w:p>
        </w:tc>
        <w:tc>
          <w:tcPr>
            <w:tcW w:w="850" w:type="dxa"/>
            <w:tcMar>
              <w:top w:w="80" w:type="dxa"/>
              <w:left w:w="120" w:type="dxa"/>
              <w:bottom w:w="80" w:type="dxa"/>
              <w:right w:w="120" w:type="dxa"/>
            </w:tcMar>
          </w:tcPr>
          <w:p w14:paraId="0E542A03">
            <w:pPr>
              <w:pStyle w:val="26"/>
            </w:pPr>
            <w:r>
              <w:rPr>
                <w:sz w:val="17"/>
                <w:szCs w:val="17"/>
              </w:rPr>
              <w:t>132</w:t>
            </w:r>
          </w:p>
        </w:tc>
        <w:tc>
          <w:tcPr>
            <w:tcW w:w="850" w:type="dxa"/>
            <w:tcMar>
              <w:top w:w="80" w:type="dxa"/>
              <w:left w:w="120" w:type="dxa"/>
              <w:bottom w:w="80" w:type="dxa"/>
              <w:right w:w="120" w:type="dxa"/>
            </w:tcMar>
          </w:tcPr>
          <w:p w14:paraId="333E3190">
            <w:pPr>
              <w:pStyle w:val="26"/>
            </w:pPr>
            <w:r>
              <w:rPr>
                <w:sz w:val="17"/>
                <w:szCs w:val="17"/>
              </w:rPr>
              <w:t>118</w:t>
            </w:r>
          </w:p>
        </w:tc>
        <w:tc>
          <w:tcPr>
            <w:tcW w:w="850" w:type="dxa"/>
            <w:tcMar>
              <w:top w:w="80" w:type="dxa"/>
              <w:left w:w="120" w:type="dxa"/>
              <w:bottom w:w="80" w:type="dxa"/>
              <w:right w:w="120" w:type="dxa"/>
            </w:tcMar>
          </w:tcPr>
          <w:p w14:paraId="1CC921B3">
            <w:pPr>
              <w:pStyle w:val="26"/>
            </w:pPr>
            <w:r>
              <w:rPr>
                <w:sz w:val="17"/>
                <w:szCs w:val="17"/>
              </w:rPr>
              <w:t>109</w:t>
            </w:r>
          </w:p>
        </w:tc>
        <w:tc>
          <w:tcPr>
            <w:tcW w:w="850" w:type="dxa"/>
            <w:tcMar>
              <w:top w:w="80" w:type="dxa"/>
              <w:left w:w="120" w:type="dxa"/>
              <w:bottom w:w="80" w:type="dxa"/>
              <w:right w:w="120" w:type="dxa"/>
            </w:tcMar>
          </w:tcPr>
          <w:p w14:paraId="73FA1FB7">
            <w:pPr>
              <w:pStyle w:val="26"/>
            </w:pPr>
            <w:r>
              <w:rPr>
                <w:sz w:val="17"/>
                <w:szCs w:val="17"/>
              </w:rPr>
              <w:t>82</w:t>
            </w:r>
          </w:p>
        </w:tc>
        <w:tc>
          <w:tcPr>
            <w:tcW w:w="850" w:type="dxa"/>
            <w:tcMar>
              <w:top w:w="80" w:type="dxa"/>
              <w:left w:w="120" w:type="dxa"/>
              <w:bottom w:w="80" w:type="dxa"/>
              <w:right w:w="120" w:type="dxa"/>
            </w:tcMar>
          </w:tcPr>
          <w:p w14:paraId="3B33E054">
            <w:pPr>
              <w:pStyle w:val="26"/>
            </w:pPr>
            <w:r>
              <w:rPr>
                <w:sz w:val="17"/>
                <w:szCs w:val="17"/>
              </w:rPr>
              <w:t>76</w:t>
            </w:r>
          </w:p>
        </w:tc>
        <w:tc>
          <w:tcPr>
            <w:tcW w:w="850" w:type="dxa"/>
            <w:tcMar>
              <w:top w:w="80" w:type="dxa"/>
              <w:left w:w="120" w:type="dxa"/>
              <w:bottom w:w="80" w:type="dxa"/>
              <w:right w:w="120" w:type="dxa"/>
            </w:tcMar>
          </w:tcPr>
          <w:p w14:paraId="3D99C699">
            <w:pPr>
              <w:pStyle w:val="26"/>
            </w:pPr>
            <w:r>
              <w:rPr>
                <w:sz w:val="17"/>
                <w:szCs w:val="17"/>
              </w:rPr>
              <w:t>89</w:t>
            </w:r>
          </w:p>
        </w:tc>
        <w:tc>
          <w:tcPr>
            <w:tcW w:w="850" w:type="dxa"/>
            <w:tcMar>
              <w:top w:w="80" w:type="dxa"/>
              <w:left w:w="120" w:type="dxa"/>
              <w:bottom w:w="80" w:type="dxa"/>
              <w:right w:w="120" w:type="dxa"/>
            </w:tcMar>
          </w:tcPr>
          <w:p w14:paraId="50714940">
            <w:pPr>
              <w:pStyle w:val="26"/>
            </w:pPr>
            <w:r>
              <w:rPr>
                <w:sz w:val="17"/>
                <w:szCs w:val="17"/>
              </w:rPr>
              <w:t>196</w:t>
            </w:r>
          </w:p>
        </w:tc>
        <w:tc>
          <w:tcPr>
            <w:tcW w:w="850" w:type="dxa"/>
            <w:tcMar>
              <w:top w:w="80" w:type="dxa"/>
              <w:left w:w="120" w:type="dxa"/>
              <w:bottom w:w="80" w:type="dxa"/>
              <w:right w:w="120" w:type="dxa"/>
            </w:tcMar>
          </w:tcPr>
          <w:p w14:paraId="2A817EDB">
            <w:pPr>
              <w:pStyle w:val="26"/>
            </w:pPr>
            <w:r>
              <w:rPr>
                <w:sz w:val="17"/>
                <w:szCs w:val="17"/>
              </w:rPr>
              <w:t>333</w:t>
            </w:r>
          </w:p>
        </w:tc>
      </w:tr>
      <w:tr w14:paraId="4819701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shd w:val="clear" w:color="auto" w:fill="F5F7F7"/>
            <w:tcMar>
              <w:top w:w="80" w:type="dxa"/>
              <w:left w:w="120" w:type="dxa"/>
              <w:bottom w:w="80" w:type="dxa"/>
              <w:right w:w="120" w:type="dxa"/>
            </w:tcMar>
          </w:tcPr>
          <w:p w14:paraId="26C84340">
            <w:pPr>
              <w:pStyle w:val="26"/>
            </w:pPr>
            <w:r>
              <w:rPr>
                <w:b/>
                <w:bCs/>
                <w:color w:val="1F3864"/>
                <w:sz w:val="17"/>
                <w:szCs w:val="17"/>
              </w:rPr>
              <w:t>Seasonal Naive</w:t>
            </w:r>
          </w:p>
        </w:tc>
        <w:tc>
          <w:tcPr>
            <w:tcW w:w="850" w:type="dxa"/>
            <w:shd w:val="clear" w:color="auto" w:fill="F5F7F7"/>
            <w:tcMar>
              <w:top w:w="80" w:type="dxa"/>
              <w:left w:w="120" w:type="dxa"/>
              <w:bottom w:w="80" w:type="dxa"/>
              <w:right w:w="120" w:type="dxa"/>
            </w:tcMar>
          </w:tcPr>
          <w:p w14:paraId="559174A4">
            <w:pPr>
              <w:pStyle w:val="26"/>
            </w:pPr>
            <w:r>
              <w:rPr>
                <w:sz w:val="17"/>
                <w:szCs w:val="17"/>
              </w:rPr>
              <w:t>113</w:t>
            </w:r>
          </w:p>
        </w:tc>
        <w:tc>
          <w:tcPr>
            <w:tcW w:w="850" w:type="dxa"/>
            <w:shd w:val="clear" w:color="auto" w:fill="F5F7F7"/>
            <w:tcMar>
              <w:top w:w="80" w:type="dxa"/>
              <w:left w:w="120" w:type="dxa"/>
              <w:bottom w:w="80" w:type="dxa"/>
              <w:right w:w="120" w:type="dxa"/>
            </w:tcMar>
          </w:tcPr>
          <w:p w14:paraId="34ACFA73">
            <w:pPr>
              <w:pStyle w:val="26"/>
            </w:pPr>
            <w:r>
              <w:rPr>
                <w:sz w:val="17"/>
                <w:szCs w:val="17"/>
              </w:rPr>
              <w:t>225</w:t>
            </w:r>
          </w:p>
        </w:tc>
        <w:tc>
          <w:tcPr>
            <w:tcW w:w="850" w:type="dxa"/>
            <w:shd w:val="clear" w:color="auto" w:fill="F5F7F7"/>
            <w:tcMar>
              <w:top w:w="80" w:type="dxa"/>
              <w:left w:w="120" w:type="dxa"/>
              <w:bottom w:w="80" w:type="dxa"/>
              <w:right w:w="120" w:type="dxa"/>
            </w:tcMar>
          </w:tcPr>
          <w:p w14:paraId="53F13C79">
            <w:pPr>
              <w:pStyle w:val="26"/>
            </w:pPr>
            <w:r>
              <w:rPr>
                <w:sz w:val="17"/>
                <w:szCs w:val="17"/>
              </w:rPr>
              <w:t>117</w:t>
            </w:r>
          </w:p>
        </w:tc>
        <w:tc>
          <w:tcPr>
            <w:tcW w:w="850" w:type="dxa"/>
            <w:shd w:val="clear" w:color="auto" w:fill="F5F7F7"/>
            <w:tcMar>
              <w:top w:w="80" w:type="dxa"/>
              <w:left w:w="120" w:type="dxa"/>
              <w:bottom w:w="80" w:type="dxa"/>
              <w:right w:w="120" w:type="dxa"/>
            </w:tcMar>
          </w:tcPr>
          <w:p w14:paraId="61A225A6">
            <w:pPr>
              <w:pStyle w:val="26"/>
            </w:pPr>
            <w:r>
              <w:rPr>
                <w:sz w:val="17"/>
                <w:szCs w:val="17"/>
              </w:rPr>
              <w:t>117</w:t>
            </w:r>
          </w:p>
        </w:tc>
        <w:tc>
          <w:tcPr>
            <w:tcW w:w="850" w:type="dxa"/>
            <w:shd w:val="clear" w:color="auto" w:fill="F5F7F7"/>
            <w:tcMar>
              <w:top w:w="80" w:type="dxa"/>
              <w:left w:w="120" w:type="dxa"/>
              <w:bottom w:w="80" w:type="dxa"/>
              <w:right w:w="120" w:type="dxa"/>
            </w:tcMar>
          </w:tcPr>
          <w:p w14:paraId="0090D48A">
            <w:pPr>
              <w:pStyle w:val="26"/>
            </w:pPr>
            <w:r>
              <w:rPr>
                <w:sz w:val="17"/>
                <w:szCs w:val="17"/>
              </w:rPr>
              <w:t>106</w:t>
            </w:r>
          </w:p>
        </w:tc>
        <w:tc>
          <w:tcPr>
            <w:tcW w:w="850" w:type="dxa"/>
            <w:shd w:val="clear" w:color="auto" w:fill="F5F7F7"/>
            <w:tcMar>
              <w:top w:w="80" w:type="dxa"/>
              <w:left w:w="120" w:type="dxa"/>
              <w:bottom w:w="80" w:type="dxa"/>
              <w:right w:w="120" w:type="dxa"/>
            </w:tcMar>
          </w:tcPr>
          <w:p w14:paraId="666A91E8">
            <w:pPr>
              <w:pStyle w:val="26"/>
            </w:pPr>
            <w:r>
              <w:rPr>
                <w:sz w:val="17"/>
                <w:szCs w:val="17"/>
              </w:rPr>
              <w:t>130</w:t>
            </w:r>
          </w:p>
        </w:tc>
        <w:tc>
          <w:tcPr>
            <w:tcW w:w="850" w:type="dxa"/>
            <w:shd w:val="clear" w:color="auto" w:fill="F5F7F7"/>
            <w:tcMar>
              <w:top w:w="80" w:type="dxa"/>
              <w:left w:w="120" w:type="dxa"/>
              <w:bottom w:w="80" w:type="dxa"/>
              <w:right w:w="120" w:type="dxa"/>
            </w:tcMar>
          </w:tcPr>
          <w:p w14:paraId="496388FE">
            <w:pPr>
              <w:pStyle w:val="26"/>
            </w:pPr>
            <w:r>
              <w:rPr>
                <w:sz w:val="17"/>
                <w:szCs w:val="17"/>
              </w:rPr>
              <w:t>207</w:t>
            </w:r>
          </w:p>
        </w:tc>
        <w:tc>
          <w:tcPr>
            <w:tcW w:w="850" w:type="dxa"/>
            <w:shd w:val="clear" w:color="auto" w:fill="F5F7F7"/>
            <w:tcMar>
              <w:top w:w="80" w:type="dxa"/>
              <w:left w:w="120" w:type="dxa"/>
              <w:bottom w:w="80" w:type="dxa"/>
              <w:right w:w="120" w:type="dxa"/>
            </w:tcMar>
          </w:tcPr>
          <w:p w14:paraId="24A52241">
            <w:pPr>
              <w:pStyle w:val="26"/>
            </w:pPr>
            <w:r>
              <w:rPr>
                <w:sz w:val="17"/>
                <w:szCs w:val="17"/>
              </w:rPr>
              <w:t>195</w:t>
            </w:r>
          </w:p>
        </w:tc>
      </w:tr>
    </w:tbl>
    <w:p w14:paraId="7AA8FE02">
      <w:pPr>
        <w:pStyle w:val="25"/>
      </w:pPr>
      <w:r>
        <w:t>Source: Sponsor ERP billing extract; team rolling-origin backtest, 8 folds, weeks ending 26 Nov 2023 - 30 Jun 2024.</w:t>
      </w:r>
    </w:p>
    <w:p w14:paraId="66F62917">
      <w:pPr>
        <w:pStyle w:val="10"/>
        <w:keepNext/>
      </w:pPr>
      <w:r>
        <w:t>Table B.</w:t>
      </w:r>
      <w:r>
        <w:fldChar w:fldCharType="begin"/>
      </w:r>
      <w:r>
        <w:instrText xml:space="preserve">SEQ Table \* ARABIC \s 1</w:instrText>
      </w:r>
      <w:r>
        <w:fldChar w:fldCharType="separate"/>
      </w:r>
      <w:r>
        <w:t>3</w:t>
      </w:r>
      <w:r>
        <w:fldChar w:fldCharType="end"/>
      </w:r>
      <w:bookmarkStart w:id="107" w:name="_Toc25367"/>
      <w:r>
        <w:t>: Weekly WAPE (%) by demand class and forecast horizon</w:t>
      </w:r>
      <w:bookmarkEnd w:id="107"/>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2560"/>
        <w:gridCol w:w="850"/>
        <w:gridCol w:w="850"/>
        <w:gridCol w:w="850"/>
        <w:gridCol w:w="850"/>
        <w:gridCol w:w="850"/>
        <w:gridCol w:w="850"/>
        <w:gridCol w:w="850"/>
        <w:gridCol w:w="850"/>
      </w:tblGrid>
      <w:tr w14:paraId="212FD9C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2560" w:type="dxa"/>
            <w:shd w:val="clear" w:color="auto" w:fill="1F3864"/>
            <w:tcMar>
              <w:top w:w="80" w:type="dxa"/>
              <w:left w:w="120" w:type="dxa"/>
              <w:bottom w:w="80" w:type="dxa"/>
              <w:right w:w="120" w:type="dxa"/>
            </w:tcMar>
            <w:vAlign w:val="center"/>
          </w:tcPr>
          <w:p w14:paraId="27D429DF">
            <w:pPr>
              <w:pStyle w:val="27"/>
            </w:pPr>
            <w:r>
              <w:rPr>
                <w:sz w:val="17"/>
                <w:szCs w:val="17"/>
              </w:rPr>
              <w:t>Model</w:t>
            </w:r>
          </w:p>
        </w:tc>
        <w:tc>
          <w:tcPr>
            <w:tcW w:w="850" w:type="dxa"/>
            <w:shd w:val="clear" w:color="auto" w:fill="1F3864"/>
            <w:tcMar>
              <w:top w:w="80" w:type="dxa"/>
              <w:left w:w="120" w:type="dxa"/>
              <w:bottom w:w="80" w:type="dxa"/>
              <w:right w:w="120" w:type="dxa"/>
            </w:tcMar>
            <w:vAlign w:val="center"/>
          </w:tcPr>
          <w:p w14:paraId="5C7E8A8A">
            <w:pPr>
              <w:pStyle w:val="27"/>
            </w:pPr>
            <w:r>
              <w:rPr>
                <w:sz w:val="17"/>
                <w:szCs w:val="17"/>
              </w:rPr>
              <w:t>Smooth</w:t>
            </w:r>
          </w:p>
        </w:tc>
        <w:tc>
          <w:tcPr>
            <w:tcW w:w="850" w:type="dxa"/>
            <w:shd w:val="clear" w:color="auto" w:fill="1F3864"/>
            <w:tcMar>
              <w:top w:w="80" w:type="dxa"/>
              <w:left w:w="120" w:type="dxa"/>
              <w:bottom w:w="80" w:type="dxa"/>
              <w:right w:w="120" w:type="dxa"/>
            </w:tcMar>
            <w:vAlign w:val="center"/>
          </w:tcPr>
          <w:p w14:paraId="58817380">
            <w:pPr>
              <w:pStyle w:val="27"/>
            </w:pPr>
            <w:r>
              <w:rPr>
                <w:sz w:val="17"/>
                <w:szCs w:val="17"/>
              </w:rPr>
              <w:t>Erratic</w:t>
            </w:r>
          </w:p>
        </w:tc>
        <w:tc>
          <w:tcPr>
            <w:tcW w:w="850" w:type="dxa"/>
            <w:shd w:val="clear" w:color="auto" w:fill="1F3864"/>
            <w:tcMar>
              <w:top w:w="80" w:type="dxa"/>
              <w:left w:w="120" w:type="dxa"/>
              <w:bottom w:w="80" w:type="dxa"/>
              <w:right w:w="120" w:type="dxa"/>
            </w:tcMar>
            <w:vAlign w:val="center"/>
          </w:tcPr>
          <w:p w14:paraId="08A21088">
            <w:pPr>
              <w:pStyle w:val="27"/>
            </w:pPr>
            <w:r>
              <w:rPr>
                <w:sz w:val="17"/>
                <w:szCs w:val="17"/>
              </w:rPr>
              <w:t>Intermittent</w:t>
            </w:r>
          </w:p>
        </w:tc>
        <w:tc>
          <w:tcPr>
            <w:tcW w:w="850" w:type="dxa"/>
            <w:shd w:val="clear" w:color="auto" w:fill="1F3864"/>
            <w:tcMar>
              <w:top w:w="80" w:type="dxa"/>
              <w:left w:w="120" w:type="dxa"/>
              <w:bottom w:w="80" w:type="dxa"/>
              <w:right w:w="120" w:type="dxa"/>
            </w:tcMar>
            <w:vAlign w:val="center"/>
          </w:tcPr>
          <w:p w14:paraId="240C2C44">
            <w:pPr>
              <w:pStyle w:val="27"/>
            </w:pPr>
            <w:r>
              <w:rPr>
                <w:sz w:val="17"/>
                <w:szCs w:val="17"/>
              </w:rPr>
              <w:t>Lumpy</w:t>
            </w:r>
          </w:p>
        </w:tc>
        <w:tc>
          <w:tcPr>
            <w:tcW w:w="850" w:type="dxa"/>
            <w:shd w:val="clear" w:color="auto" w:fill="1F3864"/>
            <w:tcMar>
              <w:top w:w="80" w:type="dxa"/>
              <w:left w:w="120" w:type="dxa"/>
              <w:bottom w:w="80" w:type="dxa"/>
              <w:right w:w="120" w:type="dxa"/>
            </w:tcMar>
            <w:vAlign w:val="center"/>
          </w:tcPr>
          <w:p w14:paraId="22100270">
            <w:pPr>
              <w:pStyle w:val="27"/>
            </w:pPr>
            <w:r>
              <w:rPr>
                <w:sz w:val="17"/>
                <w:szCs w:val="17"/>
              </w:rPr>
              <w:t>h = 1</w:t>
            </w:r>
          </w:p>
        </w:tc>
        <w:tc>
          <w:tcPr>
            <w:tcW w:w="850" w:type="dxa"/>
            <w:shd w:val="clear" w:color="auto" w:fill="1F3864"/>
            <w:tcMar>
              <w:top w:w="80" w:type="dxa"/>
              <w:left w:w="120" w:type="dxa"/>
              <w:bottom w:w="80" w:type="dxa"/>
              <w:right w:w="120" w:type="dxa"/>
            </w:tcMar>
            <w:vAlign w:val="center"/>
          </w:tcPr>
          <w:p w14:paraId="52D87BFE">
            <w:pPr>
              <w:pStyle w:val="27"/>
            </w:pPr>
            <w:r>
              <w:rPr>
                <w:sz w:val="17"/>
                <w:szCs w:val="17"/>
              </w:rPr>
              <w:t>h = 2</w:t>
            </w:r>
          </w:p>
        </w:tc>
        <w:tc>
          <w:tcPr>
            <w:tcW w:w="850" w:type="dxa"/>
            <w:shd w:val="clear" w:color="auto" w:fill="1F3864"/>
            <w:tcMar>
              <w:top w:w="80" w:type="dxa"/>
              <w:left w:w="120" w:type="dxa"/>
              <w:bottom w:w="80" w:type="dxa"/>
              <w:right w:w="120" w:type="dxa"/>
            </w:tcMar>
            <w:vAlign w:val="center"/>
          </w:tcPr>
          <w:p w14:paraId="5E764586">
            <w:pPr>
              <w:pStyle w:val="27"/>
            </w:pPr>
            <w:r>
              <w:rPr>
                <w:sz w:val="17"/>
                <w:szCs w:val="17"/>
              </w:rPr>
              <w:t>h = 3</w:t>
            </w:r>
          </w:p>
        </w:tc>
        <w:tc>
          <w:tcPr>
            <w:tcW w:w="850" w:type="dxa"/>
            <w:shd w:val="clear" w:color="auto" w:fill="1F3864"/>
            <w:tcMar>
              <w:top w:w="80" w:type="dxa"/>
              <w:left w:w="120" w:type="dxa"/>
              <w:bottom w:w="80" w:type="dxa"/>
              <w:right w:w="120" w:type="dxa"/>
            </w:tcMar>
            <w:vAlign w:val="center"/>
          </w:tcPr>
          <w:p w14:paraId="741B4743">
            <w:pPr>
              <w:pStyle w:val="27"/>
            </w:pPr>
            <w:r>
              <w:rPr>
                <w:sz w:val="17"/>
                <w:szCs w:val="17"/>
              </w:rPr>
              <w:t>h = 4</w:t>
            </w:r>
          </w:p>
        </w:tc>
      </w:tr>
      <w:tr w14:paraId="7BAD49B0">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tcMar>
              <w:top w:w="80" w:type="dxa"/>
              <w:left w:w="120" w:type="dxa"/>
              <w:bottom w:w="80" w:type="dxa"/>
              <w:right w:w="120" w:type="dxa"/>
            </w:tcMar>
          </w:tcPr>
          <w:p w14:paraId="474018B2">
            <w:pPr>
              <w:pStyle w:val="26"/>
            </w:pPr>
            <w:r>
              <w:rPr>
                <w:b/>
                <w:bCs/>
                <w:color w:val="1F3864"/>
                <w:sz w:val="17"/>
                <w:szCs w:val="17"/>
              </w:rPr>
              <w:t>LightGBM</w:t>
            </w:r>
          </w:p>
        </w:tc>
        <w:tc>
          <w:tcPr>
            <w:tcW w:w="850" w:type="dxa"/>
            <w:tcMar>
              <w:top w:w="80" w:type="dxa"/>
              <w:left w:w="120" w:type="dxa"/>
              <w:bottom w:w="80" w:type="dxa"/>
              <w:right w:w="120" w:type="dxa"/>
            </w:tcMar>
          </w:tcPr>
          <w:p w14:paraId="4F824E14">
            <w:pPr>
              <w:pStyle w:val="26"/>
            </w:pPr>
            <w:r>
              <w:rPr>
                <w:sz w:val="17"/>
                <w:szCs w:val="17"/>
              </w:rPr>
              <w:t>33</w:t>
            </w:r>
          </w:p>
        </w:tc>
        <w:tc>
          <w:tcPr>
            <w:tcW w:w="850" w:type="dxa"/>
            <w:tcMar>
              <w:top w:w="80" w:type="dxa"/>
              <w:left w:w="120" w:type="dxa"/>
              <w:bottom w:w="80" w:type="dxa"/>
              <w:right w:w="120" w:type="dxa"/>
            </w:tcMar>
          </w:tcPr>
          <w:p w14:paraId="1F71EBC8">
            <w:pPr>
              <w:pStyle w:val="26"/>
            </w:pPr>
            <w:r>
              <w:rPr>
                <w:sz w:val="17"/>
                <w:szCs w:val="17"/>
              </w:rPr>
              <w:t>73</w:t>
            </w:r>
          </w:p>
        </w:tc>
        <w:tc>
          <w:tcPr>
            <w:tcW w:w="850" w:type="dxa"/>
            <w:tcMar>
              <w:top w:w="80" w:type="dxa"/>
              <w:left w:w="120" w:type="dxa"/>
              <w:bottom w:w="80" w:type="dxa"/>
              <w:right w:w="120" w:type="dxa"/>
            </w:tcMar>
          </w:tcPr>
          <w:p w14:paraId="5C8077D3">
            <w:pPr>
              <w:pStyle w:val="26"/>
            </w:pPr>
            <w:r>
              <w:rPr>
                <w:sz w:val="17"/>
                <w:szCs w:val="17"/>
              </w:rPr>
              <w:t>107</w:t>
            </w:r>
          </w:p>
        </w:tc>
        <w:tc>
          <w:tcPr>
            <w:tcW w:w="850" w:type="dxa"/>
            <w:tcMar>
              <w:top w:w="80" w:type="dxa"/>
              <w:left w:w="120" w:type="dxa"/>
              <w:bottom w:w="80" w:type="dxa"/>
              <w:right w:w="120" w:type="dxa"/>
            </w:tcMar>
          </w:tcPr>
          <w:p w14:paraId="5EC1780F">
            <w:pPr>
              <w:pStyle w:val="26"/>
            </w:pPr>
            <w:r>
              <w:rPr>
                <w:sz w:val="17"/>
                <w:szCs w:val="17"/>
              </w:rPr>
              <w:t>123</w:t>
            </w:r>
          </w:p>
        </w:tc>
        <w:tc>
          <w:tcPr>
            <w:tcW w:w="850" w:type="dxa"/>
            <w:tcMar>
              <w:top w:w="80" w:type="dxa"/>
              <w:left w:w="120" w:type="dxa"/>
              <w:bottom w:w="80" w:type="dxa"/>
              <w:right w:w="120" w:type="dxa"/>
            </w:tcMar>
          </w:tcPr>
          <w:p w14:paraId="122D8222">
            <w:pPr>
              <w:pStyle w:val="26"/>
            </w:pPr>
            <w:r>
              <w:rPr>
                <w:sz w:val="17"/>
                <w:szCs w:val="17"/>
              </w:rPr>
              <w:t>72</w:t>
            </w:r>
          </w:p>
        </w:tc>
        <w:tc>
          <w:tcPr>
            <w:tcW w:w="850" w:type="dxa"/>
            <w:tcMar>
              <w:top w:w="80" w:type="dxa"/>
              <w:left w:w="120" w:type="dxa"/>
              <w:bottom w:w="80" w:type="dxa"/>
              <w:right w:w="120" w:type="dxa"/>
            </w:tcMar>
          </w:tcPr>
          <w:p w14:paraId="6D78982D">
            <w:pPr>
              <w:pStyle w:val="26"/>
            </w:pPr>
            <w:r>
              <w:rPr>
                <w:sz w:val="17"/>
                <w:szCs w:val="17"/>
              </w:rPr>
              <w:t>75</w:t>
            </w:r>
          </w:p>
        </w:tc>
        <w:tc>
          <w:tcPr>
            <w:tcW w:w="850" w:type="dxa"/>
            <w:tcMar>
              <w:top w:w="80" w:type="dxa"/>
              <w:left w:w="120" w:type="dxa"/>
              <w:bottom w:w="80" w:type="dxa"/>
              <w:right w:w="120" w:type="dxa"/>
            </w:tcMar>
          </w:tcPr>
          <w:p w14:paraId="4D376EC8">
            <w:pPr>
              <w:pStyle w:val="26"/>
            </w:pPr>
            <w:r>
              <w:rPr>
                <w:sz w:val="17"/>
                <w:szCs w:val="17"/>
              </w:rPr>
              <w:t>98</w:t>
            </w:r>
          </w:p>
        </w:tc>
        <w:tc>
          <w:tcPr>
            <w:tcW w:w="850" w:type="dxa"/>
            <w:tcMar>
              <w:top w:w="80" w:type="dxa"/>
              <w:left w:w="120" w:type="dxa"/>
              <w:bottom w:w="80" w:type="dxa"/>
              <w:right w:w="120" w:type="dxa"/>
            </w:tcMar>
          </w:tcPr>
          <w:p w14:paraId="46A5C01D">
            <w:pPr>
              <w:pStyle w:val="26"/>
            </w:pPr>
            <w:r>
              <w:rPr>
                <w:sz w:val="17"/>
                <w:szCs w:val="17"/>
              </w:rPr>
              <w:t>97</w:t>
            </w:r>
          </w:p>
        </w:tc>
      </w:tr>
      <w:tr w14:paraId="32C1D7EC">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shd w:val="clear" w:color="auto" w:fill="F5F7F7"/>
            <w:tcMar>
              <w:top w:w="80" w:type="dxa"/>
              <w:left w:w="120" w:type="dxa"/>
              <w:bottom w:w="80" w:type="dxa"/>
              <w:right w:w="120" w:type="dxa"/>
            </w:tcMar>
          </w:tcPr>
          <w:p w14:paraId="710EE573">
            <w:pPr>
              <w:pStyle w:val="26"/>
            </w:pPr>
            <w:r>
              <w:rPr>
                <w:b/>
                <w:bCs/>
                <w:color w:val="1F3864"/>
                <w:sz w:val="17"/>
                <w:szCs w:val="17"/>
              </w:rPr>
              <w:t>Ensemble (LightGBM + Seasonal SBA)</w:t>
            </w:r>
          </w:p>
        </w:tc>
        <w:tc>
          <w:tcPr>
            <w:tcW w:w="850" w:type="dxa"/>
            <w:shd w:val="clear" w:color="auto" w:fill="F5F7F7"/>
            <w:tcMar>
              <w:top w:w="80" w:type="dxa"/>
              <w:left w:w="120" w:type="dxa"/>
              <w:bottom w:w="80" w:type="dxa"/>
              <w:right w:w="120" w:type="dxa"/>
            </w:tcMar>
          </w:tcPr>
          <w:p w14:paraId="5422647F">
            <w:pPr>
              <w:pStyle w:val="26"/>
            </w:pPr>
            <w:r>
              <w:rPr>
                <w:sz w:val="17"/>
                <w:szCs w:val="17"/>
              </w:rPr>
              <w:t>38</w:t>
            </w:r>
          </w:p>
        </w:tc>
        <w:tc>
          <w:tcPr>
            <w:tcW w:w="850" w:type="dxa"/>
            <w:shd w:val="clear" w:color="auto" w:fill="F5F7F7"/>
            <w:tcMar>
              <w:top w:w="80" w:type="dxa"/>
              <w:left w:w="120" w:type="dxa"/>
              <w:bottom w:w="80" w:type="dxa"/>
              <w:right w:w="120" w:type="dxa"/>
            </w:tcMar>
          </w:tcPr>
          <w:p w14:paraId="415A7567">
            <w:pPr>
              <w:pStyle w:val="26"/>
            </w:pPr>
            <w:r>
              <w:rPr>
                <w:sz w:val="17"/>
                <w:szCs w:val="17"/>
              </w:rPr>
              <w:t>73</w:t>
            </w:r>
          </w:p>
        </w:tc>
        <w:tc>
          <w:tcPr>
            <w:tcW w:w="850" w:type="dxa"/>
            <w:shd w:val="clear" w:color="auto" w:fill="F5F7F7"/>
            <w:tcMar>
              <w:top w:w="80" w:type="dxa"/>
              <w:left w:w="120" w:type="dxa"/>
              <w:bottom w:w="80" w:type="dxa"/>
              <w:right w:w="120" w:type="dxa"/>
            </w:tcMar>
          </w:tcPr>
          <w:p w14:paraId="3812552D">
            <w:pPr>
              <w:pStyle w:val="26"/>
            </w:pPr>
            <w:r>
              <w:rPr>
                <w:sz w:val="17"/>
                <w:szCs w:val="17"/>
              </w:rPr>
              <w:t>165</w:t>
            </w:r>
          </w:p>
        </w:tc>
        <w:tc>
          <w:tcPr>
            <w:tcW w:w="850" w:type="dxa"/>
            <w:shd w:val="clear" w:color="auto" w:fill="F5F7F7"/>
            <w:tcMar>
              <w:top w:w="80" w:type="dxa"/>
              <w:left w:w="120" w:type="dxa"/>
              <w:bottom w:w="80" w:type="dxa"/>
              <w:right w:w="120" w:type="dxa"/>
            </w:tcMar>
          </w:tcPr>
          <w:p w14:paraId="7DE7F1B9">
            <w:pPr>
              <w:pStyle w:val="26"/>
            </w:pPr>
            <w:r>
              <w:rPr>
                <w:sz w:val="17"/>
                <w:szCs w:val="17"/>
              </w:rPr>
              <w:t>159</w:t>
            </w:r>
          </w:p>
        </w:tc>
        <w:tc>
          <w:tcPr>
            <w:tcW w:w="850" w:type="dxa"/>
            <w:shd w:val="clear" w:color="auto" w:fill="F5F7F7"/>
            <w:tcMar>
              <w:top w:w="80" w:type="dxa"/>
              <w:left w:w="120" w:type="dxa"/>
              <w:bottom w:w="80" w:type="dxa"/>
              <w:right w:w="120" w:type="dxa"/>
            </w:tcMar>
          </w:tcPr>
          <w:p w14:paraId="12C58A10">
            <w:pPr>
              <w:pStyle w:val="26"/>
            </w:pPr>
            <w:r>
              <w:rPr>
                <w:sz w:val="17"/>
                <w:szCs w:val="17"/>
              </w:rPr>
              <w:t>85</w:t>
            </w:r>
          </w:p>
        </w:tc>
        <w:tc>
          <w:tcPr>
            <w:tcW w:w="850" w:type="dxa"/>
            <w:shd w:val="clear" w:color="auto" w:fill="F5F7F7"/>
            <w:tcMar>
              <w:top w:w="80" w:type="dxa"/>
              <w:left w:w="120" w:type="dxa"/>
              <w:bottom w:w="80" w:type="dxa"/>
              <w:right w:w="120" w:type="dxa"/>
            </w:tcMar>
          </w:tcPr>
          <w:p w14:paraId="73CFBED5">
            <w:pPr>
              <w:pStyle w:val="26"/>
            </w:pPr>
            <w:r>
              <w:rPr>
                <w:sz w:val="17"/>
                <w:szCs w:val="17"/>
              </w:rPr>
              <w:t>82</w:t>
            </w:r>
          </w:p>
        </w:tc>
        <w:tc>
          <w:tcPr>
            <w:tcW w:w="850" w:type="dxa"/>
            <w:shd w:val="clear" w:color="auto" w:fill="F5F7F7"/>
            <w:tcMar>
              <w:top w:w="80" w:type="dxa"/>
              <w:left w:w="120" w:type="dxa"/>
              <w:bottom w:w="80" w:type="dxa"/>
              <w:right w:w="120" w:type="dxa"/>
            </w:tcMar>
          </w:tcPr>
          <w:p w14:paraId="5B451D08">
            <w:pPr>
              <w:pStyle w:val="26"/>
            </w:pPr>
            <w:r>
              <w:rPr>
                <w:sz w:val="17"/>
                <w:szCs w:val="17"/>
              </w:rPr>
              <w:t>109</w:t>
            </w:r>
          </w:p>
        </w:tc>
        <w:tc>
          <w:tcPr>
            <w:tcW w:w="850" w:type="dxa"/>
            <w:shd w:val="clear" w:color="auto" w:fill="F5F7F7"/>
            <w:tcMar>
              <w:top w:w="80" w:type="dxa"/>
              <w:left w:w="120" w:type="dxa"/>
              <w:bottom w:w="80" w:type="dxa"/>
              <w:right w:w="120" w:type="dxa"/>
            </w:tcMar>
          </w:tcPr>
          <w:p w14:paraId="0F727DE3">
            <w:pPr>
              <w:pStyle w:val="26"/>
            </w:pPr>
            <w:r>
              <w:rPr>
                <w:sz w:val="17"/>
                <w:szCs w:val="17"/>
              </w:rPr>
              <w:t>103</w:t>
            </w:r>
          </w:p>
        </w:tc>
      </w:tr>
      <w:tr w14:paraId="0404DACA">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tcMar>
              <w:top w:w="80" w:type="dxa"/>
              <w:left w:w="120" w:type="dxa"/>
              <w:bottom w:w="80" w:type="dxa"/>
              <w:right w:w="120" w:type="dxa"/>
            </w:tcMar>
          </w:tcPr>
          <w:p w14:paraId="205E3DDC">
            <w:pPr>
              <w:pStyle w:val="26"/>
            </w:pPr>
            <w:r>
              <w:rPr>
                <w:b/>
                <w:bCs/>
                <w:color w:val="1F3864"/>
                <w:sz w:val="17"/>
                <w:szCs w:val="17"/>
              </w:rPr>
              <w:t>SES</w:t>
            </w:r>
          </w:p>
        </w:tc>
        <w:tc>
          <w:tcPr>
            <w:tcW w:w="850" w:type="dxa"/>
            <w:tcMar>
              <w:top w:w="80" w:type="dxa"/>
              <w:left w:w="120" w:type="dxa"/>
              <w:bottom w:w="80" w:type="dxa"/>
              <w:right w:w="120" w:type="dxa"/>
            </w:tcMar>
          </w:tcPr>
          <w:p w14:paraId="7FCBA4C8">
            <w:pPr>
              <w:pStyle w:val="26"/>
            </w:pPr>
            <w:r>
              <w:rPr>
                <w:sz w:val="17"/>
                <w:szCs w:val="17"/>
              </w:rPr>
              <w:t>127</w:t>
            </w:r>
          </w:p>
        </w:tc>
        <w:tc>
          <w:tcPr>
            <w:tcW w:w="850" w:type="dxa"/>
            <w:tcMar>
              <w:top w:w="80" w:type="dxa"/>
              <w:left w:w="120" w:type="dxa"/>
              <w:bottom w:w="80" w:type="dxa"/>
              <w:right w:w="120" w:type="dxa"/>
            </w:tcMar>
          </w:tcPr>
          <w:p w14:paraId="171A3617">
            <w:pPr>
              <w:pStyle w:val="26"/>
            </w:pPr>
            <w:r>
              <w:rPr>
                <w:sz w:val="17"/>
                <w:szCs w:val="17"/>
              </w:rPr>
              <w:t>86</w:t>
            </w:r>
          </w:p>
        </w:tc>
        <w:tc>
          <w:tcPr>
            <w:tcW w:w="850" w:type="dxa"/>
            <w:tcMar>
              <w:top w:w="80" w:type="dxa"/>
              <w:left w:w="120" w:type="dxa"/>
              <w:bottom w:w="80" w:type="dxa"/>
              <w:right w:w="120" w:type="dxa"/>
            </w:tcMar>
          </w:tcPr>
          <w:p w14:paraId="6E1CEC83">
            <w:pPr>
              <w:pStyle w:val="26"/>
            </w:pPr>
            <w:r>
              <w:rPr>
                <w:sz w:val="17"/>
                <w:szCs w:val="17"/>
              </w:rPr>
              <w:t>105</w:t>
            </w:r>
          </w:p>
        </w:tc>
        <w:tc>
          <w:tcPr>
            <w:tcW w:w="850" w:type="dxa"/>
            <w:tcMar>
              <w:top w:w="80" w:type="dxa"/>
              <w:left w:w="120" w:type="dxa"/>
              <w:bottom w:w="80" w:type="dxa"/>
              <w:right w:w="120" w:type="dxa"/>
            </w:tcMar>
          </w:tcPr>
          <w:p w14:paraId="3B291EA3">
            <w:pPr>
              <w:pStyle w:val="26"/>
            </w:pPr>
            <w:r>
              <w:rPr>
                <w:sz w:val="17"/>
                <w:szCs w:val="17"/>
              </w:rPr>
              <w:t>135</w:t>
            </w:r>
          </w:p>
        </w:tc>
        <w:tc>
          <w:tcPr>
            <w:tcW w:w="850" w:type="dxa"/>
            <w:tcMar>
              <w:top w:w="80" w:type="dxa"/>
              <w:left w:w="120" w:type="dxa"/>
              <w:bottom w:w="80" w:type="dxa"/>
              <w:right w:w="120" w:type="dxa"/>
            </w:tcMar>
          </w:tcPr>
          <w:p w14:paraId="5ABA7E6B">
            <w:pPr>
              <w:pStyle w:val="26"/>
            </w:pPr>
            <w:r>
              <w:rPr>
                <w:sz w:val="17"/>
                <w:szCs w:val="17"/>
              </w:rPr>
              <w:t>91</w:t>
            </w:r>
          </w:p>
        </w:tc>
        <w:tc>
          <w:tcPr>
            <w:tcW w:w="850" w:type="dxa"/>
            <w:tcMar>
              <w:top w:w="80" w:type="dxa"/>
              <w:left w:w="120" w:type="dxa"/>
              <w:bottom w:w="80" w:type="dxa"/>
              <w:right w:w="120" w:type="dxa"/>
            </w:tcMar>
          </w:tcPr>
          <w:p w14:paraId="54B8A1E8">
            <w:pPr>
              <w:pStyle w:val="26"/>
            </w:pPr>
            <w:r>
              <w:rPr>
                <w:sz w:val="17"/>
                <w:szCs w:val="17"/>
              </w:rPr>
              <w:t>88</w:t>
            </w:r>
          </w:p>
        </w:tc>
        <w:tc>
          <w:tcPr>
            <w:tcW w:w="850" w:type="dxa"/>
            <w:tcMar>
              <w:top w:w="80" w:type="dxa"/>
              <w:left w:w="120" w:type="dxa"/>
              <w:bottom w:w="80" w:type="dxa"/>
              <w:right w:w="120" w:type="dxa"/>
            </w:tcMar>
          </w:tcPr>
          <w:p w14:paraId="5A4C859E">
            <w:pPr>
              <w:pStyle w:val="26"/>
            </w:pPr>
            <w:r>
              <w:rPr>
                <w:sz w:val="17"/>
                <w:szCs w:val="17"/>
              </w:rPr>
              <w:t>109</w:t>
            </w:r>
          </w:p>
        </w:tc>
        <w:tc>
          <w:tcPr>
            <w:tcW w:w="850" w:type="dxa"/>
            <w:tcMar>
              <w:top w:w="80" w:type="dxa"/>
              <w:left w:w="120" w:type="dxa"/>
              <w:bottom w:w="80" w:type="dxa"/>
              <w:right w:w="120" w:type="dxa"/>
            </w:tcMar>
          </w:tcPr>
          <w:p w14:paraId="52142D96">
            <w:pPr>
              <w:pStyle w:val="26"/>
            </w:pPr>
            <w:r>
              <w:rPr>
                <w:sz w:val="17"/>
                <w:szCs w:val="17"/>
              </w:rPr>
              <w:t>111</w:t>
            </w:r>
          </w:p>
        </w:tc>
      </w:tr>
      <w:tr w14:paraId="08AB0CE6">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shd w:val="clear" w:color="auto" w:fill="F5F7F7"/>
            <w:tcMar>
              <w:top w:w="80" w:type="dxa"/>
              <w:left w:w="120" w:type="dxa"/>
              <w:bottom w:w="80" w:type="dxa"/>
              <w:right w:w="120" w:type="dxa"/>
            </w:tcMar>
          </w:tcPr>
          <w:p w14:paraId="09F0CD51">
            <w:pPr>
              <w:pStyle w:val="26"/>
            </w:pPr>
            <w:r>
              <w:rPr>
                <w:b/>
                <w:bCs/>
                <w:color w:val="1F3864"/>
                <w:sz w:val="17"/>
                <w:szCs w:val="17"/>
              </w:rPr>
              <w:t>Naive</w:t>
            </w:r>
          </w:p>
        </w:tc>
        <w:tc>
          <w:tcPr>
            <w:tcW w:w="850" w:type="dxa"/>
            <w:shd w:val="clear" w:color="auto" w:fill="F5F7F7"/>
            <w:tcMar>
              <w:top w:w="80" w:type="dxa"/>
              <w:left w:w="120" w:type="dxa"/>
              <w:bottom w:w="80" w:type="dxa"/>
              <w:right w:w="120" w:type="dxa"/>
            </w:tcMar>
          </w:tcPr>
          <w:p w14:paraId="21433967">
            <w:pPr>
              <w:pStyle w:val="26"/>
            </w:pPr>
            <w:r>
              <w:rPr>
                <w:sz w:val="17"/>
                <w:szCs w:val="17"/>
              </w:rPr>
              <w:t>103</w:t>
            </w:r>
          </w:p>
        </w:tc>
        <w:tc>
          <w:tcPr>
            <w:tcW w:w="850" w:type="dxa"/>
            <w:shd w:val="clear" w:color="auto" w:fill="F5F7F7"/>
            <w:tcMar>
              <w:top w:w="80" w:type="dxa"/>
              <w:left w:w="120" w:type="dxa"/>
              <w:bottom w:w="80" w:type="dxa"/>
              <w:right w:w="120" w:type="dxa"/>
            </w:tcMar>
          </w:tcPr>
          <w:p w14:paraId="291BDD29">
            <w:pPr>
              <w:pStyle w:val="26"/>
            </w:pPr>
            <w:r>
              <w:rPr>
                <w:sz w:val="17"/>
                <w:szCs w:val="17"/>
              </w:rPr>
              <w:t>92</w:t>
            </w:r>
          </w:p>
        </w:tc>
        <w:tc>
          <w:tcPr>
            <w:tcW w:w="850" w:type="dxa"/>
            <w:shd w:val="clear" w:color="auto" w:fill="F5F7F7"/>
            <w:tcMar>
              <w:top w:w="80" w:type="dxa"/>
              <w:left w:w="120" w:type="dxa"/>
              <w:bottom w:w="80" w:type="dxa"/>
              <w:right w:w="120" w:type="dxa"/>
            </w:tcMar>
          </w:tcPr>
          <w:p w14:paraId="599688BD">
            <w:pPr>
              <w:pStyle w:val="26"/>
            </w:pPr>
            <w:r>
              <w:rPr>
                <w:sz w:val="17"/>
                <w:szCs w:val="17"/>
              </w:rPr>
              <w:t>101</w:t>
            </w:r>
          </w:p>
        </w:tc>
        <w:tc>
          <w:tcPr>
            <w:tcW w:w="850" w:type="dxa"/>
            <w:shd w:val="clear" w:color="auto" w:fill="F5F7F7"/>
            <w:tcMar>
              <w:top w:w="80" w:type="dxa"/>
              <w:left w:w="120" w:type="dxa"/>
              <w:bottom w:w="80" w:type="dxa"/>
              <w:right w:w="120" w:type="dxa"/>
            </w:tcMar>
          </w:tcPr>
          <w:p w14:paraId="74117F1C">
            <w:pPr>
              <w:pStyle w:val="26"/>
            </w:pPr>
            <w:r>
              <w:rPr>
                <w:sz w:val="17"/>
                <w:szCs w:val="17"/>
              </w:rPr>
              <w:t>130</w:t>
            </w:r>
          </w:p>
        </w:tc>
        <w:tc>
          <w:tcPr>
            <w:tcW w:w="850" w:type="dxa"/>
            <w:shd w:val="clear" w:color="auto" w:fill="F5F7F7"/>
            <w:tcMar>
              <w:top w:w="80" w:type="dxa"/>
              <w:left w:w="120" w:type="dxa"/>
              <w:bottom w:w="80" w:type="dxa"/>
              <w:right w:w="120" w:type="dxa"/>
            </w:tcMar>
          </w:tcPr>
          <w:p w14:paraId="219533CB">
            <w:pPr>
              <w:pStyle w:val="26"/>
            </w:pPr>
            <w:r>
              <w:rPr>
                <w:sz w:val="17"/>
                <w:szCs w:val="17"/>
              </w:rPr>
              <w:t>73</w:t>
            </w:r>
          </w:p>
        </w:tc>
        <w:tc>
          <w:tcPr>
            <w:tcW w:w="850" w:type="dxa"/>
            <w:shd w:val="clear" w:color="auto" w:fill="F5F7F7"/>
            <w:tcMar>
              <w:top w:w="80" w:type="dxa"/>
              <w:left w:w="120" w:type="dxa"/>
              <w:bottom w:w="80" w:type="dxa"/>
              <w:right w:w="120" w:type="dxa"/>
            </w:tcMar>
          </w:tcPr>
          <w:p w14:paraId="02E613CA">
            <w:pPr>
              <w:pStyle w:val="26"/>
            </w:pPr>
            <w:r>
              <w:rPr>
                <w:sz w:val="17"/>
                <w:szCs w:val="17"/>
              </w:rPr>
              <w:t>97</w:t>
            </w:r>
          </w:p>
        </w:tc>
        <w:tc>
          <w:tcPr>
            <w:tcW w:w="850" w:type="dxa"/>
            <w:shd w:val="clear" w:color="auto" w:fill="F5F7F7"/>
            <w:tcMar>
              <w:top w:w="80" w:type="dxa"/>
              <w:left w:w="120" w:type="dxa"/>
              <w:bottom w:w="80" w:type="dxa"/>
              <w:right w:w="120" w:type="dxa"/>
            </w:tcMar>
          </w:tcPr>
          <w:p w14:paraId="344FE721">
            <w:pPr>
              <w:pStyle w:val="26"/>
            </w:pPr>
            <w:r>
              <w:rPr>
                <w:sz w:val="17"/>
                <w:szCs w:val="17"/>
              </w:rPr>
              <w:t>121</w:t>
            </w:r>
          </w:p>
        </w:tc>
        <w:tc>
          <w:tcPr>
            <w:tcW w:w="850" w:type="dxa"/>
            <w:shd w:val="clear" w:color="auto" w:fill="F5F7F7"/>
            <w:tcMar>
              <w:top w:w="80" w:type="dxa"/>
              <w:left w:w="120" w:type="dxa"/>
              <w:bottom w:w="80" w:type="dxa"/>
              <w:right w:w="120" w:type="dxa"/>
            </w:tcMar>
          </w:tcPr>
          <w:p w14:paraId="603FC91A">
            <w:pPr>
              <w:pStyle w:val="26"/>
            </w:pPr>
            <w:r>
              <w:rPr>
                <w:sz w:val="17"/>
                <w:szCs w:val="17"/>
              </w:rPr>
              <w:t>116</w:t>
            </w:r>
          </w:p>
        </w:tc>
      </w:tr>
      <w:tr w14:paraId="777A0BC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tcMar>
              <w:top w:w="80" w:type="dxa"/>
              <w:left w:w="120" w:type="dxa"/>
              <w:bottom w:w="80" w:type="dxa"/>
              <w:right w:w="120" w:type="dxa"/>
            </w:tcMar>
          </w:tcPr>
          <w:p w14:paraId="2B468659">
            <w:pPr>
              <w:pStyle w:val="26"/>
            </w:pPr>
            <w:r>
              <w:rPr>
                <w:b/>
                <w:bCs/>
                <w:color w:val="1F3864"/>
                <w:sz w:val="17"/>
                <w:szCs w:val="17"/>
              </w:rPr>
              <w:t>Random Forest</w:t>
            </w:r>
          </w:p>
        </w:tc>
        <w:tc>
          <w:tcPr>
            <w:tcW w:w="850" w:type="dxa"/>
            <w:tcMar>
              <w:top w:w="80" w:type="dxa"/>
              <w:left w:w="120" w:type="dxa"/>
              <w:bottom w:w="80" w:type="dxa"/>
              <w:right w:w="120" w:type="dxa"/>
            </w:tcMar>
          </w:tcPr>
          <w:p w14:paraId="38D1F2C6">
            <w:pPr>
              <w:pStyle w:val="26"/>
            </w:pPr>
            <w:r>
              <w:rPr>
                <w:sz w:val="17"/>
                <w:szCs w:val="17"/>
              </w:rPr>
              <w:t>28</w:t>
            </w:r>
          </w:p>
        </w:tc>
        <w:tc>
          <w:tcPr>
            <w:tcW w:w="850" w:type="dxa"/>
            <w:tcMar>
              <w:top w:w="80" w:type="dxa"/>
              <w:left w:w="120" w:type="dxa"/>
              <w:bottom w:w="80" w:type="dxa"/>
              <w:right w:w="120" w:type="dxa"/>
            </w:tcMar>
          </w:tcPr>
          <w:p w14:paraId="0A2E8438">
            <w:pPr>
              <w:pStyle w:val="26"/>
            </w:pPr>
            <w:r>
              <w:rPr>
                <w:sz w:val="17"/>
                <w:szCs w:val="17"/>
              </w:rPr>
              <w:t>80</w:t>
            </w:r>
          </w:p>
        </w:tc>
        <w:tc>
          <w:tcPr>
            <w:tcW w:w="850" w:type="dxa"/>
            <w:tcMar>
              <w:top w:w="80" w:type="dxa"/>
              <w:left w:w="120" w:type="dxa"/>
              <w:bottom w:w="80" w:type="dxa"/>
              <w:right w:w="120" w:type="dxa"/>
            </w:tcMar>
          </w:tcPr>
          <w:p w14:paraId="716406E6">
            <w:pPr>
              <w:pStyle w:val="26"/>
            </w:pPr>
            <w:r>
              <w:rPr>
                <w:sz w:val="17"/>
                <w:szCs w:val="17"/>
              </w:rPr>
              <w:t>183</w:t>
            </w:r>
          </w:p>
        </w:tc>
        <w:tc>
          <w:tcPr>
            <w:tcW w:w="850" w:type="dxa"/>
            <w:tcMar>
              <w:top w:w="80" w:type="dxa"/>
              <w:left w:w="120" w:type="dxa"/>
              <w:bottom w:w="80" w:type="dxa"/>
              <w:right w:w="120" w:type="dxa"/>
            </w:tcMar>
          </w:tcPr>
          <w:p w14:paraId="38CFB2E7">
            <w:pPr>
              <w:pStyle w:val="26"/>
            </w:pPr>
            <w:r>
              <w:rPr>
                <w:sz w:val="17"/>
                <w:szCs w:val="17"/>
              </w:rPr>
              <w:t>174</w:t>
            </w:r>
          </w:p>
        </w:tc>
        <w:tc>
          <w:tcPr>
            <w:tcW w:w="850" w:type="dxa"/>
            <w:tcMar>
              <w:top w:w="80" w:type="dxa"/>
              <w:left w:w="120" w:type="dxa"/>
              <w:bottom w:w="80" w:type="dxa"/>
              <w:right w:w="120" w:type="dxa"/>
            </w:tcMar>
          </w:tcPr>
          <w:p w14:paraId="366955FD">
            <w:pPr>
              <w:pStyle w:val="26"/>
            </w:pPr>
            <w:r>
              <w:rPr>
                <w:sz w:val="17"/>
                <w:szCs w:val="17"/>
              </w:rPr>
              <w:t>84</w:t>
            </w:r>
          </w:p>
        </w:tc>
        <w:tc>
          <w:tcPr>
            <w:tcW w:w="850" w:type="dxa"/>
            <w:tcMar>
              <w:top w:w="80" w:type="dxa"/>
              <w:left w:w="120" w:type="dxa"/>
              <w:bottom w:w="80" w:type="dxa"/>
              <w:right w:w="120" w:type="dxa"/>
            </w:tcMar>
          </w:tcPr>
          <w:p w14:paraId="4DA7459A">
            <w:pPr>
              <w:pStyle w:val="26"/>
            </w:pPr>
            <w:r>
              <w:rPr>
                <w:sz w:val="17"/>
                <w:szCs w:val="17"/>
              </w:rPr>
              <w:t>88</w:t>
            </w:r>
          </w:p>
        </w:tc>
        <w:tc>
          <w:tcPr>
            <w:tcW w:w="850" w:type="dxa"/>
            <w:tcMar>
              <w:top w:w="80" w:type="dxa"/>
              <w:left w:w="120" w:type="dxa"/>
              <w:bottom w:w="80" w:type="dxa"/>
              <w:right w:w="120" w:type="dxa"/>
            </w:tcMar>
          </w:tcPr>
          <w:p w14:paraId="2FD0B84E">
            <w:pPr>
              <w:pStyle w:val="26"/>
            </w:pPr>
            <w:r>
              <w:rPr>
                <w:sz w:val="17"/>
                <w:szCs w:val="17"/>
              </w:rPr>
              <w:t>131</w:t>
            </w:r>
          </w:p>
        </w:tc>
        <w:tc>
          <w:tcPr>
            <w:tcW w:w="850" w:type="dxa"/>
            <w:tcMar>
              <w:top w:w="80" w:type="dxa"/>
              <w:left w:w="120" w:type="dxa"/>
              <w:bottom w:w="80" w:type="dxa"/>
              <w:right w:w="120" w:type="dxa"/>
            </w:tcMar>
          </w:tcPr>
          <w:p w14:paraId="70293C91">
            <w:pPr>
              <w:pStyle w:val="26"/>
            </w:pPr>
            <w:r>
              <w:rPr>
                <w:sz w:val="17"/>
                <w:szCs w:val="17"/>
              </w:rPr>
              <w:t>112</w:t>
            </w:r>
          </w:p>
        </w:tc>
      </w:tr>
      <w:tr w14:paraId="3BD4AECC">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shd w:val="clear" w:color="auto" w:fill="F5F7F7"/>
            <w:tcMar>
              <w:top w:w="80" w:type="dxa"/>
              <w:left w:w="120" w:type="dxa"/>
              <w:bottom w:w="80" w:type="dxa"/>
              <w:right w:w="120" w:type="dxa"/>
            </w:tcMar>
          </w:tcPr>
          <w:p w14:paraId="744DA084">
            <w:pPr>
              <w:pStyle w:val="26"/>
            </w:pPr>
            <w:r>
              <w:rPr>
                <w:b/>
                <w:bCs/>
                <w:color w:val="1F3864"/>
                <w:sz w:val="17"/>
                <w:szCs w:val="17"/>
              </w:rPr>
              <w:t>ARIMA(1,1,1)</w:t>
            </w:r>
          </w:p>
        </w:tc>
        <w:tc>
          <w:tcPr>
            <w:tcW w:w="850" w:type="dxa"/>
            <w:shd w:val="clear" w:color="auto" w:fill="F5F7F7"/>
            <w:tcMar>
              <w:top w:w="80" w:type="dxa"/>
              <w:left w:w="120" w:type="dxa"/>
              <w:bottom w:w="80" w:type="dxa"/>
              <w:right w:w="120" w:type="dxa"/>
            </w:tcMar>
          </w:tcPr>
          <w:p w14:paraId="65488D1D">
            <w:pPr>
              <w:pStyle w:val="26"/>
            </w:pPr>
            <w:r>
              <w:rPr>
                <w:sz w:val="17"/>
                <w:szCs w:val="17"/>
              </w:rPr>
              <w:t>133</w:t>
            </w:r>
          </w:p>
        </w:tc>
        <w:tc>
          <w:tcPr>
            <w:tcW w:w="850" w:type="dxa"/>
            <w:shd w:val="clear" w:color="auto" w:fill="F5F7F7"/>
            <w:tcMar>
              <w:top w:w="80" w:type="dxa"/>
              <w:left w:w="120" w:type="dxa"/>
              <w:bottom w:w="80" w:type="dxa"/>
              <w:right w:w="120" w:type="dxa"/>
            </w:tcMar>
          </w:tcPr>
          <w:p w14:paraId="4BA80ED1">
            <w:pPr>
              <w:pStyle w:val="26"/>
            </w:pPr>
            <w:r>
              <w:rPr>
                <w:sz w:val="17"/>
                <w:szCs w:val="17"/>
              </w:rPr>
              <w:t>87</w:t>
            </w:r>
          </w:p>
        </w:tc>
        <w:tc>
          <w:tcPr>
            <w:tcW w:w="850" w:type="dxa"/>
            <w:shd w:val="clear" w:color="auto" w:fill="F5F7F7"/>
            <w:tcMar>
              <w:top w:w="80" w:type="dxa"/>
              <w:left w:w="120" w:type="dxa"/>
              <w:bottom w:w="80" w:type="dxa"/>
              <w:right w:w="120" w:type="dxa"/>
            </w:tcMar>
          </w:tcPr>
          <w:p w14:paraId="6B108788">
            <w:pPr>
              <w:pStyle w:val="26"/>
            </w:pPr>
            <w:r>
              <w:rPr>
                <w:sz w:val="17"/>
                <w:szCs w:val="17"/>
              </w:rPr>
              <w:t>113</w:t>
            </w:r>
          </w:p>
        </w:tc>
        <w:tc>
          <w:tcPr>
            <w:tcW w:w="850" w:type="dxa"/>
            <w:shd w:val="clear" w:color="auto" w:fill="F5F7F7"/>
            <w:tcMar>
              <w:top w:w="80" w:type="dxa"/>
              <w:left w:w="120" w:type="dxa"/>
              <w:bottom w:w="80" w:type="dxa"/>
              <w:right w:w="120" w:type="dxa"/>
            </w:tcMar>
          </w:tcPr>
          <w:p w14:paraId="78534D27">
            <w:pPr>
              <w:pStyle w:val="26"/>
            </w:pPr>
            <w:r>
              <w:rPr>
                <w:sz w:val="17"/>
                <w:szCs w:val="17"/>
              </w:rPr>
              <w:t>150</w:t>
            </w:r>
          </w:p>
        </w:tc>
        <w:tc>
          <w:tcPr>
            <w:tcW w:w="850" w:type="dxa"/>
            <w:shd w:val="clear" w:color="auto" w:fill="F5F7F7"/>
            <w:tcMar>
              <w:top w:w="80" w:type="dxa"/>
              <w:left w:w="120" w:type="dxa"/>
              <w:bottom w:w="80" w:type="dxa"/>
              <w:right w:w="120" w:type="dxa"/>
            </w:tcMar>
          </w:tcPr>
          <w:p w14:paraId="512E6C72">
            <w:pPr>
              <w:pStyle w:val="26"/>
            </w:pPr>
            <w:r>
              <w:rPr>
                <w:sz w:val="17"/>
                <w:szCs w:val="17"/>
              </w:rPr>
              <w:t>95</w:t>
            </w:r>
          </w:p>
        </w:tc>
        <w:tc>
          <w:tcPr>
            <w:tcW w:w="850" w:type="dxa"/>
            <w:shd w:val="clear" w:color="auto" w:fill="F5F7F7"/>
            <w:tcMar>
              <w:top w:w="80" w:type="dxa"/>
              <w:left w:w="120" w:type="dxa"/>
              <w:bottom w:w="80" w:type="dxa"/>
              <w:right w:w="120" w:type="dxa"/>
            </w:tcMar>
          </w:tcPr>
          <w:p w14:paraId="0278090E">
            <w:pPr>
              <w:pStyle w:val="26"/>
            </w:pPr>
            <w:r>
              <w:rPr>
                <w:sz w:val="17"/>
                <w:szCs w:val="17"/>
              </w:rPr>
              <w:t>90</w:t>
            </w:r>
          </w:p>
        </w:tc>
        <w:tc>
          <w:tcPr>
            <w:tcW w:w="850" w:type="dxa"/>
            <w:shd w:val="clear" w:color="auto" w:fill="F5F7F7"/>
            <w:tcMar>
              <w:top w:w="80" w:type="dxa"/>
              <w:left w:w="120" w:type="dxa"/>
              <w:bottom w:w="80" w:type="dxa"/>
              <w:right w:w="120" w:type="dxa"/>
            </w:tcMar>
          </w:tcPr>
          <w:p w14:paraId="4F6D617C">
            <w:pPr>
              <w:pStyle w:val="26"/>
            </w:pPr>
            <w:r>
              <w:rPr>
                <w:sz w:val="17"/>
                <w:szCs w:val="17"/>
              </w:rPr>
              <w:t>115</w:t>
            </w:r>
          </w:p>
        </w:tc>
        <w:tc>
          <w:tcPr>
            <w:tcW w:w="850" w:type="dxa"/>
            <w:shd w:val="clear" w:color="auto" w:fill="F5F7F7"/>
            <w:tcMar>
              <w:top w:w="80" w:type="dxa"/>
              <w:left w:w="120" w:type="dxa"/>
              <w:bottom w:w="80" w:type="dxa"/>
              <w:right w:w="120" w:type="dxa"/>
            </w:tcMar>
          </w:tcPr>
          <w:p w14:paraId="37CF0BD7">
            <w:pPr>
              <w:pStyle w:val="26"/>
            </w:pPr>
            <w:r>
              <w:rPr>
                <w:sz w:val="17"/>
                <w:szCs w:val="17"/>
              </w:rPr>
              <w:t>116</w:t>
            </w:r>
          </w:p>
        </w:tc>
      </w:tr>
      <w:tr w14:paraId="52649B48">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tcMar>
              <w:top w:w="80" w:type="dxa"/>
              <w:left w:w="120" w:type="dxa"/>
              <w:bottom w:w="80" w:type="dxa"/>
              <w:right w:w="120" w:type="dxa"/>
            </w:tcMar>
          </w:tcPr>
          <w:p w14:paraId="1C77E9AB">
            <w:pPr>
              <w:pStyle w:val="26"/>
            </w:pPr>
            <w:r>
              <w:rPr>
                <w:b/>
                <w:bCs/>
                <w:color w:val="1F3864"/>
                <w:sz w:val="17"/>
                <w:szCs w:val="17"/>
              </w:rPr>
              <w:t>TSB</w:t>
            </w:r>
          </w:p>
        </w:tc>
        <w:tc>
          <w:tcPr>
            <w:tcW w:w="850" w:type="dxa"/>
            <w:tcMar>
              <w:top w:w="80" w:type="dxa"/>
              <w:left w:w="120" w:type="dxa"/>
              <w:bottom w:w="80" w:type="dxa"/>
              <w:right w:w="120" w:type="dxa"/>
            </w:tcMar>
          </w:tcPr>
          <w:p w14:paraId="30F5F6BB">
            <w:pPr>
              <w:pStyle w:val="26"/>
            </w:pPr>
            <w:r>
              <w:rPr>
                <w:sz w:val="17"/>
                <w:szCs w:val="17"/>
              </w:rPr>
              <w:t>129</w:t>
            </w:r>
          </w:p>
        </w:tc>
        <w:tc>
          <w:tcPr>
            <w:tcW w:w="850" w:type="dxa"/>
            <w:tcMar>
              <w:top w:w="80" w:type="dxa"/>
              <w:left w:w="120" w:type="dxa"/>
              <w:bottom w:w="80" w:type="dxa"/>
              <w:right w:w="120" w:type="dxa"/>
            </w:tcMar>
          </w:tcPr>
          <w:p w14:paraId="4C50E511">
            <w:pPr>
              <w:pStyle w:val="26"/>
            </w:pPr>
            <w:r>
              <w:rPr>
                <w:sz w:val="17"/>
                <w:szCs w:val="17"/>
              </w:rPr>
              <w:t>89</w:t>
            </w:r>
          </w:p>
        </w:tc>
        <w:tc>
          <w:tcPr>
            <w:tcW w:w="850" w:type="dxa"/>
            <w:tcMar>
              <w:top w:w="80" w:type="dxa"/>
              <w:left w:w="120" w:type="dxa"/>
              <w:bottom w:w="80" w:type="dxa"/>
              <w:right w:w="120" w:type="dxa"/>
            </w:tcMar>
          </w:tcPr>
          <w:p w14:paraId="35867398">
            <w:pPr>
              <w:pStyle w:val="26"/>
            </w:pPr>
            <w:r>
              <w:rPr>
                <w:sz w:val="17"/>
                <w:szCs w:val="17"/>
              </w:rPr>
              <w:t>117</w:t>
            </w:r>
          </w:p>
        </w:tc>
        <w:tc>
          <w:tcPr>
            <w:tcW w:w="850" w:type="dxa"/>
            <w:tcMar>
              <w:top w:w="80" w:type="dxa"/>
              <w:left w:w="120" w:type="dxa"/>
              <w:bottom w:w="80" w:type="dxa"/>
              <w:right w:w="120" w:type="dxa"/>
            </w:tcMar>
          </w:tcPr>
          <w:p w14:paraId="4C90704D">
            <w:pPr>
              <w:pStyle w:val="26"/>
            </w:pPr>
            <w:r>
              <w:rPr>
                <w:sz w:val="17"/>
                <w:szCs w:val="17"/>
              </w:rPr>
              <w:t>146</w:t>
            </w:r>
          </w:p>
        </w:tc>
        <w:tc>
          <w:tcPr>
            <w:tcW w:w="850" w:type="dxa"/>
            <w:tcMar>
              <w:top w:w="80" w:type="dxa"/>
              <w:left w:w="120" w:type="dxa"/>
              <w:bottom w:w="80" w:type="dxa"/>
              <w:right w:w="120" w:type="dxa"/>
            </w:tcMar>
          </w:tcPr>
          <w:p w14:paraId="2525DDBB">
            <w:pPr>
              <w:pStyle w:val="26"/>
            </w:pPr>
            <w:r>
              <w:rPr>
                <w:sz w:val="17"/>
                <w:szCs w:val="17"/>
              </w:rPr>
              <w:t>99</w:t>
            </w:r>
          </w:p>
        </w:tc>
        <w:tc>
          <w:tcPr>
            <w:tcW w:w="850" w:type="dxa"/>
            <w:tcMar>
              <w:top w:w="80" w:type="dxa"/>
              <w:left w:w="120" w:type="dxa"/>
              <w:bottom w:w="80" w:type="dxa"/>
              <w:right w:w="120" w:type="dxa"/>
            </w:tcMar>
          </w:tcPr>
          <w:p w14:paraId="7D2489E7">
            <w:pPr>
              <w:pStyle w:val="26"/>
            </w:pPr>
            <w:r>
              <w:rPr>
                <w:sz w:val="17"/>
                <w:szCs w:val="17"/>
              </w:rPr>
              <w:t>92</w:t>
            </w:r>
          </w:p>
        </w:tc>
        <w:tc>
          <w:tcPr>
            <w:tcW w:w="850" w:type="dxa"/>
            <w:tcMar>
              <w:top w:w="80" w:type="dxa"/>
              <w:left w:w="120" w:type="dxa"/>
              <w:bottom w:w="80" w:type="dxa"/>
              <w:right w:w="120" w:type="dxa"/>
            </w:tcMar>
          </w:tcPr>
          <w:p w14:paraId="786425EB">
            <w:pPr>
              <w:pStyle w:val="26"/>
            </w:pPr>
            <w:r>
              <w:rPr>
                <w:sz w:val="17"/>
                <w:szCs w:val="17"/>
              </w:rPr>
              <w:t>114</w:t>
            </w:r>
          </w:p>
        </w:tc>
        <w:tc>
          <w:tcPr>
            <w:tcW w:w="850" w:type="dxa"/>
            <w:tcMar>
              <w:top w:w="80" w:type="dxa"/>
              <w:left w:w="120" w:type="dxa"/>
              <w:bottom w:w="80" w:type="dxa"/>
              <w:right w:w="120" w:type="dxa"/>
            </w:tcMar>
          </w:tcPr>
          <w:p w14:paraId="34DEFCBD">
            <w:pPr>
              <w:pStyle w:val="26"/>
            </w:pPr>
            <w:r>
              <w:rPr>
                <w:sz w:val="17"/>
                <w:szCs w:val="17"/>
              </w:rPr>
              <w:t>112</w:t>
            </w:r>
          </w:p>
        </w:tc>
      </w:tr>
      <w:tr w14:paraId="763C0034">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shd w:val="clear" w:color="auto" w:fill="F5F7F7"/>
            <w:tcMar>
              <w:top w:w="80" w:type="dxa"/>
              <w:left w:w="120" w:type="dxa"/>
              <w:bottom w:w="80" w:type="dxa"/>
              <w:right w:w="120" w:type="dxa"/>
            </w:tcMar>
          </w:tcPr>
          <w:p w14:paraId="1759B8A4">
            <w:pPr>
              <w:pStyle w:val="26"/>
            </w:pPr>
            <w:r>
              <w:rPr>
                <w:b/>
                <w:bCs/>
                <w:color w:val="1F3864"/>
                <w:sz w:val="17"/>
                <w:szCs w:val="17"/>
              </w:rPr>
              <w:t>Moving Average (8w)</w:t>
            </w:r>
          </w:p>
        </w:tc>
        <w:tc>
          <w:tcPr>
            <w:tcW w:w="850" w:type="dxa"/>
            <w:shd w:val="clear" w:color="auto" w:fill="F5F7F7"/>
            <w:tcMar>
              <w:top w:w="80" w:type="dxa"/>
              <w:left w:w="120" w:type="dxa"/>
              <w:bottom w:w="80" w:type="dxa"/>
              <w:right w:w="120" w:type="dxa"/>
            </w:tcMar>
          </w:tcPr>
          <w:p w14:paraId="5EFA1FEA">
            <w:pPr>
              <w:pStyle w:val="26"/>
            </w:pPr>
            <w:r>
              <w:rPr>
                <w:sz w:val="17"/>
                <w:szCs w:val="17"/>
              </w:rPr>
              <w:t>133</w:t>
            </w:r>
          </w:p>
        </w:tc>
        <w:tc>
          <w:tcPr>
            <w:tcW w:w="850" w:type="dxa"/>
            <w:shd w:val="clear" w:color="auto" w:fill="F5F7F7"/>
            <w:tcMar>
              <w:top w:w="80" w:type="dxa"/>
              <w:left w:w="120" w:type="dxa"/>
              <w:bottom w:w="80" w:type="dxa"/>
              <w:right w:w="120" w:type="dxa"/>
            </w:tcMar>
          </w:tcPr>
          <w:p w14:paraId="1E080A75">
            <w:pPr>
              <w:pStyle w:val="26"/>
            </w:pPr>
            <w:r>
              <w:rPr>
                <w:sz w:val="17"/>
                <w:szCs w:val="17"/>
              </w:rPr>
              <w:t>92</w:t>
            </w:r>
          </w:p>
        </w:tc>
        <w:tc>
          <w:tcPr>
            <w:tcW w:w="850" w:type="dxa"/>
            <w:shd w:val="clear" w:color="auto" w:fill="F5F7F7"/>
            <w:tcMar>
              <w:top w:w="80" w:type="dxa"/>
              <w:left w:w="120" w:type="dxa"/>
              <w:bottom w:w="80" w:type="dxa"/>
              <w:right w:w="120" w:type="dxa"/>
            </w:tcMar>
          </w:tcPr>
          <w:p w14:paraId="78A2DE92">
            <w:pPr>
              <w:pStyle w:val="26"/>
            </w:pPr>
            <w:r>
              <w:rPr>
                <w:sz w:val="17"/>
                <w:szCs w:val="17"/>
              </w:rPr>
              <w:t>113</w:t>
            </w:r>
          </w:p>
        </w:tc>
        <w:tc>
          <w:tcPr>
            <w:tcW w:w="850" w:type="dxa"/>
            <w:shd w:val="clear" w:color="auto" w:fill="F5F7F7"/>
            <w:tcMar>
              <w:top w:w="80" w:type="dxa"/>
              <w:left w:w="120" w:type="dxa"/>
              <w:bottom w:w="80" w:type="dxa"/>
              <w:right w:w="120" w:type="dxa"/>
            </w:tcMar>
          </w:tcPr>
          <w:p w14:paraId="78B23A4A">
            <w:pPr>
              <w:pStyle w:val="26"/>
            </w:pPr>
            <w:r>
              <w:rPr>
                <w:sz w:val="17"/>
                <w:szCs w:val="17"/>
              </w:rPr>
              <w:t>140</w:t>
            </w:r>
          </w:p>
        </w:tc>
        <w:tc>
          <w:tcPr>
            <w:tcW w:w="850" w:type="dxa"/>
            <w:shd w:val="clear" w:color="auto" w:fill="F5F7F7"/>
            <w:tcMar>
              <w:top w:w="80" w:type="dxa"/>
              <w:left w:w="120" w:type="dxa"/>
              <w:bottom w:w="80" w:type="dxa"/>
              <w:right w:w="120" w:type="dxa"/>
            </w:tcMar>
          </w:tcPr>
          <w:p w14:paraId="36D66C86">
            <w:pPr>
              <w:pStyle w:val="26"/>
            </w:pPr>
            <w:r>
              <w:rPr>
                <w:sz w:val="17"/>
                <w:szCs w:val="17"/>
              </w:rPr>
              <w:t>100</w:t>
            </w:r>
          </w:p>
        </w:tc>
        <w:tc>
          <w:tcPr>
            <w:tcW w:w="850" w:type="dxa"/>
            <w:shd w:val="clear" w:color="auto" w:fill="F5F7F7"/>
            <w:tcMar>
              <w:top w:w="80" w:type="dxa"/>
              <w:left w:w="120" w:type="dxa"/>
              <w:bottom w:w="80" w:type="dxa"/>
              <w:right w:w="120" w:type="dxa"/>
            </w:tcMar>
          </w:tcPr>
          <w:p w14:paraId="4242C3AC">
            <w:pPr>
              <w:pStyle w:val="26"/>
            </w:pPr>
            <w:r>
              <w:rPr>
                <w:sz w:val="17"/>
                <w:szCs w:val="17"/>
              </w:rPr>
              <w:t>92</w:t>
            </w:r>
          </w:p>
        </w:tc>
        <w:tc>
          <w:tcPr>
            <w:tcW w:w="850" w:type="dxa"/>
            <w:shd w:val="clear" w:color="auto" w:fill="F5F7F7"/>
            <w:tcMar>
              <w:top w:w="80" w:type="dxa"/>
              <w:left w:w="120" w:type="dxa"/>
              <w:bottom w:w="80" w:type="dxa"/>
              <w:right w:w="120" w:type="dxa"/>
            </w:tcMar>
          </w:tcPr>
          <w:p w14:paraId="188B315D">
            <w:pPr>
              <w:pStyle w:val="26"/>
            </w:pPr>
            <w:r>
              <w:rPr>
                <w:sz w:val="17"/>
                <w:szCs w:val="17"/>
              </w:rPr>
              <w:t>114</w:t>
            </w:r>
          </w:p>
        </w:tc>
        <w:tc>
          <w:tcPr>
            <w:tcW w:w="850" w:type="dxa"/>
            <w:shd w:val="clear" w:color="auto" w:fill="F5F7F7"/>
            <w:tcMar>
              <w:top w:w="80" w:type="dxa"/>
              <w:left w:w="120" w:type="dxa"/>
              <w:bottom w:w="80" w:type="dxa"/>
              <w:right w:w="120" w:type="dxa"/>
            </w:tcMar>
          </w:tcPr>
          <w:p w14:paraId="78B1B837">
            <w:pPr>
              <w:pStyle w:val="26"/>
            </w:pPr>
            <w:r>
              <w:rPr>
                <w:sz w:val="17"/>
                <w:szCs w:val="17"/>
              </w:rPr>
              <w:t>117</w:t>
            </w:r>
          </w:p>
        </w:tc>
      </w:tr>
      <w:tr w14:paraId="2C562F95">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tcMar>
              <w:top w:w="80" w:type="dxa"/>
              <w:left w:w="120" w:type="dxa"/>
              <w:bottom w:w="80" w:type="dxa"/>
              <w:right w:w="120" w:type="dxa"/>
            </w:tcMar>
          </w:tcPr>
          <w:p w14:paraId="72734F84">
            <w:pPr>
              <w:pStyle w:val="26"/>
            </w:pPr>
            <w:r>
              <w:rPr>
                <w:b/>
                <w:bCs/>
                <w:color w:val="1F3864"/>
                <w:sz w:val="17"/>
                <w:szCs w:val="17"/>
              </w:rPr>
              <w:t>Seasonal SBA</w:t>
            </w:r>
          </w:p>
        </w:tc>
        <w:tc>
          <w:tcPr>
            <w:tcW w:w="850" w:type="dxa"/>
            <w:tcMar>
              <w:top w:w="80" w:type="dxa"/>
              <w:left w:w="120" w:type="dxa"/>
              <w:bottom w:w="80" w:type="dxa"/>
              <w:right w:w="120" w:type="dxa"/>
            </w:tcMar>
          </w:tcPr>
          <w:p w14:paraId="739C88E7">
            <w:pPr>
              <w:pStyle w:val="26"/>
            </w:pPr>
            <w:r>
              <w:rPr>
                <w:sz w:val="17"/>
                <w:szCs w:val="17"/>
              </w:rPr>
              <w:t>53</w:t>
            </w:r>
          </w:p>
        </w:tc>
        <w:tc>
          <w:tcPr>
            <w:tcW w:w="850" w:type="dxa"/>
            <w:tcMar>
              <w:top w:w="80" w:type="dxa"/>
              <w:left w:w="120" w:type="dxa"/>
              <w:bottom w:w="80" w:type="dxa"/>
              <w:right w:w="120" w:type="dxa"/>
            </w:tcMar>
          </w:tcPr>
          <w:p w14:paraId="3CA9A1EF">
            <w:pPr>
              <w:pStyle w:val="26"/>
            </w:pPr>
            <w:r>
              <w:rPr>
                <w:sz w:val="17"/>
                <w:szCs w:val="17"/>
              </w:rPr>
              <w:t>80</w:t>
            </w:r>
          </w:p>
        </w:tc>
        <w:tc>
          <w:tcPr>
            <w:tcW w:w="850" w:type="dxa"/>
            <w:tcMar>
              <w:top w:w="80" w:type="dxa"/>
              <w:left w:w="120" w:type="dxa"/>
              <w:bottom w:w="80" w:type="dxa"/>
              <w:right w:w="120" w:type="dxa"/>
            </w:tcMar>
          </w:tcPr>
          <w:p w14:paraId="0B1122AB">
            <w:pPr>
              <w:pStyle w:val="26"/>
            </w:pPr>
            <w:r>
              <w:rPr>
                <w:sz w:val="17"/>
                <w:szCs w:val="17"/>
              </w:rPr>
              <w:t>225</w:t>
            </w:r>
          </w:p>
        </w:tc>
        <w:tc>
          <w:tcPr>
            <w:tcW w:w="850" w:type="dxa"/>
            <w:tcMar>
              <w:top w:w="80" w:type="dxa"/>
              <w:left w:w="120" w:type="dxa"/>
              <w:bottom w:w="80" w:type="dxa"/>
              <w:right w:w="120" w:type="dxa"/>
            </w:tcMar>
          </w:tcPr>
          <w:p w14:paraId="2AD2A03C">
            <w:pPr>
              <w:pStyle w:val="26"/>
            </w:pPr>
            <w:r>
              <w:rPr>
                <w:sz w:val="17"/>
                <w:szCs w:val="17"/>
              </w:rPr>
              <w:t>201</w:t>
            </w:r>
          </w:p>
        </w:tc>
        <w:tc>
          <w:tcPr>
            <w:tcW w:w="850" w:type="dxa"/>
            <w:tcMar>
              <w:top w:w="80" w:type="dxa"/>
              <w:left w:w="120" w:type="dxa"/>
              <w:bottom w:w="80" w:type="dxa"/>
              <w:right w:w="120" w:type="dxa"/>
            </w:tcMar>
          </w:tcPr>
          <w:p w14:paraId="3E5CA3B1">
            <w:pPr>
              <w:pStyle w:val="26"/>
            </w:pPr>
            <w:r>
              <w:rPr>
                <w:sz w:val="17"/>
                <w:szCs w:val="17"/>
              </w:rPr>
              <w:t>101</w:t>
            </w:r>
          </w:p>
        </w:tc>
        <w:tc>
          <w:tcPr>
            <w:tcW w:w="850" w:type="dxa"/>
            <w:tcMar>
              <w:top w:w="80" w:type="dxa"/>
              <w:left w:w="120" w:type="dxa"/>
              <w:bottom w:w="80" w:type="dxa"/>
              <w:right w:w="120" w:type="dxa"/>
            </w:tcMar>
          </w:tcPr>
          <w:p w14:paraId="67D5674E">
            <w:pPr>
              <w:pStyle w:val="26"/>
            </w:pPr>
            <w:r>
              <w:rPr>
                <w:sz w:val="17"/>
                <w:szCs w:val="17"/>
              </w:rPr>
              <w:t>97</w:t>
            </w:r>
          </w:p>
        </w:tc>
        <w:tc>
          <w:tcPr>
            <w:tcW w:w="850" w:type="dxa"/>
            <w:tcMar>
              <w:top w:w="80" w:type="dxa"/>
              <w:left w:w="120" w:type="dxa"/>
              <w:bottom w:w="80" w:type="dxa"/>
              <w:right w:w="120" w:type="dxa"/>
            </w:tcMar>
          </w:tcPr>
          <w:p w14:paraId="05383C47">
            <w:pPr>
              <w:pStyle w:val="26"/>
            </w:pPr>
            <w:r>
              <w:rPr>
                <w:sz w:val="17"/>
                <w:szCs w:val="17"/>
              </w:rPr>
              <w:t>126</w:t>
            </w:r>
          </w:p>
        </w:tc>
        <w:tc>
          <w:tcPr>
            <w:tcW w:w="850" w:type="dxa"/>
            <w:tcMar>
              <w:top w:w="80" w:type="dxa"/>
              <w:left w:w="120" w:type="dxa"/>
              <w:bottom w:w="80" w:type="dxa"/>
              <w:right w:w="120" w:type="dxa"/>
            </w:tcMar>
          </w:tcPr>
          <w:p w14:paraId="10EEFB3E">
            <w:pPr>
              <w:pStyle w:val="26"/>
            </w:pPr>
            <w:r>
              <w:rPr>
                <w:sz w:val="17"/>
                <w:szCs w:val="17"/>
              </w:rPr>
              <w:t>119</w:t>
            </w:r>
          </w:p>
        </w:tc>
      </w:tr>
      <w:tr w14:paraId="416ADD7E">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shd w:val="clear" w:color="auto" w:fill="F5F7F7"/>
            <w:tcMar>
              <w:top w:w="80" w:type="dxa"/>
              <w:left w:w="120" w:type="dxa"/>
              <w:bottom w:w="80" w:type="dxa"/>
              <w:right w:w="120" w:type="dxa"/>
            </w:tcMar>
          </w:tcPr>
          <w:p w14:paraId="7C63D9FF">
            <w:pPr>
              <w:pStyle w:val="26"/>
            </w:pPr>
            <w:r>
              <w:rPr>
                <w:b/>
                <w:bCs/>
                <w:color w:val="1F3864"/>
                <w:sz w:val="17"/>
                <w:szCs w:val="17"/>
              </w:rPr>
              <w:t>SBA</w:t>
            </w:r>
          </w:p>
        </w:tc>
        <w:tc>
          <w:tcPr>
            <w:tcW w:w="850" w:type="dxa"/>
            <w:shd w:val="clear" w:color="auto" w:fill="F5F7F7"/>
            <w:tcMar>
              <w:top w:w="80" w:type="dxa"/>
              <w:left w:w="120" w:type="dxa"/>
              <w:bottom w:w="80" w:type="dxa"/>
              <w:right w:w="120" w:type="dxa"/>
            </w:tcMar>
          </w:tcPr>
          <w:p w14:paraId="3A2E0035">
            <w:pPr>
              <w:pStyle w:val="26"/>
            </w:pPr>
            <w:r>
              <w:rPr>
                <w:sz w:val="17"/>
                <w:szCs w:val="17"/>
              </w:rPr>
              <w:t>117</w:t>
            </w:r>
          </w:p>
        </w:tc>
        <w:tc>
          <w:tcPr>
            <w:tcW w:w="850" w:type="dxa"/>
            <w:shd w:val="clear" w:color="auto" w:fill="F5F7F7"/>
            <w:tcMar>
              <w:top w:w="80" w:type="dxa"/>
              <w:left w:w="120" w:type="dxa"/>
              <w:bottom w:w="80" w:type="dxa"/>
              <w:right w:w="120" w:type="dxa"/>
            </w:tcMar>
          </w:tcPr>
          <w:p w14:paraId="23876499">
            <w:pPr>
              <w:pStyle w:val="26"/>
            </w:pPr>
            <w:r>
              <w:rPr>
                <w:sz w:val="17"/>
                <w:szCs w:val="17"/>
              </w:rPr>
              <w:t>88</w:t>
            </w:r>
          </w:p>
        </w:tc>
        <w:tc>
          <w:tcPr>
            <w:tcW w:w="850" w:type="dxa"/>
            <w:shd w:val="clear" w:color="auto" w:fill="F5F7F7"/>
            <w:tcMar>
              <w:top w:w="80" w:type="dxa"/>
              <w:left w:w="120" w:type="dxa"/>
              <w:bottom w:w="80" w:type="dxa"/>
              <w:right w:w="120" w:type="dxa"/>
            </w:tcMar>
          </w:tcPr>
          <w:p w14:paraId="1B3EA65B">
            <w:pPr>
              <w:pStyle w:val="26"/>
            </w:pPr>
            <w:r>
              <w:rPr>
                <w:sz w:val="17"/>
                <w:szCs w:val="17"/>
              </w:rPr>
              <w:t>186</w:t>
            </w:r>
          </w:p>
        </w:tc>
        <w:tc>
          <w:tcPr>
            <w:tcW w:w="850" w:type="dxa"/>
            <w:shd w:val="clear" w:color="auto" w:fill="F5F7F7"/>
            <w:tcMar>
              <w:top w:w="80" w:type="dxa"/>
              <w:left w:w="120" w:type="dxa"/>
              <w:bottom w:w="80" w:type="dxa"/>
              <w:right w:w="120" w:type="dxa"/>
            </w:tcMar>
          </w:tcPr>
          <w:p w14:paraId="17C4611C">
            <w:pPr>
              <w:pStyle w:val="26"/>
            </w:pPr>
            <w:r>
              <w:rPr>
                <w:sz w:val="17"/>
                <w:szCs w:val="17"/>
              </w:rPr>
              <w:t>175</w:t>
            </w:r>
          </w:p>
        </w:tc>
        <w:tc>
          <w:tcPr>
            <w:tcW w:w="850" w:type="dxa"/>
            <w:shd w:val="clear" w:color="auto" w:fill="F5F7F7"/>
            <w:tcMar>
              <w:top w:w="80" w:type="dxa"/>
              <w:left w:w="120" w:type="dxa"/>
              <w:bottom w:w="80" w:type="dxa"/>
              <w:right w:w="120" w:type="dxa"/>
            </w:tcMar>
          </w:tcPr>
          <w:p w14:paraId="5F8660C7">
            <w:pPr>
              <w:pStyle w:val="26"/>
            </w:pPr>
            <w:r>
              <w:rPr>
                <w:sz w:val="17"/>
                <w:szCs w:val="17"/>
              </w:rPr>
              <w:t>107</w:t>
            </w:r>
          </w:p>
        </w:tc>
        <w:tc>
          <w:tcPr>
            <w:tcW w:w="850" w:type="dxa"/>
            <w:shd w:val="clear" w:color="auto" w:fill="F5F7F7"/>
            <w:tcMar>
              <w:top w:w="80" w:type="dxa"/>
              <w:left w:w="120" w:type="dxa"/>
              <w:bottom w:w="80" w:type="dxa"/>
              <w:right w:w="120" w:type="dxa"/>
            </w:tcMar>
          </w:tcPr>
          <w:p w14:paraId="59BCE75E">
            <w:pPr>
              <w:pStyle w:val="26"/>
            </w:pPr>
            <w:r>
              <w:rPr>
                <w:sz w:val="17"/>
                <w:szCs w:val="17"/>
              </w:rPr>
              <w:t>98</w:t>
            </w:r>
          </w:p>
        </w:tc>
        <w:tc>
          <w:tcPr>
            <w:tcW w:w="850" w:type="dxa"/>
            <w:shd w:val="clear" w:color="auto" w:fill="F5F7F7"/>
            <w:tcMar>
              <w:top w:w="80" w:type="dxa"/>
              <w:left w:w="120" w:type="dxa"/>
              <w:bottom w:w="80" w:type="dxa"/>
              <w:right w:w="120" w:type="dxa"/>
            </w:tcMar>
          </w:tcPr>
          <w:p w14:paraId="48633E0C">
            <w:pPr>
              <w:pStyle w:val="26"/>
            </w:pPr>
            <w:r>
              <w:rPr>
                <w:sz w:val="17"/>
                <w:szCs w:val="17"/>
              </w:rPr>
              <w:t>120</w:t>
            </w:r>
          </w:p>
        </w:tc>
        <w:tc>
          <w:tcPr>
            <w:tcW w:w="850" w:type="dxa"/>
            <w:shd w:val="clear" w:color="auto" w:fill="F5F7F7"/>
            <w:tcMar>
              <w:top w:w="80" w:type="dxa"/>
              <w:left w:w="120" w:type="dxa"/>
              <w:bottom w:w="80" w:type="dxa"/>
              <w:right w:w="120" w:type="dxa"/>
            </w:tcMar>
          </w:tcPr>
          <w:p w14:paraId="065C80AB">
            <w:pPr>
              <w:pStyle w:val="26"/>
            </w:pPr>
            <w:r>
              <w:rPr>
                <w:sz w:val="17"/>
                <w:szCs w:val="17"/>
              </w:rPr>
              <w:t>118</w:t>
            </w:r>
          </w:p>
        </w:tc>
      </w:tr>
      <w:tr w14:paraId="38F5711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tcMar>
              <w:top w:w="80" w:type="dxa"/>
              <w:left w:w="120" w:type="dxa"/>
              <w:bottom w:w="80" w:type="dxa"/>
              <w:right w:w="120" w:type="dxa"/>
            </w:tcMar>
          </w:tcPr>
          <w:p w14:paraId="00CF1B2D">
            <w:pPr>
              <w:pStyle w:val="26"/>
            </w:pPr>
            <w:r>
              <w:rPr>
                <w:b/>
                <w:bCs/>
                <w:color w:val="1F3864"/>
                <w:sz w:val="17"/>
                <w:szCs w:val="17"/>
              </w:rPr>
              <w:t>Croston</w:t>
            </w:r>
          </w:p>
        </w:tc>
        <w:tc>
          <w:tcPr>
            <w:tcW w:w="850" w:type="dxa"/>
            <w:tcMar>
              <w:top w:w="80" w:type="dxa"/>
              <w:left w:w="120" w:type="dxa"/>
              <w:bottom w:w="80" w:type="dxa"/>
              <w:right w:w="120" w:type="dxa"/>
            </w:tcMar>
          </w:tcPr>
          <w:p w14:paraId="19200596">
            <w:pPr>
              <w:pStyle w:val="26"/>
            </w:pPr>
            <w:r>
              <w:rPr>
                <w:sz w:val="17"/>
                <w:szCs w:val="17"/>
              </w:rPr>
              <w:t>128</w:t>
            </w:r>
          </w:p>
        </w:tc>
        <w:tc>
          <w:tcPr>
            <w:tcW w:w="850" w:type="dxa"/>
            <w:tcMar>
              <w:top w:w="80" w:type="dxa"/>
              <w:left w:w="120" w:type="dxa"/>
              <w:bottom w:w="80" w:type="dxa"/>
              <w:right w:w="120" w:type="dxa"/>
            </w:tcMar>
          </w:tcPr>
          <w:p w14:paraId="33525C18">
            <w:pPr>
              <w:pStyle w:val="26"/>
            </w:pPr>
            <w:r>
              <w:rPr>
                <w:sz w:val="17"/>
                <w:szCs w:val="17"/>
              </w:rPr>
              <w:t>90</w:t>
            </w:r>
          </w:p>
        </w:tc>
        <w:tc>
          <w:tcPr>
            <w:tcW w:w="850" w:type="dxa"/>
            <w:tcMar>
              <w:top w:w="80" w:type="dxa"/>
              <w:left w:w="120" w:type="dxa"/>
              <w:bottom w:w="80" w:type="dxa"/>
              <w:right w:w="120" w:type="dxa"/>
            </w:tcMar>
          </w:tcPr>
          <w:p w14:paraId="0CFC8D83">
            <w:pPr>
              <w:pStyle w:val="26"/>
            </w:pPr>
            <w:r>
              <w:rPr>
                <w:sz w:val="17"/>
                <w:szCs w:val="17"/>
              </w:rPr>
              <w:t>192</w:t>
            </w:r>
          </w:p>
        </w:tc>
        <w:tc>
          <w:tcPr>
            <w:tcW w:w="850" w:type="dxa"/>
            <w:tcMar>
              <w:top w:w="80" w:type="dxa"/>
              <w:left w:w="120" w:type="dxa"/>
              <w:bottom w:w="80" w:type="dxa"/>
              <w:right w:w="120" w:type="dxa"/>
            </w:tcMar>
          </w:tcPr>
          <w:p w14:paraId="7E2804EA">
            <w:pPr>
              <w:pStyle w:val="26"/>
            </w:pPr>
            <w:r>
              <w:rPr>
                <w:sz w:val="17"/>
                <w:szCs w:val="17"/>
              </w:rPr>
              <w:t>180</w:t>
            </w:r>
          </w:p>
        </w:tc>
        <w:tc>
          <w:tcPr>
            <w:tcW w:w="850" w:type="dxa"/>
            <w:tcMar>
              <w:top w:w="80" w:type="dxa"/>
              <w:left w:w="120" w:type="dxa"/>
              <w:bottom w:w="80" w:type="dxa"/>
              <w:right w:w="120" w:type="dxa"/>
            </w:tcMar>
          </w:tcPr>
          <w:p w14:paraId="42AC6376">
            <w:pPr>
              <w:pStyle w:val="26"/>
            </w:pPr>
            <w:r>
              <w:rPr>
                <w:sz w:val="17"/>
                <w:szCs w:val="17"/>
              </w:rPr>
              <w:t>109</w:t>
            </w:r>
          </w:p>
        </w:tc>
        <w:tc>
          <w:tcPr>
            <w:tcW w:w="850" w:type="dxa"/>
            <w:tcMar>
              <w:top w:w="80" w:type="dxa"/>
              <w:left w:w="120" w:type="dxa"/>
              <w:bottom w:w="80" w:type="dxa"/>
              <w:right w:w="120" w:type="dxa"/>
            </w:tcMar>
          </w:tcPr>
          <w:p w14:paraId="75830D7F">
            <w:pPr>
              <w:pStyle w:val="26"/>
            </w:pPr>
            <w:r>
              <w:rPr>
                <w:sz w:val="17"/>
                <w:szCs w:val="17"/>
              </w:rPr>
              <w:t>100</w:t>
            </w:r>
          </w:p>
        </w:tc>
        <w:tc>
          <w:tcPr>
            <w:tcW w:w="850" w:type="dxa"/>
            <w:tcMar>
              <w:top w:w="80" w:type="dxa"/>
              <w:left w:w="120" w:type="dxa"/>
              <w:bottom w:w="80" w:type="dxa"/>
              <w:right w:w="120" w:type="dxa"/>
            </w:tcMar>
          </w:tcPr>
          <w:p w14:paraId="53B8AF5F">
            <w:pPr>
              <w:pStyle w:val="26"/>
            </w:pPr>
            <w:r>
              <w:rPr>
                <w:sz w:val="17"/>
                <w:szCs w:val="17"/>
              </w:rPr>
              <w:t>123</w:t>
            </w:r>
          </w:p>
        </w:tc>
        <w:tc>
          <w:tcPr>
            <w:tcW w:w="850" w:type="dxa"/>
            <w:tcMar>
              <w:top w:w="80" w:type="dxa"/>
              <w:left w:w="120" w:type="dxa"/>
              <w:bottom w:w="80" w:type="dxa"/>
              <w:right w:w="120" w:type="dxa"/>
            </w:tcMar>
          </w:tcPr>
          <w:p w14:paraId="12D307B9">
            <w:pPr>
              <w:pStyle w:val="26"/>
            </w:pPr>
            <w:r>
              <w:rPr>
                <w:sz w:val="17"/>
                <w:szCs w:val="17"/>
              </w:rPr>
              <w:t>122</w:t>
            </w:r>
          </w:p>
        </w:tc>
      </w:tr>
      <w:tr w14:paraId="36E0C7DC">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560" w:type="dxa"/>
            <w:shd w:val="clear" w:color="auto" w:fill="F5F7F7"/>
            <w:tcMar>
              <w:top w:w="80" w:type="dxa"/>
              <w:left w:w="120" w:type="dxa"/>
              <w:bottom w:w="80" w:type="dxa"/>
              <w:right w:w="120" w:type="dxa"/>
            </w:tcMar>
          </w:tcPr>
          <w:p w14:paraId="7A097879">
            <w:pPr>
              <w:pStyle w:val="26"/>
            </w:pPr>
            <w:r>
              <w:rPr>
                <w:b/>
                <w:bCs/>
                <w:color w:val="1F3864"/>
                <w:sz w:val="17"/>
                <w:szCs w:val="17"/>
              </w:rPr>
              <w:t>Seasonal Naive</w:t>
            </w:r>
          </w:p>
        </w:tc>
        <w:tc>
          <w:tcPr>
            <w:tcW w:w="850" w:type="dxa"/>
            <w:shd w:val="clear" w:color="auto" w:fill="F5F7F7"/>
            <w:tcMar>
              <w:top w:w="80" w:type="dxa"/>
              <w:left w:w="120" w:type="dxa"/>
              <w:bottom w:w="80" w:type="dxa"/>
              <w:right w:w="120" w:type="dxa"/>
            </w:tcMar>
          </w:tcPr>
          <w:p w14:paraId="111C8B0D">
            <w:pPr>
              <w:pStyle w:val="26"/>
            </w:pPr>
            <w:r>
              <w:rPr>
                <w:sz w:val="17"/>
                <w:szCs w:val="17"/>
              </w:rPr>
              <w:t>103</w:t>
            </w:r>
          </w:p>
        </w:tc>
        <w:tc>
          <w:tcPr>
            <w:tcW w:w="850" w:type="dxa"/>
            <w:shd w:val="clear" w:color="auto" w:fill="F5F7F7"/>
            <w:tcMar>
              <w:top w:w="80" w:type="dxa"/>
              <w:left w:w="120" w:type="dxa"/>
              <w:bottom w:w="80" w:type="dxa"/>
              <w:right w:w="120" w:type="dxa"/>
            </w:tcMar>
          </w:tcPr>
          <w:p w14:paraId="4F4E005D">
            <w:pPr>
              <w:pStyle w:val="26"/>
            </w:pPr>
            <w:r>
              <w:rPr>
                <w:sz w:val="17"/>
                <w:szCs w:val="17"/>
              </w:rPr>
              <w:t>103</w:t>
            </w:r>
          </w:p>
        </w:tc>
        <w:tc>
          <w:tcPr>
            <w:tcW w:w="850" w:type="dxa"/>
            <w:shd w:val="clear" w:color="auto" w:fill="F5F7F7"/>
            <w:tcMar>
              <w:top w:w="80" w:type="dxa"/>
              <w:left w:w="120" w:type="dxa"/>
              <w:bottom w:w="80" w:type="dxa"/>
              <w:right w:w="120" w:type="dxa"/>
            </w:tcMar>
          </w:tcPr>
          <w:p w14:paraId="3AA25E25">
            <w:pPr>
              <w:pStyle w:val="26"/>
            </w:pPr>
            <w:r>
              <w:rPr>
                <w:sz w:val="17"/>
                <w:szCs w:val="17"/>
              </w:rPr>
              <w:t>160</w:t>
            </w:r>
          </w:p>
        </w:tc>
        <w:tc>
          <w:tcPr>
            <w:tcW w:w="850" w:type="dxa"/>
            <w:shd w:val="clear" w:color="auto" w:fill="F5F7F7"/>
            <w:tcMar>
              <w:top w:w="80" w:type="dxa"/>
              <w:left w:w="120" w:type="dxa"/>
              <w:bottom w:w="80" w:type="dxa"/>
              <w:right w:w="120" w:type="dxa"/>
            </w:tcMar>
          </w:tcPr>
          <w:p w14:paraId="4DC0A6E4">
            <w:pPr>
              <w:pStyle w:val="26"/>
            </w:pPr>
            <w:r>
              <w:rPr>
                <w:sz w:val="17"/>
                <w:szCs w:val="17"/>
              </w:rPr>
              <w:t>252</w:t>
            </w:r>
          </w:p>
        </w:tc>
        <w:tc>
          <w:tcPr>
            <w:tcW w:w="850" w:type="dxa"/>
            <w:shd w:val="clear" w:color="auto" w:fill="F5F7F7"/>
            <w:tcMar>
              <w:top w:w="80" w:type="dxa"/>
              <w:left w:w="120" w:type="dxa"/>
              <w:bottom w:w="80" w:type="dxa"/>
              <w:right w:w="120" w:type="dxa"/>
            </w:tcMar>
          </w:tcPr>
          <w:p w14:paraId="48C8C8C9">
            <w:pPr>
              <w:pStyle w:val="26"/>
            </w:pPr>
            <w:r>
              <w:rPr>
                <w:sz w:val="17"/>
                <w:szCs w:val="17"/>
              </w:rPr>
              <w:t>119</w:t>
            </w:r>
          </w:p>
        </w:tc>
        <w:tc>
          <w:tcPr>
            <w:tcW w:w="850" w:type="dxa"/>
            <w:shd w:val="clear" w:color="auto" w:fill="F5F7F7"/>
            <w:tcMar>
              <w:top w:w="80" w:type="dxa"/>
              <w:left w:w="120" w:type="dxa"/>
              <w:bottom w:w="80" w:type="dxa"/>
              <w:right w:w="120" w:type="dxa"/>
            </w:tcMar>
          </w:tcPr>
          <w:p w14:paraId="03F4CD9E">
            <w:pPr>
              <w:pStyle w:val="26"/>
            </w:pPr>
            <w:r>
              <w:rPr>
                <w:sz w:val="17"/>
                <w:szCs w:val="17"/>
              </w:rPr>
              <w:t>138</w:t>
            </w:r>
          </w:p>
        </w:tc>
        <w:tc>
          <w:tcPr>
            <w:tcW w:w="850" w:type="dxa"/>
            <w:shd w:val="clear" w:color="auto" w:fill="F5F7F7"/>
            <w:tcMar>
              <w:top w:w="80" w:type="dxa"/>
              <w:left w:w="120" w:type="dxa"/>
              <w:bottom w:w="80" w:type="dxa"/>
              <w:right w:w="120" w:type="dxa"/>
            </w:tcMar>
          </w:tcPr>
          <w:p w14:paraId="514E1509">
            <w:pPr>
              <w:pStyle w:val="26"/>
            </w:pPr>
            <w:r>
              <w:rPr>
                <w:sz w:val="17"/>
                <w:szCs w:val="17"/>
              </w:rPr>
              <w:t>166</w:t>
            </w:r>
          </w:p>
        </w:tc>
        <w:tc>
          <w:tcPr>
            <w:tcW w:w="850" w:type="dxa"/>
            <w:shd w:val="clear" w:color="auto" w:fill="F5F7F7"/>
            <w:tcMar>
              <w:top w:w="80" w:type="dxa"/>
              <w:left w:w="120" w:type="dxa"/>
              <w:bottom w:w="80" w:type="dxa"/>
              <w:right w:w="120" w:type="dxa"/>
            </w:tcMar>
          </w:tcPr>
          <w:p w14:paraId="1E1664B3">
            <w:pPr>
              <w:pStyle w:val="26"/>
            </w:pPr>
            <w:r>
              <w:rPr>
                <w:sz w:val="17"/>
                <w:szCs w:val="17"/>
              </w:rPr>
              <w:t>136</w:t>
            </w:r>
          </w:p>
        </w:tc>
      </w:tr>
    </w:tbl>
    <w:p w14:paraId="53C52298">
      <w:pPr>
        <w:pStyle w:val="25"/>
      </w:pPr>
      <w:r>
        <w:t>Source: Sponsor ERP billing extract; team rolling-origin backtest, 8 folds, weeks ending 26 Nov 2023 - 30 Jun 2024.</w:t>
      </w:r>
    </w:p>
    <w:p w14:paraId="209ECB8D">
      <w:pPr>
        <w:pStyle w:val="3"/>
      </w:pPr>
      <w:bookmarkStart w:id="108" w:name="_Toc2005"/>
      <w:r>
        <w:t>Appendix C: Code and Reproducibility</w:t>
      </w:r>
      <w:bookmarkEnd w:id="108"/>
    </w:p>
    <w:p w14:paraId="6BD3DE02">
      <w:r>
        <w:rPr>
          <w:b/>
          <w:bCs/>
        </w:rPr>
        <w:t>Repository.</w:t>
      </w:r>
      <w:r>
        <w:t xml:space="preserve"> The project code is held at https://github.com/saiprash711/ISB_Capstone_Project. The repository's README describes the dashboard; the final-report analysis lives in the folder final_report/.</w:t>
      </w:r>
    </w:p>
    <w:p w14:paraId="4335278E">
      <w:r>
        <w:rPr>
          <w:b/>
          <w:bCs/>
        </w:rPr>
        <w:t>Environment.</w:t>
      </w:r>
      <w:r>
        <w:t xml:space="preserve"> Python 3.11 or later with the packages in requirements.txt, plus those in final_report/requirements-report.txt (matplotlib, python-docx and lxml). LightGBM 4, scikit-learn 1.3 or later and statsmodels 0.14 or later are required.</w:t>
      </w:r>
    </w:p>
    <w:p w14:paraId="73CC7905">
      <w:r>
        <w:rPr>
          <w:b/>
          <w:bCs/>
        </w:rPr>
        <w:t>Reproducing the key results.</w:t>
      </w:r>
      <w:r>
        <w:t xml:space="preserve"> With the sponsor's extract saved as "source data.xlsx" in the repository root (it is confidential and must be obtained from the sponsor), run:</w:t>
      </w:r>
    </w:p>
    <w:p w14:paraId="7771599D">
      <w:pPr>
        <w:pStyle w:val="22"/>
        <w:numPr>
          <w:ilvl w:val="0"/>
          <w:numId w:val="5"/>
        </w:numPr>
        <w:spacing w:after="80"/>
      </w:pPr>
      <w:r>
        <w:t>python final_report/analysis.py: audits and cleans the extract, builds the weekly matrix, classifies demand, runs the twelve-model rolling-origin backtest and the safety-stock analysis, and writes results.json, the tables in final_report/tables and every figure in final_report/figures (about four minutes on a laptop);</w:t>
      </w:r>
    </w:p>
    <w:p w14:paraId="071DEDC9">
      <w:pPr>
        <w:pStyle w:val="22"/>
        <w:numPr>
          <w:ilvl w:val="0"/>
          <w:numId w:val="5"/>
        </w:numPr>
        <w:spacing w:after="80"/>
      </w:pPr>
      <w:r>
        <w:t>python final_report/build_report.py: regenerates this report from the ISB template, reading every quoted number from results.json.</w:t>
      </w:r>
    </w:p>
    <w:p w14:paraId="00381E1C">
      <w:r>
        <w:t>All random elements (LightGBM subsampling and the random forest) use a fixed seed of 42, so results reproduce exactly. The rolling-origin design, feature construction and safety-stock calculation are implemented in final_report/analysis.py; the dashboard's own modules are in src/, with automated tests in tests/.</w:t>
      </w:r>
    </w:p>
    <w:p w14:paraId="376C0ABE">
      <w:pPr>
        <w:pStyle w:val="2"/>
      </w:pPr>
      <w:bookmarkStart w:id="109" w:name="_Toc9947"/>
      <w:r>
        <w:t>About the Authors</w:t>
      </w:r>
      <w:bookmarkEnd w:id="109"/>
    </w:p>
    <w:tbl>
      <w:tblPr>
        <w:tblStyle w:val="9"/>
        <w:tblW w:w="9360" w:type="dxa"/>
        <w:tblInd w:w="0" w:type="dxa"/>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0" w:type="dxa"/>
          <w:left w:w="10" w:type="dxa"/>
          <w:bottom w:w="0" w:type="dxa"/>
          <w:right w:w="10" w:type="dxa"/>
        </w:tblCellMar>
      </w:tblPr>
      <w:tblGrid>
        <w:gridCol w:w="2600"/>
        <w:gridCol w:w="6760"/>
      </w:tblGrid>
      <w:tr w14:paraId="3D77730C">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blHeader/>
        </w:trPr>
        <w:tc>
          <w:tcPr>
            <w:tcW w:w="2600" w:type="dxa"/>
            <w:shd w:val="clear" w:color="auto" w:fill="1F3864"/>
            <w:tcMar>
              <w:top w:w="80" w:type="dxa"/>
              <w:left w:w="120" w:type="dxa"/>
              <w:bottom w:w="80" w:type="dxa"/>
              <w:right w:w="120" w:type="dxa"/>
            </w:tcMar>
          </w:tcPr>
          <w:p w14:paraId="6A14D2C3">
            <w:pPr>
              <w:pStyle w:val="27"/>
            </w:pPr>
            <w:r>
              <w:t>Name</w:t>
            </w:r>
          </w:p>
        </w:tc>
        <w:tc>
          <w:tcPr>
            <w:tcW w:w="6760" w:type="dxa"/>
            <w:shd w:val="clear" w:color="auto" w:fill="1F3864"/>
            <w:tcMar>
              <w:top w:w="80" w:type="dxa"/>
              <w:left w:w="120" w:type="dxa"/>
              <w:bottom w:w="80" w:type="dxa"/>
              <w:right w:w="120" w:type="dxa"/>
            </w:tcMar>
          </w:tcPr>
          <w:p w14:paraId="30A21C0C">
            <w:pPr>
              <w:pStyle w:val="27"/>
            </w:pPr>
            <w:r>
              <w:t>Short bio</w:t>
            </w:r>
          </w:p>
        </w:tc>
      </w:tr>
      <w:tr w14:paraId="21296536">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600" w:type="dxa"/>
            <w:tcMar>
              <w:top w:w="80" w:type="dxa"/>
              <w:left w:w="120" w:type="dxa"/>
              <w:bottom w:w="80" w:type="dxa"/>
              <w:right w:w="120" w:type="dxa"/>
            </w:tcMar>
          </w:tcPr>
          <w:p w14:paraId="26898BBA">
            <w:pPr>
              <w:pStyle w:val="26"/>
            </w:pPr>
            <w:r>
              <w:t>Sai Prashanth Sarathy</w:t>
            </w:r>
          </w:p>
        </w:tc>
        <w:tc>
          <w:tcPr>
            <w:tcW w:w="6760" w:type="dxa"/>
            <w:tcMar>
              <w:top w:w="80" w:type="dxa"/>
              <w:left w:w="120" w:type="dxa"/>
              <w:bottom w:w="80" w:type="dxa"/>
              <w:right w:w="120" w:type="dxa"/>
            </w:tcMar>
          </w:tcPr>
          <w:p w14:paraId="56C2F7F0">
            <w:pPr>
              <w:pStyle w:val="26"/>
            </w:pPr>
            <w:r>
              <w:t>AMPBA participant (PGID 12510081). On this project he led platform architecture and deployment and built the data ingestion and cleaning pipeline that produces the weekly data mart.</w:t>
            </w:r>
          </w:p>
        </w:tc>
      </w:tr>
      <w:tr w14:paraId="7AEACB61">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600" w:type="dxa"/>
            <w:shd w:val="clear" w:color="auto" w:fill="F5F7F7"/>
            <w:tcMar>
              <w:top w:w="80" w:type="dxa"/>
              <w:left w:w="120" w:type="dxa"/>
              <w:bottom w:w="80" w:type="dxa"/>
              <w:right w:w="120" w:type="dxa"/>
            </w:tcMar>
          </w:tcPr>
          <w:p w14:paraId="7A2B8A68">
            <w:pPr>
              <w:pStyle w:val="26"/>
            </w:pPr>
            <w:r>
              <w:t>R Arvindshankar</w:t>
            </w:r>
          </w:p>
        </w:tc>
        <w:tc>
          <w:tcPr>
            <w:tcW w:w="6760" w:type="dxa"/>
            <w:shd w:val="clear" w:color="auto" w:fill="F5F7F7"/>
            <w:tcMar>
              <w:top w:w="80" w:type="dxa"/>
              <w:left w:w="120" w:type="dxa"/>
              <w:bottom w:w="80" w:type="dxa"/>
              <w:right w:w="120" w:type="dxa"/>
            </w:tcMar>
          </w:tcPr>
          <w:p w14:paraId="46755AD9">
            <w:pPr>
              <w:pStyle w:val="26"/>
            </w:pPr>
            <w:r>
              <w:t>AMPBA participant (PGID 12510053). He modelled the branch and SKU hierarchy, implemented the hierarchical reconciliation methods and the time-series decomposition analysis.</w:t>
            </w:r>
          </w:p>
        </w:tc>
      </w:tr>
      <w:tr w14:paraId="50F5ADD3">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600" w:type="dxa"/>
            <w:tcMar>
              <w:top w:w="80" w:type="dxa"/>
              <w:left w:w="120" w:type="dxa"/>
              <w:bottom w:w="80" w:type="dxa"/>
              <w:right w:w="120" w:type="dxa"/>
            </w:tcMar>
          </w:tcPr>
          <w:p w14:paraId="20255FA5">
            <w:pPr>
              <w:pStyle w:val="26"/>
            </w:pPr>
            <w:r>
              <w:t>Hariharan N</w:t>
            </w:r>
          </w:p>
        </w:tc>
        <w:tc>
          <w:tcPr>
            <w:tcW w:w="6760" w:type="dxa"/>
            <w:tcMar>
              <w:top w:w="80" w:type="dxa"/>
              <w:left w:w="120" w:type="dxa"/>
              <w:bottom w:w="80" w:type="dxa"/>
              <w:right w:w="120" w:type="dxa"/>
            </w:tcMar>
          </w:tcPr>
          <w:p w14:paraId="47C94C75">
            <w:pPr>
              <w:pStyle w:val="26"/>
            </w:pPr>
            <w:r>
              <w:t>AMPBA participant (PGID 12510102). He designed and built the interactive planner dashboard and its visualisations, and led the initial data extraction and validation.</w:t>
            </w:r>
          </w:p>
        </w:tc>
      </w:tr>
      <w:tr w14:paraId="794AF6D7">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600" w:type="dxa"/>
            <w:shd w:val="clear" w:color="auto" w:fill="F5F7F7"/>
            <w:tcMar>
              <w:top w:w="80" w:type="dxa"/>
              <w:left w:w="120" w:type="dxa"/>
              <w:bottom w:w="80" w:type="dxa"/>
              <w:right w:w="120" w:type="dxa"/>
            </w:tcMar>
          </w:tcPr>
          <w:p w14:paraId="48D3BB12">
            <w:pPr>
              <w:pStyle w:val="26"/>
            </w:pPr>
            <w:r>
              <w:t>Vedika Sharma</w:t>
            </w:r>
          </w:p>
        </w:tc>
        <w:tc>
          <w:tcPr>
            <w:tcW w:w="6760" w:type="dxa"/>
            <w:shd w:val="clear" w:color="auto" w:fill="F5F7F7"/>
            <w:tcMar>
              <w:top w:w="80" w:type="dxa"/>
              <w:left w:w="120" w:type="dxa"/>
              <w:bottom w:w="80" w:type="dxa"/>
              <w:right w:w="120" w:type="dxa"/>
            </w:tcMar>
          </w:tcPr>
          <w:p w14:paraId="1B26FED1">
            <w:pPr>
              <w:pStyle w:val="26"/>
            </w:pPr>
            <w:r>
              <w:t>AMPBA participant (PGID 12510071). She developed the feature engineering, the machine-learning forecasters, the walk-forward backtesting framework and the leakage audit.</w:t>
            </w:r>
          </w:p>
        </w:tc>
      </w:tr>
      <w:tr w14:paraId="4151C5C8">
        <w:tblPrEx>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CellMar>
            <w:top w:w="0" w:type="dxa"/>
            <w:left w:w="10" w:type="dxa"/>
            <w:bottom w:w="0" w:type="dxa"/>
            <w:right w:w="10" w:type="dxa"/>
          </w:tblCellMar>
        </w:tblPrEx>
        <w:trPr>
          <w:cantSplit/>
        </w:trPr>
        <w:tc>
          <w:tcPr>
            <w:tcW w:w="2600" w:type="dxa"/>
            <w:tcMar>
              <w:top w:w="80" w:type="dxa"/>
              <w:left w:w="120" w:type="dxa"/>
              <w:bottom w:w="80" w:type="dxa"/>
              <w:right w:w="120" w:type="dxa"/>
            </w:tcMar>
          </w:tcPr>
          <w:p w14:paraId="51FC2C4C">
            <w:pPr>
              <w:pStyle w:val="26"/>
            </w:pPr>
            <w:r>
              <w:t>Vani Som</w:t>
            </w:r>
          </w:p>
        </w:tc>
        <w:tc>
          <w:tcPr>
            <w:tcW w:w="6760" w:type="dxa"/>
            <w:tcMar>
              <w:top w:w="80" w:type="dxa"/>
              <w:left w:w="120" w:type="dxa"/>
              <w:bottom w:w="80" w:type="dxa"/>
              <w:right w:w="120" w:type="dxa"/>
            </w:tcMar>
          </w:tcPr>
          <w:p w14:paraId="49F535F2">
            <w:pPr>
              <w:pStyle w:val="26"/>
            </w:pPr>
            <w:r>
              <w:t>AMPBA participant (PGID 12510023). She built the inventory engine, prediction intervals, scenario simulator and drift monitoring, and led the business-impact analysis.</w:t>
            </w:r>
          </w:p>
        </w:tc>
      </w:tr>
    </w:tbl>
    <w:p w14:paraId="02E8CC05">
      <w:r>
        <w:t>[Team to add one line of professional background for each author if opting in to book-chapter consideration; otherwise this section may be removed.]</w:t>
      </w:r>
    </w:p>
    <w:sectPr>
      <w:headerReference r:id="rId9" w:type="default"/>
      <w:footerReference r:id="rId10" w:type="default"/>
      <w:pgSz w:w="12240" w:h="15840"/>
      <w:pgMar w:top="1440" w:right="1440" w:bottom="1440" w:left="1440" w:header="600" w:footer="60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B126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CA707">
    <w:pPr>
      <w:jc w:val="center"/>
    </w:pP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t>i</w:t>
    </w:r>
    <w:r>
      <w:rPr>
        <w:color w:val="595959"/>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319A2">
    <w:pPr>
      <w:jc w:val="center"/>
    </w:pP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9DF2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B1F87">
    <w:pPr>
      <w:pBdr>
        <w:bottom w:val="single" w:color="BFC8D6" w:sz="4" w:space="4"/>
      </w:pBdr>
      <w:spacing w:after="0"/>
      <w:jc w:val="right"/>
    </w:pPr>
    <w:r>
      <w:rPr>
        <w:color w:val="595959"/>
        <w:sz w:val="16"/>
        <w:szCs w:val="16"/>
      </w:rPr>
      <w:t>Capstone Project Report  ·  Advanced Management Programme in Business Analytics, ISB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B98E5">
    <w:pPr>
      <w:pBdr>
        <w:bottom w:val="single" w:color="BFC8D6" w:sz="4" w:space="4"/>
      </w:pBdr>
      <w:spacing w:after="0"/>
      <w:jc w:val="right"/>
    </w:pPr>
    <w:r>
      <w:rPr>
        <w:color w:val="595959"/>
        <w:sz w:val="16"/>
        <w:szCs w:val="16"/>
      </w:rPr>
      <w:t>Capstone Project Report  ·  Advanced Management Programme in Business Analytics, ISB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70437"/>
    <w:multiLevelType w:val="multilevel"/>
    <w:tmpl w:val="0E870437"/>
    <w:lvl w:ilvl="0" w:tentative="0">
      <w:start w:val="1"/>
      <w:numFmt w:val="decimal"/>
      <w:lvlText w:val="%1."/>
      <w:lvlJc w:val="left"/>
      <w:pPr>
        <w:ind w:left="400" w:hanging="340"/>
      </w:pPr>
      <w:rPr>
        <w:b/>
        <w:bCs/>
        <w:color w:val="0F6B72"/>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31FD6C26"/>
    <w:multiLevelType w:val="multilevel"/>
    <w:tmpl w:val="31FD6C26"/>
    <w:lvl w:ilvl="0" w:tentative="0">
      <w:start w:val="1"/>
      <w:numFmt w:val="bullet"/>
      <w:lvlText w:val="▪"/>
      <w:lvlJc w:val="left"/>
      <w:pPr>
        <w:ind w:left="360" w:hanging="260"/>
      </w:pPr>
      <w:rPr>
        <w:color w:val="0F6B72"/>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4E3D3751"/>
    <w:multiLevelType w:val="multilevel"/>
    <w:tmpl w:val="4E3D3751"/>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1"/>
    <w:lvlOverride w:ilvl="0">
      <w:startOverride w:val="1"/>
    </w:lvlOverride>
  </w:num>
  <w:num w:numId="5">
    <w:abstractNumId w:val="2"/>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566"/>
    <w:rsid w:val="00131566"/>
    <w:rsid w:val="00FF5008"/>
    <w:rsid w:val="2AA55A6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qFormat="1"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nhideWhenUsed="0"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Calibri" w:hAnsi="Calibri" w:eastAsia="Calibri" w:cs="Calibri"/>
      <w:color w:val="333333"/>
      <w:sz w:val="22"/>
      <w:szCs w:val="22"/>
      <w:lang w:val="en-GB" w:eastAsia="en-GB" w:bidi="ar-SA"/>
    </w:rPr>
  </w:style>
  <w:style w:type="paragraph" w:styleId="2">
    <w:name w:val="heading 1"/>
    <w:basedOn w:val="1"/>
    <w:next w:val="1"/>
    <w:qFormat/>
    <w:uiPriority w:val="9"/>
    <w:pPr>
      <w:keepNext/>
      <w:pageBreakBefore/>
      <w:pBdr>
        <w:bottom w:val="single" w:color="1F3864" w:sz="8" w:space="6"/>
      </w:pBdr>
      <w:spacing w:after="240" w:line="240" w:lineRule="auto"/>
      <w:jc w:val="left"/>
      <w:outlineLvl w:val="0"/>
    </w:pPr>
    <w:rPr>
      <w:rFonts w:ascii="Cambria" w:hAnsi="Cambria" w:eastAsia="Cambria" w:cs="Cambria"/>
      <w:b/>
      <w:bCs/>
      <w:color w:val="1F3864"/>
      <w:sz w:val="32"/>
      <w:szCs w:val="32"/>
    </w:rPr>
  </w:style>
  <w:style w:type="paragraph" w:styleId="3">
    <w:name w:val="heading 2"/>
    <w:basedOn w:val="1"/>
    <w:next w:val="1"/>
    <w:unhideWhenUsed/>
    <w:qFormat/>
    <w:uiPriority w:val="9"/>
    <w:pPr>
      <w:keepNext/>
      <w:spacing w:before="300" w:after="120" w:line="240" w:lineRule="auto"/>
      <w:jc w:val="left"/>
      <w:outlineLvl w:val="1"/>
    </w:pPr>
    <w:rPr>
      <w:rFonts w:ascii="Cambria" w:hAnsi="Cambria" w:eastAsia="Cambria" w:cs="Cambria"/>
      <w:b/>
      <w:bCs/>
      <w:color w:val="0F6B72"/>
      <w:sz w:val="26"/>
      <w:szCs w:val="26"/>
    </w:rPr>
  </w:style>
  <w:style w:type="paragraph" w:styleId="4">
    <w:name w:val="heading 3"/>
    <w:basedOn w:val="1"/>
    <w:next w:val="1"/>
    <w:unhideWhenUsed/>
    <w:qFormat/>
    <w:uiPriority w:val="9"/>
    <w:pPr>
      <w:keepNext/>
      <w:spacing w:before="200" w:after="80" w:line="240" w:lineRule="auto"/>
      <w:jc w:val="left"/>
      <w:outlineLvl w:val="2"/>
    </w:pPr>
    <w:rPr>
      <w:rFonts w:ascii="Cambria" w:hAnsi="Cambria" w:eastAsia="Cambria" w:cs="Cambria"/>
      <w:b/>
      <w:bCs/>
      <w:color w:val="1F3864"/>
      <w:sz w:val="23"/>
      <w:szCs w:val="23"/>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qFormat/>
    <w:uiPriority w:val="0"/>
    <w:pPr>
      <w:spacing w:before="80" w:after="60" w:line="240" w:lineRule="auto"/>
      <w:jc w:val="left"/>
    </w:pPr>
    <w:rPr>
      <w:b/>
      <w:bCs/>
      <w:color w:val="1F3864"/>
      <w:sz w:val="20"/>
      <w:szCs w:val="20"/>
    </w:rPr>
  </w:style>
  <w:style w:type="character" w:styleId="11">
    <w:name w:val="endnote reference"/>
    <w:semiHidden/>
    <w:unhideWhenUsed/>
    <w:qFormat/>
    <w:uiPriority w:val="99"/>
    <w:rPr>
      <w:vertAlign w:val="superscript"/>
    </w:rPr>
  </w:style>
  <w:style w:type="paragraph" w:styleId="12">
    <w:name w:val="endnote text"/>
    <w:basedOn w:val="1"/>
    <w:link w:val="24"/>
    <w:semiHidden/>
    <w:unhideWhenUsed/>
    <w:qFormat/>
    <w:uiPriority w:val="99"/>
    <w:pPr>
      <w:spacing w:after="0" w:line="240" w:lineRule="auto"/>
    </w:pPr>
    <w:rPr>
      <w:sz w:val="20"/>
      <w:szCs w:val="20"/>
    </w:rPr>
  </w:style>
  <w:style w:type="character" w:styleId="13">
    <w:name w:val="footnote reference"/>
    <w:semiHidden/>
    <w:unhideWhenUsed/>
    <w:uiPriority w:val="99"/>
    <w:rPr>
      <w:vertAlign w:val="superscript"/>
    </w:rPr>
  </w:style>
  <w:style w:type="paragraph" w:styleId="14">
    <w:name w:val="footnote text"/>
    <w:basedOn w:val="1"/>
    <w:link w:val="23"/>
    <w:semiHidden/>
    <w:unhideWhenUsed/>
    <w:uiPriority w:val="99"/>
    <w:pPr>
      <w:spacing w:after="0" w:line="240" w:lineRule="auto"/>
    </w:pPr>
    <w:rPr>
      <w:sz w:val="20"/>
      <w:szCs w:val="20"/>
    </w:rPr>
  </w:style>
  <w:style w:type="character" w:styleId="15">
    <w:name w:val="Hyperlink"/>
    <w:unhideWhenUsed/>
    <w:qFormat/>
    <w:uiPriority w:val="99"/>
    <w:rPr>
      <w:color w:val="0563C1"/>
      <w:u w:val="single"/>
    </w:rPr>
  </w:style>
  <w:style w:type="paragraph" w:styleId="16">
    <w:name w:val="table of figures"/>
    <w:basedOn w:val="1"/>
    <w:next w:val="1"/>
    <w:uiPriority w:val="99"/>
    <w:pPr>
      <w:spacing w:after="60" w:line="264" w:lineRule="auto"/>
      <w:jc w:val="left"/>
    </w:pPr>
  </w:style>
  <w:style w:type="paragraph" w:styleId="17">
    <w:name w:val="Title"/>
    <w:basedOn w:val="1"/>
    <w:next w:val="1"/>
    <w:qFormat/>
    <w:uiPriority w:val="10"/>
    <w:rPr>
      <w:sz w:val="56"/>
      <w:szCs w:val="56"/>
    </w:rPr>
  </w:style>
  <w:style w:type="paragraph" w:styleId="18">
    <w:name w:val="toc 1"/>
    <w:basedOn w:val="1"/>
    <w:next w:val="1"/>
    <w:uiPriority w:val="39"/>
    <w:pPr>
      <w:spacing w:before="100" w:after="20" w:line="264" w:lineRule="auto"/>
      <w:jc w:val="left"/>
    </w:pPr>
    <w:rPr>
      <w:b/>
      <w:bCs/>
      <w:color w:val="1F3864"/>
    </w:rPr>
  </w:style>
  <w:style w:type="paragraph" w:styleId="19">
    <w:name w:val="toc 2"/>
    <w:basedOn w:val="1"/>
    <w:next w:val="1"/>
    <w:qFormat/>
    <w:uiPriority w:val="39"/>
    <w:pPr>
      <w:spacing w:after="20" w:line="264" w:lineRule="auto"/>
      <w:ind w:left="300"/>
      <w:jc w:val="left"/>
    </w:pPr>
  </w:style>
  <w:style w:type="paragraph" w:styleId="20">
    <w:name w:val="toc 3"/>
    <w:basedOn w:val="1"/>
    <w:next w:val="1"/>
    <w:uiPriority w:val="39"/>
    <w:pPr>
      <w:spacing w:after="20" w:line="264" w:lineRule="auto"/>
      <w:ind w:left="600"/>
      <w:jc w:val="left"/>
    </w:pPr>
    <w:rPr>
      <w:color w:val="595959"/>
      <w:sz w:val="20"/>
      <w:szCs w:val="20"/>
    </w:rPr>
  </w:style>
  <w:style w:type="paragraph" w:customStyle="1" w:styleId="21">
    <w:name w:val="Strong1"/>
    <w:basedOn w:val="1"/>
    <w:next w:val="1"/>
    <w:qFormat/>
    <w:uiPriority w:val="0"/>
    <w:rPr>
      <w:b/>
      <w:bCs/>
    </w:rPr>
  </w:style>
  <w:style w:type="paragraph" w:styleId="22">
    <w:name w:val="List Paragraph"/>
    <w:basedOn w:val="1"/>
    <w:qFormat/>
    <w:uiPriority w:val="0"/>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2"/>
    <w:semiHidden/>
    <w:unhideWhenUsed/>
    <w:uiPriority w:val="99"/>
    <w:rPr>
      <w:sz w:val="20"/>
      <w:szCs w:val="20"/>
    </w:rPr>
  </w:style>
  <w:style w:type="paragraph" w:customStyle="1" w:styleId="25">
    <w:name w:val="Source Note"/>
    <w:basedOn w:val="1"/>
    <w:next w:val="1"/>
    <w:uiPriority w:val="0"/>
    <w:pPr>
      <w:spacing w:after="200" w:line="240" w:lineRule="auto"/>
      <w:jc w:val="left"/>
    </w:pPr>
    <w:rPr>
      <w:i/>
      <w:iCs/>
      <w:color w:val="595959"/>
      <w:sz w:val="17"/>
      <w:szCs w:val="17"/>
    </w:rPr>
  </w:style>
  <w:style w:type="paragraph" w:customStyle="1" w:styleId="26">
    <w:name w:val="Table Text"/>
    <w:basedOn w:val="1"/>
    <w:uiPriority w:val="0"/>
    <w:pPr>
      <w:spacing w:after="40" w:line="252" w:lineRule="auto"/>
      <w:jc w:val="left"/>
    </w:pPr>
    <w:rPr>
      <w:sz w:val="19"/>
      <w:szCs w:val="19"/>
    </w:rPr>
  </w:style>
  <w:style w:type="paragraph" w:customStyle="1" w:styleId="27">
    <w:name w:val="Table Head"/>
    <w:basedOn w:val="1"/>
    <w:qFormat/>
    <w:uiPriority w:val="0"/>
    <w:pPr>
      <w:keepNext/>
      <w:spacing w:after="0" w:line="240" w:lineRule="auto"/>
      <w:jc w:val="left"/>
    </w:pPr>
    <w:rPr>
      <w:b/>
      <w:bCs/>
      <w:color w:val="FFFFFF"/>
      <w:sz w:val="19"/>
      <w:szCs w:val="19"/>
    </w:rPr>
  </w:style>
  <w:style w:type="paragraph" w:customStyle="1" w:styleId="28">
    <w:name w:val="Box Title"/>
    <w:basedOn w:val="1"/>
    <w:uiPriority w:val="0"/>
    <w:pPr>
      <w:keepNext/>
      <w:spacing w:after="80" w:line="240" w:lineRule="auto"/>
      <w:jc w:val="left"/>
    </w:pPr>
    <w:rPr>
      <w:rFonts w:ascii="Cambria" w:hAnsi="Cambria" w:eastAsia="Cambria" w:cs="Cambria"/>
      <w:b/>
      <w:bCs/>
      <w:color w:val="0F6B72"/>
    </w:rPr>
  </w:style>
  <w:style w:type="paragraph" w:customStyle="1" w:styleId="29">
    <w:name w:val="Box Text"/>
    <w:basedOn w:val="1"/>
    <w:qFormat/>
    <w:uiPriority w:val="0"/>
    <w:pPr>
      <w:spacing w:after="60" w:line="264" w:lineRule="auto"/>
      <w:jc w:val="left"/>
    </w:pPr>
    <w:rPr>
      <w:sz w:val="20"/>
      <w:szCs w:val="20"/>
    </w:rPr>
  </w:style>
  <w:style w:type="paragraph" w:customStyle="1" w:styleId="30">
    <w:name w:val="Reference Entry"/>
    <w:basedOn w:val="1"/>
    <w:qFormat/>
    <w:uiPriority w:val="0"/>
    <w:pPr>
      <w:spacing w:after="0" w:line="480" w:lineRule="auto"/>
      <w:ind w:left="720" w:hanging="720"/>
      <w:jc w:val="left"/>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64</Pages>
  <Words>2587</Words>
  <Characters>14178</Characters>
  <Lines>457</Lines>
  <Paragraphs>419</Paragraphs>
  <TotalTime>0</TotalTime>
  <ScaleCrop>false</ScaleCrop>
  <LinksUpToDate>false</LinksUpToDate>
  <CharactersWithSpaces>16346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2026-10-01T06:37:00Z</dcterms:created>
  <dc:creator>Sai Prashanth Sarathy, R Arvindshankar, Hariharan N, Vedika Sharma, Vani Som</dc:creator>
  <dc:description>Report Template for the AMPBA Capstone Project Final Report, 2026 Edition, Version 1.0</dc:description>
  <cp:lastModifiedBy>Sai Prashanth</cp:lastModifiedBy>
  <cp:lastPrinted>2026-10-01T06:37:00Z</cp:lastPrinted>
  <dcterms:modified xsi:type="dcterms:W3CDTF">2026-10-20T06:17:12Z</dcterms:modified>
  <dc:subject>ISB AMPBA Capstone Project Final Report</dc:subject>
  <dc:title>Demand Prediction by SKU: Forecasting Lumpy Room Air-Conditioner Demand for Depot Replenishment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2FA2B1790E774975B92CFB15D996DAB7_12</vt:lpwstr>
  </property>
</Properties>
</file>