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mbria" w:hAnsi="Cambria"/>
          <w:b/>
          <w:color w:val="1F3864"/>
          <w:sz w:val="19"/>
        </w:rPr>
        <w:t>INDIAN SCHOOL OF BUSINESS  ·  INSTITUTE OF DATA SCIENCE</w:t>
      </w:r>
    </w:p>
    <w:p>
      <w:pPr>
        <w:spacing w:after="80"/>
        <w:jc w:val="center"/>
      </w:pPr>
      <w:r>
        <w:rPr>
          <w:rFonts w:ascii="Cambria" w:hAnsi="Cambria"/>
          <w:b/>
          <w:color w:val="1F3864"/>
          <w:sz w:val="28"/>
        </w:rPr>
        <w:t>CAPSTONE PROJECT: DATA NOTE</w:t>
      </w:r>
    </w:p>
    <w:p>
      <w:pPr>
        <w:spacing w:after="240"/>
        <w:jc w:val="center"/>
      </w:pPr>
      <w:r>
        <w:rPr>
          <w:rFonts w:ascii="Calibri" w:hAnsi="Calibri"/>
          <w:i/>
          <w:color w:val="595959"/>
          <w:sz w:val="18"/>
        </w:rPr>
        <w:t>Project: Demand Prediction by SKU: Forecasting Lumpy Room Air-Conditioner Demand for Depot Replenishment</w:t>
        <w:br/>
        <w:t>Sponsor: Deloitte Touche Tohmatsu India LLP  |  Cohort: AMPBA Class of 2026S  |  Date: October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8"/>
              </w:rPr>
              <w:t>Sponsor &amp; Client Context</w:t>
            </w:r>
          </w:p>
        </w:tc>
        <w:tc>
          <w:tcPr>
            <w:tcW w:type="dxa" w:w="691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Deloitte Touche Tohmatsu India LLP (advising a leading Indian room air-conditioner manufacturer)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8"/>
              </w:rPr>
              <w:t>Source Data Extraction</w:t>
            </w:r>
          </w:p>
        </w:tc>
        <w:tc>
          <w:tcPr>
            <w:tcW w:type="dxa" w:w="691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SAP ERP billing extract spanning 16 July 2022 to 30 June 2024 (103 weekly billing cycles; 82,034 rows)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8"/>
              </w:rPr>
              <w:t>Data Sensitivity Level</w:t>
            </w:r>
          </w:p>
        </w:tc>
        <w:tc>
          <w:tcPr>
            <w:tcW w:type="dxa" w:w="691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CONFIDENTIAL / RESTRICTED (Commercial client billing data shared under sponsor NDA for ISB evaluation)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8"/>
              </w:rPr>
              <w:t>Target Demand Grain</w:t>
            </w:r>
          </w:p>
        </w:tc>
        <w:tc>
          <w:tcPr>
            <w:tcW w:type="dxa" w:w="691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5F7F7"/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Weekly billing quantity for 70 outdoor-unit (ODU) models across 5 regional sales depots (BLR, COK, MAA, SBD, SBD1)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18"/>
              </w:rPr>
              <w:t>Sponsor Approval Status</w:t>
            </w:r>
          </w:p>
        </w:tc>
        <w:tc>
          <w:tcPr>
            <w:tcW w:type="dxa" w:w="691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sz w:val="18"/>
              </w:rPr>
              <w:t>Data-handling protocol and academic usage approved by Deloitte in August 2026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Cambria" w:hAnsi="Cambria"/>
          <w:b/>
          <w:color w:val="1F3864"/>
          <w:sz w:val="20"/>
        </w:rPr>
        <w:t>1. Data Description &amp; Provenance</w:t>
      </w:r>
    </w:p>
    <w:p>
      <w:pPr>
        <w:spacing w:line="276" w:lineRule="auto" w:after="80"/>
      </w:pPr>
      <w:r>
        <w:rPr>
          <w:rFonts w:ascii="Calibri" w:hAnsi="Calibri"/>
          <w:sz w:val="18"/>
        </w:rPr>
        <w:t>The dataset comprises transactional ERP billing lines from the manufacturer's South India operations. Each record captures billing date, material code, sales office code, billing quantity, equipment segment (inverter vs. fixed-speed), star rating, and tonnage. Following comprehensive forensic audits, indoor-unit lines (IDUs) were set aside (demand is strictly 1:1 with outdoor units) and exact duplicate rows in Q1 FY25 were removed, establishing an empirical data mart of 66,336 positive ODU lines and 698,904 shipped units.</w:t>
      </w:r>
    </w:p>
    <w:p>
      <w:pPr>
        <w:spacing w:before="80" w:after="40"/>
      </w:pPr>
      <w:r>
        <w:rPr>
          <w:rFonts w:ascii="Cambria" w:hAnsi="Cambria"/>
          <w:b/>
          <w:color w:val="1F3864"/>
          <w:sz w:val="20"/>
        </w:rPr>
        <w:t>2. Anonymization &amp; Confidentiality Safeguards</w:t>
      </w:r>
    </w:p>
    <w:p>
      <w:pPr>
        <w:spacing w:line="276" w:lineRule="auto" w:after="80"/>
      </w:pPr>
      <w:r>
        <w:rPr>
          <w:rFonts w:ascii="Calibri" w:hAnsi="Calibri"/>
          <w:sz w:val="18"/>
        </w:rPr>
        <w:t>In strict compliance with ISB Honor Code and sponsor confidentiality protocols, the following safeguards were applied:</w:t>
        <w:br/>
        <w:t>• Client Manufacturer Masking: The corporate entity and brand name of the AC manufacturer are fully anonymized.</w:t>
        <w:br/>
        <w:t>• Personally Identifiable Information (PII) Exclusion: The extract contained names of individual retail buyers and dealer names. All customer/dealer names were strictly quarantined, omitted from feature engineering and models, and appear in zero tables or charts.</w:t>
        <w:br/>
        <w:t>• Commercial Pricing Suppression: No invoice values, unit prices, billing margins, or revenue figures are disclosed; all analyses and replenishment policies operate on unit volumes.</w:t>
        <w:br/>
        <w:t>• Aggregation Thresholds: All published exhibits and summary tables are aggregated to SKU × branch × week level.</w:t>
      </w:r>
    </w:p>
    <w:p>
      <w:pPr>
        <w:spacing w:before="80" w:after="40"/>
      </w:pPr>
      <w:r>
        <w:rPr>
          <w:rFonts w:ascii="Cambria" w:hAnsi="Cambria"/>
          <w:b/>
          <w:color w:val="1F3864"/>
          <w:sz w:val="20"/>
        </w:rPr>
        <w:t>3. Code Repository &amp; Storage Security</w:t>
      </w:r>
    </w:p>
    <w:p>
      <w:pPr>
        <w:spacing w:line="276" w:lineRule="auto" w:after="80"/>
      </w:pPr>
      <w:r>
        <w:rPr>
          <w:rFonts w:ascii="Calibri" w:hAnsi="Calibri"/>
          <w:sz w:val="18"/>
        </w:rPr>
        <w:t>The analytical codebase and Streamlit cockpit are maintained in a secure private GitHub repository (https://github.com/saiprash711/ISB_Capstone_Project). All raw billing files, client extracts, and intermediate pickles are excluded from version control via .gitignore. Reproduction instructions utilize synthetic or sanitized mock files.</w:t>
      </w:r>
    </w:p>
    <w:p>
      <w:pPr>
        <w:spacing w:before="120"/>
      </w:pPr>
      <w:r>
        <w:rPr>
          <w:rFonts w:ascii="Calibri" w:hAnsi="Calibri"/>
          <w:i/>
          <w:color w:val="595959"/>
          <w:sz w:val="17"/>
        </w:rPr>
        <w:t>Submitted on behalf of the Capstone Project Team:</w:t>
        <w:br/>
        <w:t>Sai Prashanth Sarathy (12510081), R Arvindshankar (12510053), Hariharan N (12510102), Vedika Sharma (12510071), Vani Som (12510023)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