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le"/>
        <w:spacing w:before="0" w:after="80"/>
      </w:pPr>
      <w:r>
        <w:t>Capstone Project Weekly Report</w:t>
      </w:r>
    </w:p>
    <w:p>
      <w:pPr>
        <w:spacing w:before="20" w:after="20"/>
      </w:pPr>
      <w:r>
        <w:rPr>
          <w:b/>
        </w:rPr>
        <w:t xml:space="preserve">Reporting Week: </w:t>
      </w:r>
      <w:r>
        <w:t>Week ending September 27, 2026</w:t>
      </w:r>
    </w:p>
    <w:p>
      <w:pPr>
        <w:spacing w:before="20" w:after="20"/>
      </w:pPr>
      <w:r>
        <w:rPr>
          <w:b/>
        </w:rPr>
        <w:t xml:space="preserve">Sponsor Company: </w:t>
      </w:r>
      <w:r>
        <w:t>Deloitte</w:t>
      </w:r>
    </w:p>
    <w:p>
      <w:pPr>
        <w:spacing w:before="20" w:after="20"/>
      </w:pPr>
      <w:r>
        <w:rPr>
          <w:b/>
        </w:rPr>
        <w:t xml:space="preserve">Project Title: </w:t>
      </w:r>
      <w:r>
        <w:t>Air Conditioning Demand Forecasting &amp; Supply Chain Optimization</w:t>
      </w:r>
    </w:p>
    <w:p>
      <w:pPr>
        <w:spacing w:before="20" w:after="20"/>
      </w:pPr>
      <w:r>
        <w:rPr>
          <w:b/>
        </w:rPr>
        <w:t xml:space="preserve">Report Owner: </w:t>
      </w:r>
      <w:r>
        <w:t>Vedika Sharma (PGID: 12510071)</w:t>
      </w:r>
    </w:p>
    <w:p>
      <w:pPr>
        <w:spacing w:before="20" w:after="20"/>
      </w:pPr>
      <w:r>
        <w:rPr>
          <w:b/>
        </w:rPr>
        <w:t xml:space="preserve">Team Members: </w:t>
      </w:r>
      <w:r>
        <w:t>Arvind, Hariharan, Vani, Vedika, Sai Prashanth</w:t>
      </w:r>
    </w:p>
    <w:p>
      <w:pPr>
        <w:pStyle w:val="Heading1"/>
        <w:spacing w:before="240" w:after="60"/>
      </w:pPr>
      <w:r>
        <w:t>Project Milestones</w:t>
      </w:r>
    </w:p>
    <w:p>
      <w:pPr>
        <w:spacing w:before="40" w:after="120"/>
      </w:pPr>
      <w:r>
        <w:t>The team successfully engineered and validated the Enterprise Forecasting Engine, transitioning from baseline statistical modeling to an APICS-compliant, leakage-controlled machine learning tournament framework. We developed an expanding-window walk-forward backtesting engine (src/validation/backtesting.py), passed an exhaustive 4-tier temporal leakage audit plus feature-level leakage tests (a growth-feature leak found during the FY24-25 validation was fixed), and established an automated Syntetos-Boylan demand profiling and candidate routing architecture (src/selection/demand_classifier.py). Benchmarking was executed across 152 SKUs (70 ODU) and 5 regional branches across 4 distinct algorithmic families, and an auditable Champion/Challenger model registry (src/selection/champion_challenger.py) was instituted to govern production promotions.</w:t>
      </w:r>
    </w:p>
    <w:p>
      <w:pPr>
        <w:pStyle w:val="Heading1"/>
        <w:spacing w:before="240" w:after="60"/>
      </w:pPr>
      <w:r>
        <w:t>Progress Made in Current Week</w:t>
      </w:r>
    </w:p>
    <w:p>
      <w:pPr>
        <w:pStyle w:val="Heading2"/>
        <w:spacing w:before="160" w:after="40"/>
      </w:pPr>
      <w:r>
        <w:t>1. Temporal Leakage Audit &amp; Walk-Forward Validation Engine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Causal Walk-Forward Splits: </w:t>
      </w:r>
      <w:r>
        <w:t>Engineered and validated src/validation/backtesting.py enforcing strictly chronological expanding-window rolling-origin splits where max(train) &lt; min(test) across all validation folds, permanently eliminating shuffle/lookahead contamination.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Temporal Leakage Audit &amp; Fix: </w:t>
      </w:r>
      <w:r>
        <w:t>Temporal leakage controls (src/validation/leakage_audit.py, tests/test_leakage_audit.py): lag causality, rolling-window exclusion, split disjointness, plus two feature-level tests (no feature may depend on y(t); forecast-time features must equal training features). These tests exposed a leak in the 12-week growth feature, which was fixed.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Multi-Factor Stability Index: </w:t>
      </w:r>
      <w:r>
        <w:t>Formulated an objective model stability score penalizing candidate models for cross-fold WAPE variance, worst-fold performance degradation, and directional bias inconsistency across rolling validation origins.</w:t>
      </w:r>
    </w:p>
    <w:p>
      <w:pPr>
        <w:pStyle w:val="Heading2"/>
        <w:spacing w:before="160" w:after="40"/>
      </w:pPr>
      <w:r>
        <w:t>2. Syntetos-Boylan Demand Profiling &amp; Dynamic Model Routing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Demand Intermittency Categorization: </w:t>
      </w:r>
      <w:r>
        <w:t>Implemented the Syntetos-Boylan / Kostenko-Hyndman quadrant framework (src/selection/demand_classifier.py) using the standard cut-offs Average Demand Interval (ADI) = 1.32 and squared coefficient of variation (CV²) = 0.49.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Portfolio Profiling Results: </w:t>
      </w:r>
      <w:r>
        <w:t>Classified all 273 weekly ODU SKU × Branch series (training period to 1 Jul 2024): Erratic (62.3% of volume / 61 series), Lumpy (34.8% of volume / 166 series), Smooth (2.1% of volume / 9 series), Intermittent (0.8% of volume / 37 series).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Intelligent Candidate Routing: </w:t>
      </w:r>
      <w:r>
        <w:t>Engineered heuristics routing sparse/lumpy profiles to Croston, SBA, and TSB; routing seasonal high-velocity series to SARIMA and ETS; and routing multi-feature series to LightGBM, XGBoost, and Random Forest.</w:t>
      </w:r>
    </w:p>
    <w:p>
      <w:pPr>
        <w:pStyle w:val="Heading2"/>
        <w:spacing w:before="160" w:after="40"/>
      </w:pPr>
      <w:r>
        <w:t>3. Multi-Model Forecasting Tournament &amp; APICS Zero-Safe Metrics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Unified Interface for 17 Candidate Models: </w:t>
      </w:r>
      <w:r>
        <w:t>Standardized fit/predict interfaces across families: Baseline (Naive, Seasonal Naive, Moving Average, Exponential Smoothing), pooled Seasonal Index (region/branch month index × month-end factor; 8-week and 26-week level variants), Statistical (ARIMA; SARIMA = ARIMA on the seasonally adjusted series; ETS = damped-trend ETS(A,Ad,N) on the seasonally adjusted series), Intermittent (Croston, SBA, TSB), Machine Learning (Random Forest, Gradient Boosting, XGBoost, LightGBM) and an inverse-WAPE weighted Ensemble.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Recursive Autoregressive ML Prediction: </w:t>
      </w:r>
      <w:r>
        <w:t>Implemented recursive forward walk-forward forecasting (predict_recursive) dynamically feeding simulated predictions back into autoregressive lag buffers to prevent feature matrix leakage.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Zero-Safe APICS Metrics Suite: </w:t>
      </w:r>
      <w:r>
        <w:t>Built comprehensive error quantification (src/validation/metrics.py) implementing Volume-weighted WAPE (WMAPE), sMAPE, MASE (scaled against in-sample naive benchmarking), RMSE, MAE, and signed Forecast Bias.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Enforced Zero-Bounding Constraints: </w:t>
      </w:r>
      <w:r>
        <w:t>Applied non-negativity post-processing across all statistical baseline outputs, eliminating negative demand artifacts (e.g., unbounded ARIMA predicting -104 units) identified in prior weeks.</w:t>
      </w:r>
    </w:p>
    <w:p>
      <w:pPr>
        <w:pStyle w:val="Heading2"/>
        <w:spacing w:before="160" w:after="40"/>
      </w:pPr>
      <w:r>
        <w:t>4. Defensible Champion/Challenger Governance &amp; Persistent Registry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Auditable Promotion Gates: </w:t>
      </w:r>
      <w:r>
        <w:t>Implemented src/selection/champion_challenger.py requiring challengers to demonstrate &gt;= 3.0% out-of-fold WAPE reduction, &lt;= 15.0% absolute bias tolerance, and stability score &gt;= 40.0 over incumbents to prevent model churn.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Persistent Model Registry: </w:t>
      </w:r>
      <w:r>
        <w:t>Created atomic lifecycle transitions (ACTIVE_CHAMPION -&gt; RETIRED with superseding lineage) persisted directly to JSON storage (src/monitoring/registry.py) with complete governance audit trails.</w:t>
      </w:r>
    </w:p>
    <w:p>
      <w:pPr>
        <w:pStyle w:val="Heading1"/>
        <w:spacing w:before="240" w:after="60"/>
      </w:pPr>
      <w:r>
        <w:t>Business &amp; Model Observations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Measured Accuracy vs Baselines: </w:t>
      </w:r>
      <w:r>
        <w:t>Champions are chosen per SKU × Branch by lowest mean RMSE over 4 rolling-origin folds of 12 weeks; no model family wins everywhere. On the FY24-25 holdout (2024-07-01 to 2025-06-30; static evaluation, models fitted once on data to 30 Jun 2024), engine accuracy (100% - WAPE) was 54.3% at South Region x Month versus 55.0% for seasonal naive; at SKU x Branch x Month it was -3.6% versus -55.9% for seasonal naive.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Intermittent Models for Lumpy Demand: </w:t>
      </w:r>
      <w:r>
        <w:t>Lumpy series account for 34.8% of ODU volume (166 series) and Erratic series for 62.3%; Croston, SBA and TSB are added to the candidate set whenever more than 30% of weeks are zero and compete on the same RMSE ranking as every other model.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rPr>
          <w:b/>
        </w:rPr>
        <w:t xml:space="preserve">Champion/Challenger Prevents Churn: </w:t>
      </w:r>
      <w:r>
        <w:t>Strict multi-fold stability scoring prevented volatile single-fold models from prematurely displacing proven champions, ensuring deployment defensibility.</w:t>
      </w:r>
    </w:p>
    <w:p>
      <w:pPr>
        <w:pStyle w:val="Heading1"/>
        <w:spacing w:before="240" w:after="60"/>
      </w:pPr>
      <w:r>
        <w:t>Updates / MoM from Sponsor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Deloitte confirmed alignment on the weekly SKU × Branch canonical modeling grain (8,951 rows).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Sponsor leadership endorsed the expanding-window walk-forward validation strategy over standard cross-validation, noting its enterprise audit compliance.</w:t>
      </w:r>
    </w:p>
    <w:p>
      <w:pPr>
        <w:pStyle w:val="Heading1"/>
        <w:spacing w:before="240" w:after="60"/>
      </w:pPr>
      <w:r>
        <w:t>Updates / MoM from Faculty Mentor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Faculty mentor reviewed the temporal leakage audit report and Syntetos-Boylan categorization breakdown.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Emphasized connecting model evaluation directly with business metrics rather than relying solely on statistical RMSE; recommended translating forecast error into working capital implications in the next phase.</w:t>
      </w:r>
    </w:p>
    <w:p>
      <w:pPr>
        <w:pStyle w:val="Heading1"/>
        <w:spacing w:before="240" w:after="60"/>
      </w:pPr>
      <w:r>
        <w:t>Challenges</w:t>
      </w:r>
    </w:p>
    <w:p>
      <w:pPr>
        <w:pStyle w:val="Heading2"/>
        <w:spacing w:before="120" w:after="40"/>
      </w:pPr>
      <w:r>
        <w:t>Technical Challenges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Ensuring recursive multi-step forecasting in gradient boosted trees maintained strict lag integrity across a 12-to-24 week horizon without accumulating runaway error drift.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Managing computational throughput during batch rolling-origin backtesting across 152 SKUs and 5 regional branches (resolved via vectorized matrix operations and caching).</w:t>
      </w:r>
    </w:p>
    <w:p>
      <w:pPr>
        <w:pStyle w:val="Heading2"/>
        <w:spacing w:before="120" w:after="40"/>
      </w:pPr>
      <w:r>
        <w:t>Non-Technical Challenges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Balancing model promotion criteria across conflicting stakeholder priorities: statistical purity vs. supply chain planner explainability.</w:t>
      </w:r>
    </w:p>
    <w:p>
      <w:pPr>
        <w:pStyle w:val="Heading1"/>
        <w:spacing w:before="240" w:after="60"/>
      </w:pPr>
      <w:r>
        <w:t>Key Highlighted Action Items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Translate model forecast errors into safety stock buffers and reorder point inventory policies.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Engineer conformal prediction intervals (P10/P50/P90) to capture asymmetric supply chain risks.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Implement automated drift detection and operational health monitors for production deployment.</w:t>
      </w:r>
    </w:p>
    <w:p>
      <w:pPr>
        <w:pStyle w:val="Heading1"/>
        <w:spacing w:before="240" w:after="60"/>
      </w:pPr>
      <w:r>
        <w:t>Tasks to Finish in Next Week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Develop the Probabilistic Inventory Optimization Engine (src/inventory/inventory_engine.py).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Implement distribution-free conformal prediction intervals (src/uncertainty/prediction_intervals.py).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Build What-If Scenario Stress Simulator (src/scenarios/simulator.py) for lead time shocks and promotional spikes.</w:t>
      </w:r>
    </w:p>
    <w:p>
      <w:pPr>
        <w:spacing w:before="20" w:after="40"/>
        <w:ind w:left="360"/>
      </w:pPr>
      <w:r>
        <w:rPr>
          <w:b/>
        </w:rPr>
        <w:t xml:space="preserve">• </w:t>
      </w:r>
      <w:r>
        <w:t>Implement statistical drift detection (PSI and KS test) and planner alert queues.</w:t>
      </w:r>
    </w:p>
    <w:sectPr w:rsidR="00553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F56"/>
    <w:rsid w:val="00861A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A20E1"/>
  <w14:defaultImageDpi w14:val="300"/>
  <w15:docId w15:val="{2124118D-D423-4540-8D63-EE740AA6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31A94-EC95-4164-BB0B-501B1D26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 N</cp:lastModifiedBy>
  <cp:revision>2</cp:revision>
  <dcterms:created xsi:type="dcterms:W3CDTF">2013-12-23T23:15:00Z</dcterms:created>
  <dcterms:modified xsi:type="dcterms:W3CDTF">2026-09-22T17:44:00Z</dcterms:modified>
  <cp:category/>
</cp:coreProperties>
</file>