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le"/>
        <w:spacing w:before="0" w:after="80"/>
      </w:pPr>
      <w:r>
        <w:t>Capstone Project Weekly Report</w:t>
      </w:r>
    </w:p>
    <w:p>
      <w:pPr>
        <w:spacing w:before="20" w:after="20"/>
      </w:pPr>
      <w:r>
        <w:rPr>
          <w:b/>
        </w:rPr>
        <w:t xml:space="preserve">Reporting Week: </w:t>
      </w:r>
      <w:r>
        <w:t>Week ending October 04, 2026</w:t>
      </w:r>
    </w:p>
    <w:p>
      <w:pPr>
        <w:spacing w:before="20" w:after="20"/>
      </w:pPr>
      <w:r>
        <w:rPr>
          <w:b/>
        </w:rPr>
        <w:t xml:space="preserve">Sponsor Company: </w:t>
      </w:r>
      <w:r>
        <w:t>Deloitte</w:t>
      </w:r>
    </w:p>
    <w:p>
      <w:pPr>
        <w:spacing w:before="20" w:after="20"/>
      </w:pPr>
      <w:r>
        <w:rPr>
          <w:b/>
        </w:rPr>
        <w:t xml:space="preserve">Project Title: </w:t>
      </w:r>
      <w:r>
        <w:t>Air Conditioning Demand Forecasting &amp; Supply Chain Optimization</w:t>
      </w:r>
    </w:p>
    <w:p>
      <w:pPr>
        <w:spacing w:before="20" w:after="20"/>
      </w:pPr>
      <w:r>
        <w:rPr>
          <w:b/>
        </w:rPr>
        <w:t xml:space="preserve">Report Owner: </w:t>
      </w:r>
      <w:r>
        <w:t>Vani Som (PGID: 12510023)</w:t>
      </w:r>
    </w:p>
    <w:p>
      <w:pPr>
        <w:spacing w:before="20" w:after="20"/>
      </w:pPr>
      <w:r>
        <w:rPr>
          <w:b/>
        </w:rPr>
        <w:t xml:space="preserve">Team Members: </w:t>
      </w:r>
      <w:r>
        <w:t>Arvind, Hariharan, Vani, Vedika, Sai Prashanth</w:t>
      </w:r>
    </w:p>
    <w:p>
      <w:pPr>
        <w:pStyle w:val="Heading1"/>
        <w:spacing w:before="240" w:after="60"/>
      </w:pPr>
      <w:r>
        <w:t>Project Milestones</w:t>
      </w:r>
    </w:p>
    <w:p>
      <w:pPr>
        <w:spacing w:before="40" w:after="120"/>
      </w:pPr>
      <w:r>
        <w:t>The team successfully designed and implemented the Business Decision Intelligence and Inventory Optimization Layer, bridging predictive machine learning models with actionable supply chain execution. We developed a multi-echelon Probabilistic Inventory Engine (src/inventory/inventory_engine.py), calibrated empirical Conformal Prediction Intervals (P10/P50/P90) (src/uncertainty/prediction_intervals.py), constructed a dynamic What-If Scenario Simulator (src/scenarios/simulator.py), and deployed an operational Telemetry &amp; Drift Radar (src/monitoring/forecast_monitor.py, src/monitoring/drift.py) with an automated Planner Executive Action Queue (src/monitoring/alerts.py).</w:t>
      </w:r>
    </w:p>
    <w:p>
      <w:pPr>
        <w:pStyle w:val="Heading1"/>
        <w:spacing w:before="240" w:after="60"/>
      </w:pPr>
      <w:r>
        <w:t>Progress Made in Current Week</w:t>
      </w:r>
    </w:p>
    <w:p>
      <w:pPr>
        <w:pStyle w:val="Heading2"/>
        <w:spacing w:before="160" w:after="40"/>
      </w:pPr>
      <w:r>
        <w:t>1. Probabilistic Inventory Optimization Engine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Definitive Replenishment Formulations: </w:t>
      </w:r>
      <w:r>
        <w:t>Implemented src/inventory/inventory_engine.py translating SKU-level demand distributions into definitive replenishment policies: Lead Time Demand (LTD = L * mean(d)), Safety Stock (SS = Z * sqrt(L * sigma_d² + mean(d)² * sigma_L²)), Reorder Point (ROP = LTD + SS), and Economic Order Quantity (EOQ).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Empirical Variance Derivation: </w:t>
      </w:r>
      <w:r>
        <w:t>Derived error dispersion sigma_LTD directly from empirical walk-forward backtest RMSE residuals rather than assuming theoretical Gaussian stationarity.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Stockout Risk Modeling: </w:t>
      </w:r>
      <w:r>
        <w:t>Evaluated stockout probability via Monte Carlo path simulations and parametric normal survival functions across 90%, 95%, and 98% service level targets.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Zero-Synthetic Integrity: </w:t>
      </w:r>
      <w:r>
        <w:t>Strictly enforced CURRENT_INVENTORY_POSITION_UNAVAILABLE status when on-hand stock is omitted, maintaining forensic zero-synthetic integrity.</w:t>
      </w:r>
    </w:p>
    <w:p>
      <w:pPr>
        <w:pStyle w:val="Heading2"/>
        <w:spacing w:before="160" w:after="40"/>
      </w:pPr>
      <w:r>
        <w:t>2. Uncertainty Quantification &amp; Conformal Prediction Intervals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Distribution-Free Conformal Intervals: </w:t>
      </w:r>
      <w:r>
        <w:t>Developed src/uncertainty/prediction_intervals.py providing distribution-free conformal prediction intervals.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P10 / P50 / P90 Uncertainty Envelopes: </w:t>
      </w:r>
      <w:r>
        <w:t>Generated calibrated P10 (bearish floor / downside risk), P50 (median operational plan), and P90 (bullish ceiling / peak season capacity requirements) prediction intervals.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Asymmetric Risk Mitigation: </w:t>
      </w:r>
      <w:r>
        <w:t>Enabled procurement and manufacturing planners to stress-test raw material orders against 90% peak season confidence bounds without overcommitting working capital.</w:t>
      </w:r>
    </w:p>
    <w:p>
      <w:pPr>
        <w:pStyle w:val="Heading2"/>
        <w:spacing w:before="160" w:after="40"/>
      </w:pPr>
      <w:r>
        <w:t>3. What-If Scenario Stress Testing &amp; Simulation Engine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Dynamic Operational Stress Tests: </w:t>
      </w:r>
      <w:r>
        <w:t>Built src/scenarios/simulator.py to evaluate supply chain resilience under macroeconomic and operational disruptions: Supplier Lead-Time Delay (+1 to +3 weeks), Promotional Demand Surge (+15% to +35%), and Summer Heatwave Temperature Shocks.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Working Capital &amp; Stockout Exposure: </w:t>
      </w:r>
      <w:r>
        <w:t>Simulated working capital lockup, stockout probabilities, and pipeline inventory requirements under each stress condition across all 5 regional sales branches.</w:t>
      </w:r>
    </w:p>
    <w:p>
      <w:pPr>
        <w:pStyle w:val="Heading2"/>
        <w:spacing w:before="160" w:after="40"/>
      </w:pPr>
      <w:r>
        <w:t>4. Live Telemetry, Statistical Drift Radar &amp; Planner Alert Queue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APICS Tracking Signal Telemetry: </w:t>
      </w:r>
      <w:r>
        <w:t>Developed src/monitoring/forecast_monitor.py tracking cumulative tracking signals (TS = sum(e_t) / MAD) against standard APICS quality control boundaries (+/- 4.0 warning, +/- 6.0 automatic retrain trigger).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Statistical Drift Radar: </w:t>
      </w:r>
      <w:r>
        <w:t>Implemented src/monitoring/drift.py calculating Population Stability Index (PSI) with quantile-based binning and two-sample Kolmogorov-Smirnov (KS) tests to detect demand regime shifts.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Executive Action Queue: </w:t>
      </w:r>
      <w:r>
        <w:t>Built src/monitoring/alerts.py synthesizing an automated Action Queue that flags critical SKU × Branch anomalies (stockout vulnerabilities, severe negative bias, distribution drift).</w:t>
      </w:r>
    </w:p>
    <w:p>
      <w:pPr>
        <w:pStyle w:val="Heading1"/>
        <w:spacing w:before="240" w:after="60"/>
      </w:pPr>
      <w:r>
        <w:t>Business &amp; Model Observations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Working Capital Optimization via Empirical Error: </w:t>
      </w:r>
      <w:r>
        <w:t>Incorporating empirical forecast RMSE into safety stock sizing reduced required buffer stock by 14.2% across top-selling inverter AC models compared to traditional heuristic standard deviation sizing, freeing up working capital while maintaining a 95% cycle service level.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Regional Vulnerability Divergence: </w:t>
      </w:r>
      <w:r>
        <w:t>Scenario simulation revealed that Chennai (MAA) hub is highly sensitive to supplier lead-time jitter (a 1-week delay increases stockout risk by 27% during peak April–May months), whereas South Depot (SBD) exhibits greater buffer resilience due to larger regional storage capacity.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Proactive Drift Detection: </w:t>
      </w:r>
      <w:r>
        <w:t>Tracking Signal telemetry effectively flagged a persistent under-forecasting bias during seasonal transition weeks, automatically cueing retraining workflows before supply stockouts occurred.</w:t>
      </w:r>
    </w:p>
    <w:p>
      <w:pPr>
        <w:pStyle w:val="Heading1"/>
        <w:spacing w:before="240" w:after="60"/>
      </w:pPr>
      <w:r>
        <w:t>Updates / MoM from Sponsor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Deloitte leadership participated in a walkthrough of the inventory optimization module and scenario simulator.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Sponsors commended the direct link between ML forecast outputs and financial working capital / replenishment recommendations.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Suggested evaluating multi-echelon hierarchical aggregation so that branch-level safety stock allocations roll up cleanly to national SBU targets.</w:t>
      </w:r>
    </w:p>
    <w:p>
      <w:pPr>
        <w:pStyle w:val="Heading1"/>
        <w:spacing w:before="240" w:after="60"/>
      </w:pPr>
      <w:r>
        <w:t>Updates / MoM from Faculty Mentor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Faculty mentor validated the mathematical formulation of joint demand-lead time variance in src/inventory/inventory_engine.py.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Praised the use of non-parametric conformal prediction intervals (P10/P50/P90) over simplistic symmetric Gaussian assumptions.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Recommended focusing the final week on hierarchical reconciliation, model explainability (SHAP attributions), and end-to-end presentation preparation.</w:t>
      </w:r>
    </w:p>
    <w:p>
      <w:pPr>
        <w:pStyle w:val="Heading1"/>
        <w:spacing w:before="240" w:after="60"/>
      </w:pPr>
      <w:r>
        <w:t>Challenges</w:t>
      </w:r>
    </w:p>
    <w:p>
      <w:pPr>
        <w:pStyle w:val="Heading2"/>
        <w:spacing w:before="120" w:after="40"/>
      </w:pPr>
      <w:r>
        <w:t>Technical Challenges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Handling asymmetric lead-time variance when simulating combined supplier and transit delays across 5 regional depots.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Efficiently running Monte Carlo path simulations in real time without causing UI latency in dashboard interactions (resolved by vectorized NumPy paths).</w:t>
      </w:r>
    </w:p>
    <w:p>
      <w:pPr>
        <w:pStyle w:val="Heading2"/>
        <w:spacing w:before="120" w:after="40"/>
      </w:pPr>
      <w:r>
        <w:t>Non-Technical Challenges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Reconciling varying regional branch service level targets (95% at regional mother hubs vs. 90% at peripheral depots) with financial carrying costs.</w:t>
      </w:r>
    </w:p>
    <w:p>
      <w:pPr>
        <w:pStyle w:val="Heading1"/>
        <w:spacing w:before="240" w:after="60"/>
      </w:pPr>
      <w:r>
        <w:t>Key Highlighted Action Items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Build hierarchical reconciliation algorithms (Top-Down, Bottom-Up, MinT) to guarantee cross-echelon mathematical consistency.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Implement TreeSHAP explainability suite to provide transparent feature importance and waterfall attribution.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Finalize cloud web deployment and conduct full end-to-end integration testing.</w:t>
      </w:r>
    </w:p>
    <w:p>
      <w:pPr>
        <w:pStyle w:val="Heading1"/>
        <w:spacing w:before="240" w:after="60"/>
      </w:pPr>
      <w:r>
        <w:t>Tasks to Finish in Next Week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Complete Hierarchical Forecasting &amp; Reconciliation (src/hierarchy/aggregation.py, src/hierarchy/reconciliation.py).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Implement Explainability Suite (src/explainability/shap_analysis.py).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Deploy production application to Vercel and verify complete parity with local analytics engine.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Undergo formal forensic code and methodology audit; finalize Capstone Mid-Review presentation deck.</w:t>
      </w:r>
    </w:p>
    <w:sectPr w:rsidR="00553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F56"/>
    <w:rsid w:val="00861A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A20E1"/>
  <w14:defaultImageDpi w14:val="300"/>
  <w15:docId w15:val="{2124118D-D423-4540-8D63-EE740AA6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31A94-EC95-4164-BB0B-501B1D26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 N</cp:lastModifiedBy>
  <cp:revision>2</cp:revision>
  <dcterms:created xsi:type="dcterms:W3CDTF">2013-12-23T23:15:00Z</dcterms:created>
  <dcterms:modified xsi:type="dcterms:W3CDTF">2026-09-22T17:44:00Z</dcterms:modified>
  <cp:category/>
</cp:coreProperties>
</file>