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u w:val="single"/>
        </w:rPr>
        <w:t xml:space="preserve">Capstone Project Weekly Report</w:t>
      </w:r>
    </w:p>
    <w:p>
      <w:pPr>
        <w:spacing w:after="200"/>
        <w:jc w:val="center"/>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August 23, 2024</w:t>
      </w:r>
    </w:p>
    <w:p>
      <w:pPr>
        <w:spacing w:after="120" w:before="200"/>
      </w:pPr>
      <w:r>
        <w:rPr>
          <w:rFonts w:ascii="Times New Roman" w:cs="Times New Roman" w:eastAsia="Times New Roman" w:hAnsi="Times New Roman"/>
          <w:b/>
          <w:bCs/>
          <w:sz w:val="24"/>
          <w:szCs w:val="24"/>
          <w:u w:val="single"/>
        </w:rPr>
        <w:t xml:space="preserve">Project Details:</w:t>
      </w:r>
    </w:p>
    <w:p>
      <w:pPr>
        <w:pStyle w:val="ListParagraph"/>
        <w:numPr>
          <w:ilvl w:val="0"/>
          <w:numId w:val="2"/>
        </w:numPr>
        <w:spacing w:after="100"/>
      </w:pPr>
      <w:r>
        <w:rPr>
          <w:rFonts w:ascii="Times New Roman" w:cs="Times New Roman" w:eastAsia="Times New Roman" w:hAnsi="Times New Roman"/>
          <w:b/>
          <w:bCs/>
          <w:sz w:val="22"/>
          <w:szCs w:val="22"/>
        </w:rPr>
        <w:t xml:space="preserve">Sponsor Company: </w:t>
      </w:r>
      <w:r>
        <w:rPr>
          <w:rFonts w:ascii="Times New Roman" w:cs="Times New Roman" w:eastAsia="Times New Roman" w:hAnsi="Times New Roman"/>
          <w:sz w:val="22"/>
          <w:szCs w:val="22"/>
        </w:rPr>
        <w:t xml:space="preserve">Deloitte</w:t>
      </w:r>
    </w:p>
    <w:p>
      <w:pPr>
        <w:pStyle w:val="ListParagraph"/>
        <w:numPr>
          <w:ilvl w:val="0"/>
          <w:numId w:val="2"/>
        </w:numPr>
        <w:spacing w:after="100"/>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Air Conditioning Demand Forecasting &amp; Supply Chain Optimization</w:t>
      </w:r>
    </w:p>
    <w:p>
      <w:pPr>
        <w:spacing w:after="100"/>
      </w:pPr>
      <w:r>
        <w:rPr>
          <w:rFonts w:ascii="Times New Roman" w:cs="Times New Roman" w:eastAsia="Times New Roman" w:hAnsi="Times New Roman"/>
          <w:b/>
          <w:bCs/>
          <w:sz w:val="22"/>
          <w:szCs w:val="22"/>
        </w:rPr>
        <w:t xml:space="preserve">Report Owner: </w:t>
      </w:r>
      <w:r>
        <w:rPr>
          <w:rFonts w:ascii="Times New Roman" w:cs="Times New Roman" w:eastAsia="Times New Roman" w:hAnsi="Times New Roman"/>
          <w:sz w:val="22"/>
          <w:szCs w:val="22"/>
        </w:rPr>
        <w:t xml:space="preserve">Sai Prashanth</w:t>
      </w:r>
    </w:p>
    <w:p>
      <w:pPr>
        <w:spacing w:after="160"/>
      </w:pPr>
      <w:r>
        <w:rPr>
          <w:rFonts w:ascii="Times New Roman" w:cs="Times New Roman" w:eastAsia="Times New Roman" w:hAnsi="Times New Roman"/>
          <w:b/>
          <w:bCs/>
          <w:sz w:val="22"/>
          <w:szCs w:val="22"/>
        </w:rPr>
        <w:t xml:space="preserve">Team Members: </w:t>
      </w:r>
      <w:r>
        <w:rPr>
          <w:rFonts w:ascii="Times New Roman" w:cs="Times New Roman" w:eastAsia="Times New Roman" w:hAnsi="Times New Roman"/>
          <w:sz w:val="22"/>
          <w:szCs w:val="22"/>
        </w:rPr>
        <w:t xml:space="preserve">Arvind, Hariharan, Vani, Vedika, Sai Prashanth</w:t>
      </w:r>
    </w:p>
    <w:p>
      <w:pPr>
        <w:spacing w:after="200"/>
      </w:pPr>
      <w:r>
        <w:rPr>
          <w:rFonts w:ascii="Times New Roman" w:cs="Times New Roman" w:eastAsia="Times New Roman" w:hAnsi="Times New Roman"/>
          <w:b/>
          <w:bCs/>
          <w:sz w:val="22"/>
          <w:szCs w:val="22"/>
          <w:u w:val="single"/>
        </w:rPr>
        <w:t xml:space="preserve">Note: </w:t>
      </w:r>
      <w:r>
        <w:rPr>
          <w:rFonts w:ascii="Times New Roman" w:cs="Times New Roman" w:eastAsia="Times New Roman" w:hAnsi="Times New Roman"/>
          <w:sz w:val="22"/>
          <w:szCs w:val="22"/>
        </w:rPr>
        <w:t xml:space="preserve">All the fields in the form are required.</w:t>
      </w:r>
    </w:p>
    <w:p>
      <w:pPr>
        <w:spacing w:after="120" w:before="200"/>
      </w:pPr>
      <w:r>
        <w:rPr>
          <w:rFonts w:ascii="Times New Roman" w:cs="Times New Roman" w:eastAsia="Times New Roman" w:hAnsi="Times New Roman"/>
          <w:b/>
          <w:bCs/>
          <w:sz w:val="24"/>
          <w:szCs w:val="24"/>
          <w:u w:val="single"/>
        </w:rPr>
        <w:t xml:space="preserve">Project Milestones:</w:t>
      </w:r>
    </w:p>
    <w:p>
      <w:pPr>
        <w:spacing w:after="80" w:before="120"/>
      </w:pPr>
      <w:r>
        <w:rPr>
          <w:rFonts w:ascii="Times New Roman" w:cs="Times New Roman" w:eastAsia="Times New Roman" w:hAnsi="Times New Roman"/>
          <w:b w:val="false"/>
          <w:bCs w:val="false"/>
          <w:sz w:val="22"/>
          <w:szCs w:val="22"/>
        </w:rPr>
        <w:t xml:space="preserve">Progress made in Current Week:</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spacing w:after="80"/>
            </w:pPr>
            <w:r>
              <w:rPr>
                <w:rFonts w:ascii="Times New Roman" w:cs="Times New Roman" w:eastAsia="Times New Roman" w:hAnsi="Times New Roman"/>
                <w:b w:val="false"/>
                <w:bCs w:val="false"/>
                <w:sz w:val="22"/>
                <w:szCs w:val="22"/>
              </w:rPr>
              <w:t xml:space="preserve">During Week 1, the team established a clean data foundation, evaluated target metrics, performed exploratory data analysis (EDA), diagnosed quality anomalies, and categorized demand intermittency.</w:t>
            </w:r>
          </w:p>
          <w:p>
            <w:pPr>
              <w:spacing w:after="80"/>
            </w:pPr>
            <w:r>
              <w:rPr>
                <w:rFonts w:ascii="Times New Roman" w:cs="Times New Roman" w:eastAsia="Times New Roman" w:hAnsi="Times New Roman"/>
                <w:b/>
                <w:bCs/>
                <w:sz w:val="22"/>
                <w:szCs w:val="22"/>
              </w:rPr>
              <w:t xml:space="preserve">1. Key Data Portfolio Metrics</w:t>
            </w:r>
          </w:p>
          <w:p>
            <w:pPr>
              <w:pStyle w:val="ListParagraph"/>
              <w:numPr>
                <w:ilvl w:val="0"/>
                <w:numId w:val="3"/>
              </w:numPr>
              <w:spacing w:after="80"/>
            </w:pPr>
            <w:r>
              <w:rPr>
                <w:rFonts w:ascii="Times New Roman" w:cs="Times New Roman" w:eastAsia="Times New Roman" w:hAnsi="Times New Roman"/>
                <w:sz w:val="22"/>
                <w:szCs w:val="22"/>
              </w:rPr>
              <w:t xml:space="preserve">Total Transaction Records: 82,033 clean billing records spanning July 16, 2022 to June 30, 2024 (625 unique transaction calendar days across 3 fiscal years).</w:t>
            </w:r>
          </w:p>
          <w:p>
            <w:pPr>
              <w:pStyle w:val="ListParagraph"/>
              <w:numPr>
                <w:ilvl w:val="0"/>
                <w:numId w:val="3"/>
              </w:numPr>
              <w:spacing w:after="80"/>
            </w:pPr>
            <w:r>
              <w:rPr>
                <w:rFonts w:ascii="Times New Roman" w:cs="Times New Roman" w:eastAsia="Times New Roman" w:hAnsi="Times New Roman"/>
                <w:sz w:val="22"/>
                <w:szCs w:val="22"/>
              </w:rPr>
              <w:t xml:space="preserve">Net Volume: 902,391.0 units (Gross shipments: 909,451.5 units; Sales returns: -7,060.5 units).</w:t>
            </w:r>
          </w:p>
          <w:p>
            <w:pPr>
              <w:pStyle w:val="ListParagraph"/>
              <w:numPr>
                <w:ilvl w:val="0"/>
                <w:numId w:val="3"/>
              </w:numPr>
              <w:spacing w:after="80"/>
            </w:pPr>
            <w:r>
              <w:rPr>
                <w:rFonts w:ascii="Times New Roman" w:cs="Times New Roman" w:eastAsia="Times New Roman" w:hAnsi="Times New Roman"/>
                <w:sz w:val="22"/>
                <w:szCs w:val="22"/>
              </w:rPr>
              <w:t xml:space="preserve">Active SKU Portfolio: 154 Room Air Conditioner (RA) SKUs across 5 Regional Hubs (MAA - Chennai: 35.82%, SBD - South Depot: 27.07%, SBD1: 16.78%, COK - Cochin: 11.07%, BLR - Bengaluru: 9.26%).</w:t>
            </w:r>
          </w:p>
          <w:p>
            <w:pPr>
              <w:spacing w:after="80"/>
            </w:pPr>
            <w:r>
              <w:rPr>
                <w:rFonts w:ascii="Times New Roman" w:cs="Times New Roman" w:eastAsia="Times New Roman" w:hAnsi="Times New Roman"/>
                <w:b/>
                <w:bCs/>
                <w:sz w:val="22"/>
                <w:szCs w:val="22"/>
              </w:rPr>
              <w:t xml:space="preserve">2. Schema Documentation &amp; Data Quality Audit</w:t>
            </w:r>
          </w:p>
          <w:p>
            <w:pPr>
              <w:pStyle w:val="ListParagraph"/>
              <w:numPr>
                <w:ilvl w:val="0"/>
                <w:numId w:val="3"/>
              </w:numPr>
              <w:spacing w:after="80"/>
            </w:pPr>
            <w:r>
              <w:rPr>
                <w:rFonts w:ascii="Times New Roman" w:cs="Times New Roman" w:eastAsia="Times New Roman" w:hAnsi="Times New Roman"/>
                <w:sz w:val="22"/>
                <w:szCs w:val="22"/>
              </w:rPr>
              <w:t xml:space="preserve">Schema Mapping: Analyzed 23 raw fields. Identified 3 redundant system copy columns (Material.1, SALES OFFICE CODE.1, Tonnage.1) and 1 static constant (SBU/MatGroup3) targeted for pruning.</w:t>
            </w:r>
          </w:p>
          <w:p>
            <w:pPr>
              <w:pStyle w:val="ListParagraph"/>
              <w:numPr>
                <w:ilvl w:val="0"/>
                <w:numId w:val="3"/>
              </w:numPr>
              <w:spacing w:after="80"/>
            </w:pPr>
            <w:r>
              <w:rPr>
                <w:rFonts w:ascii="Times New Roman" w:cs="Times New Roman" w:eastAsia="Times New Roman" w:hAnsi="Times New Roman"/>
                <w:sz w:val="22"/>
                <w:szCs w:val="22"/>
              </w:rPr>
              <w:t xml:space="preserve">Structural Temporal Missingness: Identified 23,603 rows (28.77% of dataset) with null entries for Billing Doc., Item, Stor. Location, and Dealer Name. 100% of these nulls concentrate strictly between April 3, 2024 and June 30, 2024 (Q1 FY24-25), indicating a structural pipeline shift rather than random missingness.</w:t>
            </w:r>
          </w:p>
          <w:p>
            <w:pPr>
              <w:pStyle w:val="ListParagraph"/>
              <w:numPr>
                <w:ilvl w:val="0"/>
                <w:numId w:val="3"/>
              </w:numPr>
              <w:spacing w:after="80"/>
            </w:pPr>
            <w:r>
              <w:rPr>
                <w:rFonts w:ascii="Times New Roman" w:cs="Times New Roman" w:eastAsia="Times New Roman" w:hAnsi="Times New Roman"/>
                <w:sz w:val="22"/>
                <w:szCs w:val="22"/>
              </w:rPr>
              <w:t xml:space="preserve">Sales Returns &amp; Negative Adjustments: 1,735 transactions record negative quantities totaling -7,060.5 units (0.78% return rate), primarily in top-volume inverter models (13S/15S) in MAA, BLR, and SBD.</w:t>
            </w:r>
          </w:p>
          <w:p>
            <w:pPr>
              <w:pStyle w:val="ListParagraph"/>
              <w:numPr>
                <w:ilvl w:val="0"/>
                <w:numId w:val="3"/>
              </w:numPr>
              <w:spacing w:after="80"/>
            </w:pPr>
            <w:r>
              <w:rPr>
                <w:rFonts w:ascii="Times New Roman" w:cs="Times New Roman" w:eastAsia="Times New Roman" w:hAnsi="Times New Roman"/>
                <w:sz w:val="22"/>
                <w:szCs w:val="22"/>
              </w:rPr>
              <w:t xml:space="preserve">Zero Volumes &amp; Formatting: Identified 243 rows with 0.0 ODU/IDU quantities and minor text variations in Star Rating.</w:t>
            </w:r>
          </w:p>
          <w:p>
            <w:pPr>
              <w:spacing w:after="80"/>
            </w:pPr>
            <w:r>
              <w:rPr>
                <w:rFonts w:ascii="Times New Roman" w:cs="Times New Roman" w:eastAsia="Times New Roman" w:hAnsi="Times New Roman"/>
                <w:b/>
                <w:bCs/>
                <w:sz w:val="22"/>
                <w:szCs w:val="22"/>
              </w:rPr>
              <w:t xml:space="preserve">3. Demand Dynamics &amp; Target Variable Definition</w:t>
            </w:r>
          </w:p>
          <w:p>
            <w:pPr>
              <w:pStyle w:val="ListParagraph"/>
              <w:numPr>
                <w:ilvl w:val="0"/>
                <w:numId w:val="3"/>
              </w:numPr>
              <w:spacing w:after="80"/>
            </w:pPr>
            <w:r>
              <w:rPr>
                <w:rFonts w:ascii="Times New Roman" w:cs="Times New Roman" w:eastAsia="Times New Roman" w:hAnsi="Times New Roman"/>
                <w:sz w:val="22"/>
                <w:szCs w:val="22"/>
              </w:rPr>
              <w:t xml:space="preserve">Component Asymmetry (ODU vs. IDU): Outdoor Units (RA-ODU: 729,297.0 net units / 80.8%) outnumber Indoor Units (RA-IDU: 173,094.0 net units / 19.2%), showing unbundled SAP billing.</w:t>
            </w:r>
          </w:p>
          <w:p>
            <w:pPr>
              <w:pStyle w:val="ListParagraph"/>
              <w:numPr>
                <w:ilvl w:val="0"/>
                <w:numId w:val="3"/>
              </w:numPr>
              <w:spacing w:after="80"/>
            </w:pPr>
            <w:r>
              <w:rPr>
                <w:rFonts w:ascii="Times New Roman" w:cs="Times New Roman" w:eastAsia="Times New Roman" w:hAnsi="Times New Roman"/>
                <w:sz w:val="22"/>
                <w:szCs w:val="22"/>
              </w:rPr>
              <w:t xml:space="preserve">Target Formulation: Primary target variable yi,j,t defined for SKU i, depot j, and week t: yi,j,t = Billing Quantity ODUi,j,t + Billing Quantity IDUi,j,t</w:t>
            </w:r>
          </w:p>
          <w:p>
            <w:pPr>
              <w:pStyle w:val="ListParagraph"/>
              <w:numPr>
                <w:ilvl w:val="0"/>
                <w:numId w:val="3"/>
              </w:numPr>
              <w:spacing w:after="80"/>
            </w:pPr>
            <w:r>
              <w:rPr>
                <w:rFonts w:ascii="Times New Roman" w:cs="Times New Roman" w:eastAsia="Times New Roman" w:hAnsi="Times New Roman"/>
                <w:sz w:val="22"/>
                <w:szCs w:val="22"/>
              </w:rPr>
              <w:t xml:space="preserve">Syntetos-Boylan Intermittency Classification (ADI = 1.32, CV² = 0.49):</w:t>
            </w:r>
          </w:p>
          <w:p>
            <w:pPr>
              <w:pStyle w:val="ListParagraph"/>
              <w:numPr>
                <w:ilvl w:val="0"/>
                <w:numId w:val="3"/>
              </w:numPr>
              <w:spacing w:after="80"/>
            </w:pPr>
            <w:r>
              <w:rPr>
                <w:rFonts w:ascii="Times New Roman" w:cs="Times New Roman" w:eastAsia="Times New Roman" w:hAnsi="Times New Roman"/>
                <w:sz w:val="22"/>
                <w:szCs w:val="22"/>
              </w:rPr>
              <w:t xml:space="preserve">Lumpy Demand (70.1% / 108 SKUs): High intermittency (ADI ≥ 1.32) and high volatility (CV² ≥ 0.49).</w:t>
            </w:r>
          </w:p>
          <w:p>
            <w:pPr>
              <w:pStyle w:val="ListParagraph"/>
              <w:numPr>
                <w:ilvl w:val="0"/>
                <w:numId w:val="3"/>
              </w:numPr>
              <w:spacing w:after="80"/>
            </w:pPr>
            <w:r>
              <w:rPr>
                <w:rFonts w:ascii="Times New Roman" w:cs="Times New Roman" w:eastAsia="Times New Roman" w:hAnsi="Times New Roman"/>
                <w:sz w:val="22"/>
                <w:szCs w:val="22"/>
              </w:rPr>
              <w:t xml:space="preserve">Intermittent Demand (18.8% / 29 SKUs): Sparse demand (ADI ≥ 1.32) with stable order sizes (CV² &lt; 0.49).</w:t>
            </w:r>
          </w:p>
          <w:p>
            <w:pPr>
              <w:pStyle w:val="ListParagraph"/>
              <w:numPr>
                <w:ilvl w:val="0"/>
                <w:numId w:val="3"/>
              </w:numPr>
              <w:spacing w:after="80"/>
            </w:pPr>
            <w:r>
              <w:rPr>
                <w:rFonts w:ascii="Times New Roman" w:cs="Times New Roman" w:eastAsia="Times New Roman" w:hAnsi="Times New Roman"/>
                <w:sz w:val="22"/>
                <w:szCs w:val="22"/>
              </w:rPr>
              <w:t xml:space="preserve">Erratic Demand (11.0% / 17 SKUs): Frequent orders (ADI &lt; 1.32) with quantity spikes (CV² ≥ 0.49).</w:t>
            </w:r>
          </w:p>
          <w:p>
            <w:pPr>
              <w:pStyle w:val="ListParagraph"/>
              <w:numPr>
                <w:ilvl w:val="0"/>
                <w:numId w:val="3"/>
              </w:numPr>
              <w:spacing w:after="80"/>
            </w:pPr>
            <w:r>
              <w:rPr>
                <w:rFonts w:ascii="Times New Roman" w:cs="Times New Roman" w:eastAsia="Times New Roman" w:hAnsi="Times New Roman"/>
                <w:sz w:val="22"/>
                <w:szCs w:val="22"/>
              </w:rPr>
              <w:t xml:space="preserve">Smooth Demand (0.0% / 0 SKUs): No continuous stationary series exists at daily resolution.</w:t>
            </w:r>
          </w:p>
        </w:tc>
      </w:tr>
    </w:tbl>
    <w:p>
      <w:pPr>
        <w:spacing w:after="160"/>
      </w:pPr>
    </w:p>
    <w:p>
      <w:pPr>
        <w:spacing w:after="80" w:before="120"/>
      </w:pPr>
      <w:r>
        <w:rPr>
          <w:rFonts w:ascii="Times New Roman" w:cs="Times New Roman" w:eastAsia="Times New Roman" w:hAnsi="Times New Roman"/>
          <w:b w:val="false"/>
          <w:bCs w:val="false"/>
          <w:sz w:val="22"/>
          <w:szCs w:val="22"/>
        </w:rPr>
        <w:t xml:space="preserve">Tasks to finish in Next week:</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pStyle w:val="ListParagraph"/>
              <w:numPr>
                <w:ilvl w:val="0"/>
                <w:numId w:val="3"/>
              </w:numPr>
              <w:spacing w:after="80"/>
            </w:pPr>
            <w:r>
              <w:rPr>
                <w:rFonts w:ascii="Times New Roman" w:cs="Times New Roman" w:eastAsia="Times New Roman" w:hAnsi="Times New Roman"/>
                <w:sz w:val="22"/>
                <w:szCs w:val="22"/>
              </w:rPr>
              <w:t xml:space="preserve">Data Preprocessing &amp; Pipeline Build: Implement automated ETL scripts to drop duplicate columns (Material.1, SALES OFFICE CODE.1, Tonnage.1), handle zero-quantity rows, and standardize star rating text formats.</w:t>
            </w:r>
          </w:p>
          <w:p>
            <w:pPr>
              <w:pStyle w:val="ListParagraph"/>
              <w:numPr>
                <w:ilvl w:val="0"/>
                <w:numId w:val="3"/>
              </w:numPr>
              <w:spacing w:after="80"/>
            </w:pPr>
            <w:r>
              <w:rPr>
                <w:rFonts w:ascii="Times New Roman" w:cs="Times New Roman" w:eastAsia="Times New Roman" w:hAnsi="Times New Roman"/>
                <w:sz w:val="22"/>
                <w:szCs w:val="22"/>
              </w:rPr>
              <w:t xml:space="preserve">Feature Engineering: Construct temporal feature sets including lag variables, rolling seasonal statistics, cooling degree day (CDD) proxies, and hierarchical aggregate keys.</w:t>
            </w:r>
          </w:p>
          <w:p>
            <w:pPr>
              <w:pStyle w:val="ListParagraph"/>
              <w:numPr>
                <w:ilvl w:val="0"/>
                <w:numId w:val="3"/>
              </w:numPr>
              <w:spacing w:after="80"/>
            </w:pPr>
            <w:r>
              <w:rPr>
                <w:rFonts w:ascii="Times New Roman" w:cs="Times New Roman" w:eastAsia="Times New Roman" w:hAnsi="Times New Roman"/>
                <w:sz w:val="22"/>
                <w:szCs w:val="22"/>
              </w:rPr>
              <w:t xml:space="preserve">Baseline Modeling Benchmark: Develop baseline models (Croston SBA, Naive, Moving Average) and benchmark against Zero-Inflated Gradient Boosting regressors (LightGBM/XGBoost) at the weekly level.</w:t>
            </w:r>
          </w:p>
        </w:tc>
      </w:tr>
    </w:tbl>
    <w:p>
      <w:pPr>
        <w:spacing w:after="120" w:before="200"/>
      </w:pPr>
      <w:r>
        <w:rPr>
          <w:rFonts w:ascii="Times New Roman" w:cs="Times New Roman" w:eastAsia="Times New Roman" w:hAnsi="Times New Roman"/>
          <w:b/>
          <w:bCs/>
          <w:sz w:val="24"/>
          <w:szCs w:val="24"/>
          <w:u w:val="single"/>
        </w:rPr>
        <w:t xml:space="preserve">Updates/MoM from Sponsor and Faculty Mentor:</w:t>
      </w:r>
    </w:p>
    <w:p>
      <w:pPr>
        <w:spacing w:after="160"/>
      </w:pPr>
      <w:r>
        <w:rPr>
          <w:rFonts w:ascii="Times New Roman" w:cs="Times New Roman" w:eastAsia="Times New Roman" w:hAnsi="Times New Roman"/>
          <w:b/>
          <w:bCs/>
          <w:sz w:val="22"/>
          <w:szCs w:val="22"/>
          <w:u w:val="single"/>
        </w:rPr>
        <w:t xml:space="preserve">Note: </w:t>
      </w:r>
      <w:r>
        <w:rPr>
          <w:rFonts w:ascii="Times New Roman" w:cs="Times New Roman" w:eastAsia="Times New Roman" w:hAnsi="Times New Roman"/>
          <w:b/>
          <w:bCs/>
          <w:sz w:val="22"/>
          <w:szCs w:val="22"/>
        </w:rPr>
        <w:t xml:space="preserve">It is expected that you have at least one weekly connect with the faculty mentor and sponsor. </w:t>
      </w:r>
      <w:r>
        <w:rPr>
          <w:rFonts w:ascii="Times New Roman" w:cs="Times New Roman" w:eastAsia="Times New Roman" w:hAnsi="Times New Roman"/>
          <w:sz w:val="22"/>
          <w:szCs w:val="22"/>
        </w:rPr>
        <w:t xml:space="preserve">If you were not able to schedule meetings with the sponsor or faculty mentor in the current week, please mention the reason for your inability to meet with the Sponsor or Faculty Mentor.</w:t>
      </w:r>
    </w:p>
    <w:p>
      <w:pPr>
        <w:spacing w:after="80" w:before="120"/>
      </w:pPr>
      <w:r>
        <w:rPr>
          <w:rFonts w:ascii="Times New Roman" w:cs="Times New Roman" w:eastAsia="Times New Roman" w:hAnsi="Times New Roman"/>
          <w:b w:val="false"/>
          <w:bCs w:val="false"/>
          <w:sz w:val="22"/>
          <w:szCs w:val="22"/>
        </w:rPr>
        <w:t xml:space="preserve">Updates/MoM from Sponsor:</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spacing w:after="80"/>
            </w:pPr>
            <w:r>
              <w:rPr>
                <w:rFonts w:ascii="Times New Roman" w:cs="Times New Roman" w:eastAsia="Times New Roman" w:hAnsi="Times New Roman"/>
                <w:sz w:val="22"/>
                <w:szCs w:val="22"/>
              </w:rPr>
              <w:t xml:space="preserve">The team formally submitted four strategic technical queries to Deloitte project sponsors to finalize Phase 2 business logic:</w:t>
            </w:r>
          </w:p>
          <w:p>
            <w:pPr>
              <w:pStyle w:val="ListParagraph"/>
              <w:numPr>
                <w:ilvl w:val="0"/>
                <w:numId w:val="3"/>
              </w:numPr>
              <w:spacing w:after="80"/>
            </w:pPr>
            <w:r>
              <w:rPr>
                <w:rFonts w:ascii="Times New Roman" w:cs="Times New Roman" w:eastAsia="Times New Roman" w:hAnsi="Times New Roman"/>
                <w:sz w:val="22"/>
                <w:szCs w:val="22"/>
              </w:rPr>
              <w:t xml:space="preserve">Q1 FY24-25 Data Ingestion Shift: Clarifying whether the 23,603 un-invoiced records (April–June 2024) represent order pipeline off-take, secondary dealer sales, or an SAP export format shift.</w:t>
            </w:r>
          </w:p>
          <w:p>
            <w:pPr>
              <w:pStyle w:val="ListParagraph"/>
              <w:numPr>
                <w:ilvl w:val="0"/>
                <w:numId w:val="3"/>
              </w:numPr>
              <w:spacing w:after="80"/>
            </w:pPr>
            <w:r>
              <w:rPr>
                <w:rFonts w:ascii="Times New Roman" w:cs="Times New Roman" w:eastAsia="Times New Roman" w:hAnsi="Times New Roman"/>
                <w:sz w:val="22"/>
                <w:szCs w:val="22"/>
              </w:rPr>
              <w:t xml:space="preserve">Q2 Component Billing Asymmetry: Confirming if 4:1 ODU-to-IDU ratio stems from separate billing entities or requires independent forecasting models per stream.</w:t>
            </w:r>
          </w:p>
          <w:p>
            <w:pPr>
              <w:pStyle w:val="ListParagraph"/>
              <w:numPr>
                <w:ilvl w:val="0"/>
                <w:numId w:val="3"/>
              </w:numPr>
              <w:spacing w:after="80"/>
            </w:pPr>
            <w:r>
              <w:rPr>
                <w:rFonts w:ascii="Times New Roman" w:cs="Times New Roman" w:eastAsia="Times New Roman" w:hAnsi="Times New Roman"/>
                <w:sz w:val="22"/>
                <w:szCs w:val="22"/>
              </w:rPr>
              <w:t xml:space="preserve">Q3 Sales Return Credit Processing: Determining whether the 1,735 negative return records (-7,060.5 units) should be back-dated to original invoice dates or posted in event weeks.</w:t>
            </w:r>
          </w:p>
          <w:p>
            <w:pPr>
              <w:pStyle w:val="ListParagraph"/>
              <w:numPr>
                <w:ilvl w:val="0"/>
                <w:numId w:val="3"/>
              </w:numPr>
              <w:spacing w:after="80"/>
            </w:pPr>
            <w:r>
              <w:rPr>
                <w:rFonts w:ascii="Times New Roman" w:cs="Times New Roman" w:eastAsia="Times New Roman" w:hAnsi="Times New Roman"/>
                <w:sz w:val="22"/>
                <w:szCs w:val="22"/>
              </w:rPr>
              <w:t xml:space="preserve">Q4 Model Granularity &amp; Hierarchy Alignment: Defining whether inventory targets will deploy at the Weekly SKU-Depot level (154 × 5 hubs) or National SBU level.</w:t>
            </w:r>
          </w:p>
        </w:tc>
      </w:tr>
    </w:tbl>
    <w:p>
      <w:pPr>
        <w:spacing w:after="160"/>
      </w:pPr>
    </w:p>
    <w:p>
      <w:pPr>
        <w:spacing w:after="80" w:before="120"/>
      </w:pPr>
      <w:r>
        <w:rPr>
          <w:rFonts w:ascii="Times New Roman" w:cs="Times New Roman" w:eastAsia="Times New Roman" w:hAnsi="Times New Roman"/>
          <w:b w:val="false"/>
          <w:bCs w:val="false"/>
          <w:sz w:val="22"/>
          <w:szCs w:val="22"/>
        </w:rPr>
        <w:t xml:space="preserve">Updates/MoM from Faculty Mentor:</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pStyle w:val="ListParagraph"/>
              <w:numPr>
                <w:ilvl w:val="0"/>
                <w:numId w:val="3"/>
              </w:numPr>
              <w:spacing w:after="80"/>
            </w:pPr>
            <w:r>
              <w:rPr>
                <w:rFonts w:ascii="Times New Roman" w:cs="Times New Roman" w:eastAsia="Times New Roman" w:hAnsi="Times New Roman"/>
                <w:sz w:val="22"/>
                <w:szCs w:val="22"/>
              </w:rPr>
              <w:t xml:space="preserve">Reviewed Week 1 EDA deliverables, Syntetos-Boylan intermittency categorization, and schema findings.</w:t>
            </w:r>
          </w:p>
          <w:p>
            <w:pPr>
              <w:pStyle w:val="ListParagraph"/>
              <w:numPr>
                <w:ilvl w:val="0"/>
                <w:numId w:val="3"/>
              </w:numPr>
              <w:spacing w:after="80"/>
            </w:pPr>
            <w:r>
              <w:rPr>
                <w:rFonts w:ascii="Times New Roman" w:cs="Times New Roman" w:eastAsia="Times New Roman" w:hAnsi="Times New Roman"/>
                <w:sz w:val="22"/>
                <w:szCs w:val="22"/>
              </w:rPr>
              <w:t xml:space="preserve">Approved the weekly target aggregation level (yi,j,t) and recommended benchmarking Croston SBA against tree-based ensemble models for lumpy SKUs.</w:t>
            </w:r>
          </w:p>
        </w:tc>
      </w:tr>
    </w:tbl>
    <w:p>
      <w:pPr>
        <w:spacing w:after="120" w:before="200"/>
      </w:pPr>
      <w:r>
        <w:rPr>
          <w:rFonts w:ascii="Times New Roman" w:cs="Times New Roman" w:eastAsia="Times New Roman" w:hAnsi="Times New Roman"/>
          <w:b/>
          <w:bCs/>
          <w:sz w:val="24"/>
          <w:szCs w:val="24"/>
          <w:u w:val="single"/>
        </w:rPr>
        <w:t xml:space="preserve">Challenges:</w:t>
      </w:r>
    </w:p>
    <w:p>
      <w:pPr>
        <w:spacing w:after="160"/>
      </w:pPr>
      <w:r>
        <w:rPr>
          <w:rFonts w:ascii="Times New Roman" w:cs="Times New Roman" w:eastAsia="Times New Roman" w:hAnsi="Times New Roman"/>
          <w:sz w:val="22"/>
          <w:szCs w:val="22"/>
        </w:rPr>
        <w:t xml:space="preserve">Mention any technical and non-technical challenges that you faced during the current week that hindered your project progress. Enter "NA" if you didn't face any challenges.</w:t>
      </w:r>
    </w:p>
    <w:p>
      <w:pPr>
        <w:spacing w:after="80" w:before="120"/>
      </w:pPr>
      <w:r>
        <w:rPr>
          <w:rFonts w:ascii="Times New Roman" w:cs="Times New Roman" w:eastAsia="Times New Roman" w:hAnsi="Times New Roman"/>
          <w:b w:val="false"/>
          <w:bCs w:val="false"/>
          <w:sz w:val="22"/>
          <w:szCs w:val="22"/>
        </w:rPr>
        <w:t xml:space="preserve">Technical Challenges:</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pStyle w:val="ListParagraph"/>
              <w:numPr>
                <w:ilvl w:val="0"/>
                <w:numId w:val="3"/>
              </w:numPr>
              <w:spacing w:after="80"/>
            </w:pPr>
            <w:r>
              <w:rPr>
                <w:rFonts w:ascii="Times New Roman" w:cs="Times New Roman" w:eastAsia="Times New Roman" w:hAnsi="Times New Roman"/>
                <w:sz w:val="22"/>
                <w:szCs w:val="22"/>
              </w:rPr>
              <w:t xml:space="preserve">Severe Demand Intermittency: 70.1% of SKUs (108 SKUs) exhibit lumpy demand profiles with 0% smooth SKUs, causing standard linear and ARIMA models to fail.</w:t>
            </w:r>
          </w:p>
          <w:p>
            <w:pPr>
              <w:pStyle w:val="ListParagraph"/>
              <w:numPr>
                <w:ilvl w:val="0"/>
                <w:numId w:val="3"/>
              </w:numPr>
              <w:spacing w:after="80"/>
            </w:pPr>
            <w:r>
              <w:rPr>
                <w:rFonts w:ascii="Times New Roman" w:cs="Times New Roman" w:eastAsia="Times New Roman" w:hAnsi="Times New Roman"/>
                <w:sz w:val="22"/>
                <w:szCs w:val="22"/>
              </w:rPr>
              <w:t xml:space="preserve">Structural Metadata Missingness: 28.77% of dataset records (23,603 rows) in Q1 FY24-25 lack invoice metadata (Billing Doc., Dealer Name, Item, Stor. Location).</w:t>
            </w:r>
          </w:p>
          <w:p>
            <w:pPr>
              <w:pStyle w:val="ListParagraph"/>
              <w:numPr>
                <w:ilvl w:val="0"/>
                <w:numId w:val="3"/>
              </w:numPr>
              <w:spacing w:after="80"/>
            </w:pPr>
            <w:r>
              <w:rPr>
                <w:rFonts w:ascii="Times New Roman" w:cs="Times New Roman" w:eastAsia="Times New Roman" w:hAnsi="Times New Roman"/>
                <w:sz w:val="22"/>
                <w:szCs w:val="22"/>
              </w:rPr>
              <w:t xml:space="preserve">Component Billing Imbalance: Unbundled 4:1 dispatch ratio between ODU (80.8%) and IDU (19.2%) requires careful target variable alignment.</w:t>
            </w:r>
          </w:p>
        </w:tc>
      </w:tr>
    </w:tbl>
    <w:p>
      <w:pPr>
        <w:spacing w:after="160"/>
      </w:pPr>
    </w:p>
    <w:p>
      <w:pPr>
        <w:spacing w:after="80" w:before="120"/>
      </w:pPr>
      <w:r>
        <w:rPr>
          <w:rFonts w:ascii="Times New Roman" w:cs="Times New Roman" w:eastAsia="Times New Roman" w:hAnsi="Times New Roman"/>
          <w:b w:val="false"/>
          <w:bCs w:val="false"/>
          <w:sz w:val="22"/>
          <w:szCs w:val="22"/>
        </w:rPr>
        <w:t xml:space="preserve">Non-Technical Challenges:</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pStyle w:val="ListParagraph"/>
              <w:numPr>
                <w:ilvl w:val="0"/>
                <w:numId w:val="3"/>
              </w:numPr>
              <w:spacing w:after="80"/>
            </w:pPr>
            <w:r>
              <w:rPr>
                <w:rFonts w:ascii="Times New Roman" w:cs="Times New Roman" w:eastAsia="Times New Roman" w:hAnsi="Times New Roman"/>
                <w:sz w:val="22"/>
                <w:szCs w:val="22"/>
              </w:rPr>
              <w:t xml:space="preserve">Awaiting formal sponsor feedback from Deloitte on business logic rules for un-invoiced pipeline data and credit return handling.</w:t>
            </w:r>
          </w:p>
        </w:tc>
      </w:tr>
    </w:tbl>
    <w:p>
      <w:pPr>
        <w:spacing w:after="160"/>
      </w:pPr>
    </w:p>
    <w:p>
      <w:pPr>
        <w:spacing w:after="80" w:before="120"/>
      </w:pPr>
      <w:r>
        <w:rPr>
          <w:rFonts w:ascii="Times New Roman" w:cs="Times New Roman" w:eastAsia="Times New Roman" w:hAnsi="Times New Roman"/>
          <w:b w:val="false"/>
          <w:bCs w:val="false"/>
          <w:sz w:val="22"/>
          <w:szCs w:val="22"/>
        </w:rPr>
        <w:t xml:space="preserve">Mention any other queries/challenges regarding the project that you want to highlight:</w:t>
      </w:r>
    </w:p>
    <w:tbl>
      <w:tblPr>
        <w:tblW w:type="pct" w:w="100%"/>
        <w:tblBorders>
          <w:top w:val="single" w:color="000000" w:sz="6"/>
          <w:left w:val="single" w:color="000000" w:sz="6"/>
          <w:bottom w:val="single" w:color="000000" w:sz="6"/>
          <w:right w:val="single" w:color="000000" w:sz="6"/>
          <w:insideH w:val="none" w:color="FFFFFF" w:sz="0"/>
          <w:insideV w:val="none" w:color="FFFFFF" w:sz="0"/>
        </w:tblBorders>
      </w:tblPr>
      <w:tblGrid>
        <w:gridCol w:w="100"/>
      </w:tblGrid>
      <w:tr>
        <w:tc>
          <w:tcPr>
            <w:tcW w:type="pct" w:w="100%"/>
            <w:tcMar>
              <w:top w:type="dxa" w:w="120"/>
              <w:left w:type="dxa" w:w="120"/>
              <w:bottom w:type="dxa" w:w="120"/>
              <w:right w:type="dxa" w:w="120"/>
            </w:tcMar>
          </w:tcPr>
          <w:p>
            <w:pPr>
              <w:spacing w:after="80"/>
            </w:pPr>
            <w:r>
              <w:rPr>
                <w:rFonts w:ascii="Times New Roman" w:cs="Times New Roman" w:eastAsia="Times New Roman" w:hAnsi="Times New Roman"/>
                <w:b/>
                <w:bCs/>
                <w:sz w:val="22"/>
                <w:szCs w:val="22"/>
              </w:rPr>
              <w:t xml:space="preserve">Key Highlighted Action Item</w:t>
            </w:r>
          </w:p>
          <w:p>
            <w:pPr>
              <w:pStyle w:val="ListParagraph"/>
              <w:numPr>
                <w:ilvl w:val="0"/>
                <w:numId w:val="3"/>
              </w:numPr>
              <w:spacing w:after="80"/>
            </w:pPr>
            <w:r>
              <w:rPr>
                <w:rFonts w:ascii="Times New Roman" w:cs="Times New Roman" w:eastAsia="Times New Roman" w:hAnsi="Times New Roman"/>
                <w:sz w:val="22"/>
                <w:szCs w:val="22"/>
              </w:rPr>
              <w:t xml:space="preserve">Confirmation of production hierarchy alignment (Weekly SKU-Regional Sales Office level vs. Aggregated National SBU level) is required from Deloitte prior to scaling Phase 2 feature engineering pipelines.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2026-09-06T13:55:15.580Z</dcterms:created>
  <dcterms:modified xsi:type="dcterms:W3CDTF">2026-09-06T13:55:15.580Z</dcterms:modified>
</cp:coreProperties>
</file>

<file path=docProps/custom.xml><?xml version="1.0" encoding="utf-8"?>
<Properties xmlns="http://schemas.openxmlformats.org/officeDocument/2006/custom-properties" xmlns:vt="http://schemas.openxmlformats.org/officeDocument/2006/docPropsVTypes"/>
</file>