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pPr>
      <w:r>
        <w:rPr>
          <w:rFonts w:ascii="Arial" w:hAnsi="Arial"/>
          <w:b/>
          <w:color w:val="B91C1C"/>
          <w:sz w:val="16"/>
        </w:rPr>
        <w:t>TVS CERTIFIED AUTOMOTIVE VENTURES</w:t>
        <w:br/>
      </w:r>
      <w:r>
        <w:rPr>
          <w:rFonts w:ascii="Arial" w:hAnsi="Arial"/>
          <w:b/>
          <w:color w:val="1E3A8A"/>
          <w:sz w:val="30"/>
        </w:rPr>
        <w:t>TVS CERTIFIED DEALER SUPER CUP</w:t>
      </w:r>
    </w:p>
    <w:p>
      <w:pPr>
        <w:spacing w:before="0" w:after="80"/>
      </w:pPr>
      <w:r>
        <w:rPr>
          <w:rFonts w:ascii="Arial" w:hAnsi="Arial"/>
          <w:color w:val="64748B"/>
          <w:sz w:val="17"/>
        </w:rPr>
        <w:t>Official Participation Guidelines, Exact Scoring Allocation &amp; Key Legal Terms</w:t>
      </w:r>
    </w:p>
    <w:tbl>
      <w:tblPr>
        <w:tblW w:type="auto" w:w="0"/>
        <w:jc w:val="center"/>
        <w:tblLayout w:type="fixed"/>
        <w:tblLook w:firstColumn="1" w:firstRow="1" w:lastColumn="0" w:lastRow="0" w:noHBand="0" w:noVBand="1" w:val="04A0"/>
      </w:tblPr>
      <w:tblGrid>
        <w:gridCol w:w="3456"/>
        <w:gridCol w:w="3456"/>
        <w:gridCol w:w="3557"/>
      </w:tblGrid>
      <w:tr>
        <w:tc>
          <w:tcPr>
            <w:tcW w:type="dxa" w:w="3456"/>
            <w:shd w:fill="F1F5F9"/>
            <w:tcMar>
              <w:top w:w="50" w:type="dxa"/>
              <w:bottom w:w="50" w:type="dxa"/>
              <w:left w:w="80" w:type="dxa"/>
              <w:right w:w="80" w:type="dxa"/>
            </w:tcMar>
          </w:tcPr>
          <w:p>
            <w:pPr>
              <w:spacing w:before="0" w:after="0"/>
            </w:pPr>
            <w:r>
              <w:rPr>
                <w:rFonts w:ascii="Arial" w:hAnsi="Arial"/>
                <w:b/>
                <w:color w:val="1E3A8A"/>
                <w:sz w:val="13"/>
              </w:rPr>
              <w:t>CAMPAIGN PERIOD</w:t>
              <w:br/>
            </w:r>
            <w:r>
              <w:rPr>
                <w:rFonts w:ascii="Arial" w:hAnsi="Arial"/>
                <w:b w:val="0"/>
                <w:color w:val="0F172A"/>
                <w:sz w:val="15"/>
              </w:rPr>
              <w:t>[Day X] [Month X] to [Day X] [Month X], [Year X]</w:t>
            </w:r>
          </w:p>
        </w:tc>
        <w:tc>
          <w:tcPr>
            <w:tcW w:type="dxa" w:w="3456"/>
            <w:shd w:fill="F1F5F9"/>
            <w:tcMar>
              <w:top w:w="50" w:type="dxa"/>
              <w:bottom w:w="50" w:type="dxa"/>
              <w:left w:w="80" w:type="dxa"/>
              <w:right w:w="80" w:type="dxa"/>
            </w:tcMar>
          </w:tcPr>
          <w:p>
            <w:pPr>
              <w:spacing w:before="0" w:after="0"/>
            </w:pPr>
            <w:r>
              <w:rPr>
                <w:rFonts w:ascii="Arial" w:hAnsi="Arial"/>
                <w:b/>
                <w:color w:val="1E3A8A"/>
                <w:sz w:val="13"/>
              </w:rPr>
              <w:t>TOTAL PRIZE POOL</w:t>
              <w:br/>
            </w:r>
            <w:r>
              <w:rPr>
                <w:rFonts w:ascii="Arial" w:hAnsi="Arial"/>
                <w:b/>
                <w:color w:val="0F172A"/>
                <w:sz w:val="15"/>
              </w:rPr>
              <w:t>₹1,00,000 Guaranteed Cash Awards</w:t>
            </w:r>
          </w:p>
        </w:tc>
        <w:tc>
          <w:tcPr>
            <w:tcW w:type="dxa" w:w="3557"/>
            <w:shd w:fill="F1F5F9"/>
            <w:tcMar>
              <w:top w:w="50" w:type="dxa"/>
              <w:bottom w:w="50" w:type="dxa"/>
              <w:left w:w="80" w:type="dxa"/>
              <w:right w:w="80" w:type="dxa"/>
            </w:tcMar>
          </w:tcPr>
          <w:p>
            <w:pPr>
              <w:spacing w:before="0" w:after="0"/>
            </w:pPr>
            <w:r>
              <w:rPr>
                <w:rFonts w:ascii="Arial" w:hAnsi="Arial"/>
                <w:b/>
                <w:color w:val="1E3A8A"/>
                <w:sz w:val="13"/>
              </w:rPr>
              <w:t>EXCLUSIVE JURISDICTION</w:t>
              <w:br/>
            </w:r>
            <w:r>
              <w:rPr>
                <w:rFonts w:ascii="Arial" w:hAnsi="Arial"/>
                <w:b/>
                <w:color w:val="B91C1C"/>
                <w:sz w:val="15"/>
              </w:rPr>
              <w:t>TVS Certified Madhavaram Office, Chennai</w:t>
            </w:r>
          </w:p>
        </w:tc>
      </w:tr>
    </w:tbl>
    <w:p>
      <w:pPr>
        <w:spacing w:before="80" w:after="30"/>
      </w:pPr>
      <w:r>
        <w:rPr>
          <w:rFonts w:ascii="Arial" w:hAnsi="Arial"/>
          <w:b/>
          <w:color w:val="1E3A8A"/>
          <w:sz w:val="19"/>
        </w:rPr>
        <w:t>1. HOW TO PARTICIPATE &amp; DEALER ELIGIBILITY</w:t>
      </w:r>
    </w:p>
    <w:p>
      <w:pPr>
        <w:pStyle w:val="ListBullet"/>
        <w:spacing w:before="10" w:after="30" w:line="259" w:lineRule="auto"/>
      </w:pPr>
      <w:r>
        <w:rPr>
          <w:rFonts w:ascii="Arial" w:hAnsi="Arial"/>
          <w:b/>
          <w:color w:val="0F172A"/>
          <w:sz w:val="16"/>
        </w:rPr>
        <w:t xml:space="preserve">Existing TVS Certified Dealers (Already Eligible): </w:t>
      </w:r>
      <w:r>
        <w:rPr>
          <w:rFonts w:ascii="Arial" w:hAnsi="Arial"/>
          <w:color w:val="0F172A"/>
          <w:sz w:val="16"/>
        </w:rPr>
        <w:t>All dealerships that are already registered, verified, and operational within the TVS Certified network are AUTOMATICALLY ELIGIBLE. No separate contest registration application or fee is required. Existing dealers have immediate active access to participate across both buying and selling leagues upon campaign launch.</w:t>
      </w:r>
    </w:p>
    <w:p>
      <w:pPr>
        <w:pStyle w:val="ListBullet"/>
        <w:spacing w:before="10" w:after="30" w:line="259" w:lineRule="auto"/>
      </w:pPr>
      <w:r>
        <w:rPr>
          <w:rFonts w:ascii="Arial" w:hAnsi="Arial"/>
          <w:b/>
          <w:color w:val="0F172A"/>
          <w:sz w:val="16"/>
        </w:rPr>
        <w:t xml:space="preserve">New Dealerships (Mandatory Onboarding Required): </w:t>
      </w:r>
      <w:r>
        <w:rPr>
          <w:rFonts w:ascii="Arial" w:hAnsi="Arial"/>
          <w:color w:val="0F172A"/>
          <w:sz w:val="16"/>
        </w:rPr>
        <w:t>Any prospective or unregistered dealership must first complete the formal TVS Certified onboarding protocol—including business documentation, KYC, commercial bank account verification, and dealer franchise clearance. Once successfully onboarded and activated on the network, new dealers are immediately qualified and unlocked to participate in the Super Cup.</w:t>
      </w:r>
    </w:p>
    <w:p>
      <w:pPr>
        <w:pStyle w:val="ListBullet"/>
        <w:spacing w:before="10" w:after="30" w:line="259" w:lineRule="auto"/>
      </w:pPr>
      <w:r>
        <w:rPr>
          <w:rFonts w:ascii="Arial" w:hAnsi="Arial"/>
          <w:b/>
          <w:color w:val="0F172A"/>
          <w:sz w:val="16"/>
        </w:rPr>
        <w:t xml:space="preserve">Direct Portal Access: </w:t>
      </w:r>
      <w:r>
        <w:rPr>
          <w:rFonts w:ascii="Arial" w:hAnsi="Arial"/>
          <w:color w:val="0F172A"/>
          <w:sz w:val="16"/>
        </w:rPr>
        <w:t>Dealers access match sessions, track point accruals, and view live dual-league leaderboard standings directly via their authorized TVS mobile portal credentials.</w:t>
      </w:r>
    </w:p>
    <w:p>
      <w:pPr>
        <w:spacing w:before="80" w:after="30"/>
      </w:pPr>
      <w:r>
        <w:rPr>
          <w:rFonts w:ascii="Arial" w:hAnsi="Arial"/>
          <w:b/>
          <w:color w:val="1E3A8A"/>
          <w:sz w:val="19"/>
        </w:rPr>
        <w:t>2. CAMPAIGN LENGTH, DURATION &amp; SESSIONS</w:t>
      </w:r>
    </w:p>
    <w:p>
      <w:pPr>
        <w:pStyle w:val="ListBullet"/>
        <w:spacing w:before="10" w:after="30" w:line="259" w:lineRule="auto"/>
      </w:pPr>
      <w:r>
        <w:rPr>
          <w:rFonts w:ascii="Arial" w:hAnsi="Arial"/>
          <w:b/>
          <w:color w:val="0F172A"/>
          <w:sz w:val="16"/>
        </w:rPr>
        <w:t xml:space="preserve">Campaign Length &amp; Duration: </w:t>
      </w:r>
      <w:r>
        <w:rPr>
          <w:rFonts w:ascii="Arial" w:hAnsi="Arial"/>
          <w:color w:val="0F172A"/>
          <w:sz w:val="16"/>
        </w:rPr>
        <w:t>The tournament operates over a designated period of [X] weeks (or [X] months), commencing on [Day X] of [Month X], [Year X] and concluding on [Day X] of [Month X], [Year X] ('Tournament Period').</w:t>
      </w:r>
    </w:p>
    <w:p>
      <w:pPr>
        <w:pStyle w:val="ListBullet"/>
        <w:spacing w:before="10" w:after="30" w:line="259" w:lineRule="auto"/>
      </w:pPr>
      <w:r>
        <w:rPr>
          <w:rFonts w:ascii="Arial" w:hAnsi="Arial"/>
          <w:b/>
          <w:color w:val="0F172A"/>
          <w:sz w:val="16"/>
        </w:rPr>
        <w:t xml:space="preserve">Weekly Match Cadence: </w:t>
      </w:r>
      <w:r>
        <w:rPr>
          <w:rFonts w:ascii="Arial" w:hAnsi="Arial"/>
          <w:color w:val="0F172A"/>
          <w:sz w:val="16"/>
        </w:rPr>
        <w:t>The competition consists of a series of [X] official weekly live auction matches scheduled every Thursday promptly at [X:XX] [AM/PM] IST on the central auction portal.</w:t>
      </w:r>
    </w:p>
    <w:p>
      <w:pPr>
        <w:pStyle w:val="ListBullet"/>
        <w:spacing w:before="10" w:after="30" w:line="259" w:lineRule="auto"/>
      </w:pPr>
      <w:r>
        <w:rPr>
          <w:rFonts w:ascii="Arial" w:hAnsi="Arial"/>
          <w:b/>
          <w:color w:val="0F172A"/>
          <w:sz w:val="16"/>
        </w:rPr>
        <w:t xml:space="preserve">Telemetry Verification: </w:t>
      </w:r>
      <w:r>
        <w:rPr>
          <w:rFonts w:ascii="Arial" w:hAnsi="Arial"/>
          <w:color w:val="0F172A"/>
          <w:sz w:val="16"/>
        </w:rPr>
        <w:t>Points are credited strictly for verified bidding, logins, and listings recorded within designated session windows by the TVS Central Telemetry Engine.</w:t>
      </w:r>
    </w:p>
    <w:p>
      <w:pPr>
        <w:spacing w:before="80" w:after="30"/>
      </w:pPr>
      <w:r>
        <w:rPr>
          <w:rFonts w:ascii="Arial" w:hAnsi="Arial"/>
          <w:b/>
          <w:color w:val="1E3A8A"/>
          <w:sz w:val="19"/>
        </w:rPr>
        <w:t>3. EXACT POINT ALLOCATION PROTOCOL (DUAL LEAGUE)</w:t>
      </w:r>
    </w:p>
    <w:p>
      <w:pPr>
        <w:spacing w:before="0" w:after="40"/>
      </w:pPr>
      <w:r>
        <w:rPr>
          <w:rFonts w:ascii="Arial" w:hAnsi="Arial"/>
          <w:i/>
          <w:color w:val="64748B"/>
          <w:sz w:val="15"/>
        </w:rPr>
        <w:t>Points are maintained in two completely independent divisions. Buyer Points and Seller Points are NEVER combined or summed. Dealers can compete and win podium awards in either or both leagues with the following exact points: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016"/>
        <w:gridCol w:w="6293"/>
        <w:gridCol w:w="2160"/>
      </w:tblGrid>
      <w:tr>
        <w:tc>
          <w:tcPr>
            <w:tcW w:type="dxa" w:w="2016"/>
            <w:shd w:fill="1E3A8A"/>
            <w:tcMar>
              <w:top w:w="40" w:type="dxa"/>
              <w:bottom w:w="40" w:type="dxa"/>
              <w:left w:w="60" w:type="dxa"/>
              <w:right w:w="60" w:type="dxa"/>
            </w:tcMar>
          </w:tcPr>
          <w:p>
            <w:pPr>
              <w:spacing w:before="0" w:after="0"/>
            </w:pPr>
            <w:r>
              <w:rPr>
                <w:rFonts w:ascii="Arial" w:hAnsi="Arial"/>
                <w:b/>
                <w:color w:val="FFFFFF"/>
                <w:sz w:val="15"/>
              </w:rPr>
              <w:t>League</w:t>
            </w:r>
          </w:p>
        </w:tc>
        <w:tc>
          <w:tcPr>
            <w:tcW w:type="dxa" w:w="6293"/>
            <w:shd w:fill="1E3A8A"/>
            <w:tcMar>
              <w:top w:w="40" w:type="dxa"/>
              <w:bottom w:w="40" w:type="dxa"/>
              <w:left w:w="60" w:type="dxa"/>
              <w:right w:w="60" w:type="dxa"/>
            </w:tcMar>
          </w:tcPr>
          <w:p>
            <w:pPr>
              <w:spacing w:before="0" w:after="0"/>
            </w:pPr>
            <w:r>
              <w:rPr>
                <w:rFonts w:ascii="Arial" w:hAnsi="Arial"/>
                <w:b/>
                <w:color w:val="FFFFFF"/>
                <w:sz w:val="15"/>
              </w:rPr>
              <w:t>Activity &amp; Scoring Criteria</w:t>
            </w:r>
          </w:p>
        </w:tc>
        <w:tc>
          <w:tcPr>
            <w:tcW w:type="dxa" w:w="2160"/>
            <w:shd w:fill="1E3A8A"/>
            <w:tcMar>
              <w:top w:w="40" w:type="dxa"/>
              <w:bottom w:w="40" w:type="dxa"/>
              <w:left w:w="60" w:type="dxa"/>
              <w:right w:w="60" w:type="dxa"/>
            </w:tcMar>
          </w:tcPr>
          <w:p>
            <w:pPr>
              <w:spacing w:before="0" w:after="0"/>
            </w:pPr>
            <w:r>
              <w:rPr>
                <w:rFonts w:ascii="Arial" w:hAnsi="Arial"/>
                <w:b/>
                <w:color w:val="FFFFFF"/>
                <w:sz w:val="15"/>
              </w:rPr>
              <w:t>Exact Points Awarded</w:t>
            </w:r>
          </w:p>
        </w:tc>
      </w:tr>
      <w:tr>
        <w:tc>
          <w:tcPr>
            <w:tcW w:type="dxa" w:w="2016"/>
            <w:shd w:fill="FFFFFF"/>
            <w:tcMar>
              <w:top w:w="30" w:type="dxa"/>
              <w:bottom w:w="30" w:type="dxa"/>
              <w:left w:w="60" w:type="dxa"/>
              <w:right w:w="60" w:type="dxa"/>
            </w:tcMar>
          </w:tcPr>
          <w:p>
            <w:pPr>
              <w:spacing w:before="0" w:after="0" w:line="252" w:lineRule="auto"/>
            </w:pPr>
            <w:r>
              <w:rPr>
                <w:rFonts w:ascii="Arial" w:hAnsi="Arial"/>
                <w:b/>
                <w:color w:val="1E3A8A"/>
                <w:sz w:val="14"/>
              </w:rPr>
              <w:t>BUYER LEAGUE</w:t>
            </w:r>
          </w:p>
        </w:tc>
        <w:tc>
          <w:tcPr>
            <w:tcW w:type="dxa" w:w="6293"/>
            <w:shd w:fill="FFFFFF"/>
            <w:tcMar>
              <w:top w:w="30" w:type="dxa"/>
              <w:bottom w:w="30" w:type="dxa"/>
              <w:left w:w="60" w:type="dxa"/>
              <w:right w:w="60" w:type="dxa"/>
            </w:tcMar>
          </w:tcPr>
          <w:p>
            <w:pPr>
              <w:spacing w:before="0" w:after="0" w:line="252" w:lineRule="auto"/>
            </w:pPr>
            <w:r>
              <w:rPr>
                <w:rFonts w:ascii="Arial" w:hAnsi="Arial"/>
                <w:color w:val="0F172A"/>
                <w:sz w:val="14"/>
              </w:rPr>
              <w:t>Live Auction Bids (Per-Car Basis):</w:t>
              <w:br/>
              <w:t>Submitting verified bid(s) on a unique car lot during scheduled matches. Multiple bids on the same car do not yield extra points (prevents point farming).</w:t>
            </w:r>
          </w:p>
        </w:tc>
        <w:tc>
          <w:tcPr>
            <w:tcW w:type="dxa" w:w="2160"/>
            <w:shd w:fill="FFFFFF"/>
            <w:tcMar>
              <w:top w:w="30" w:type="dxa"/>
              <w:bottom w:w="30" w:type="dxa"/>
              <w:left w:w="60" w:type="dxa"/>
              <w:right w:w="60" w:type="dxa"/>
            </w:tcMar>
          </w:tcPr>
          <w:p>
            <w:pPr>
              <w:spacing w:before="0" w:after="0" w:line="252" w:lineRule="auto"/>
            </w:pPr>
            <w:r>
              <w:rPr>
                <w:rFonts w:ascii="Arial" w:hAnsi="Arial"/>
                <w:b/>
                <w:color w:val="1E3A8A"/>
                <w:sz w:val="14"/>
              </w:rPr>
              <w:t>1 Point per Unique Car</w:t>
            </w:r>
          </w:p>
        </w:tc>
      </w:tr>
      <w:tr>
        <w:tc>
          <w:tcPr>
            <w:tcW w:type="dxa" w:w="2016"/>
            <w:shd w:fill="F8FAFC"/>
            <w:tcMar>
              <w:top w:w="30" w:type="dxa"/>
              <w:bottom w:w="30" w:type="dxa"/>
              <w:left w:w="60" w:type="dxa"/>
              <w:right w:w="60" w:type="dxa"/>
            </w:tcMar>
          </w:tcPr>
          <w:p>
            <w:pPr>
              <w:spacing w:before="0" w:after="0" w:line="252" w:lineRule="auto"/>
            </w:pPr>
            <w:r>
              <w:rPr>
                <w:rFonts w:ascii="Arial" w:hAnsi="Arial"/>
                <w:b/>
                <w:color w:val="1E3A8A"/>
                <w:sz w:val="14"/>
              </w:rPr>
              <w:t>BUYER LEAGUE</w:t>
            </w:r>
          </w:p>
        </w:tc>
        <w:tc>
          <w:tcPr>
            <w:tcW w:type="dxa" w:w="6293"/>
            <w:shd w:fill="F8FAFC"/>
            <w:tcMar>
              <w:top w:w="30" w:type="dxa"/>
              <w:bottom w:w="30" w:type="dxa"/>
              <w:left w:w="60" w:type="dxa"/>
              <w:right w:w="60" w:type="dxa"/>
            </w:tcMar>
          </w:tcPr>
          <w:p>
            <w:pPr>
              <w:spacing w:before="0" w:after="0" w:line="252" w:lineRule="auto"/>
            </w:pPr>
            <w:r>
              <w:rPr>
                <w:rFonts w:ascii="Arial" w:hAnsi="Arial"/>
                <w:color w:val="0F172A"/>
                <w:sz w:val="14"/>
              </w:rPr>
              <w:t>Match-Day Attendance:</w:t>
              <w:br/>
              <w:t>Logging in and actively participating in an official weekly Thursday auction session.</w:t>
            </w:r>
          </w:p>
        </w:tc>
        <w:tc>
          <w:tcPr>
            <w:tcW w:type="dxa" w:w="2160"/>
            <w:shd w:fill="F8FAFC"/>
            <w:tcMar>
              <w:top w:w="30" w:type="dxa"/>
              <w:bottom w:w="30" w:type="dxa"/>
              <w:left w:w="60" w:type="dxa"/>
              <w:right w:w="60" w:type="dxa"/>
            </w:tcMar>
          </w:tcPr>
          <w:p>
            <w:pPr>
              <w:spacing w:before="0" w:after="0" w:line="252" w:lineRule="auto"/>
            </w:pPr>
            <w:r>
              <w:rPr>
                <w:rFonts w:ascii="Arial" w:hAnsi="Arial"/>
                <w:b/>
                <w:color w:val="1E3A8A"/>
                <w:sz w:val="14"/>
              </w:rPr>
              <w:t>1 Point per Match Day</w:t>
            </w:r>
          </w:p>
        </w:tc>
      </w:tr>
      <w:tr>
        <w:tc>
          <w:tcPr>
            <w:tcW w:type="dxa" w:w="2016"/>
            <w:shd w:fill="FFFFFF"/>
            <w:tcMar>
              <w:top w:w="30" w:type="dxa"/>
              <w:bottom w:w="30" w:type="dxa"/>
              <w:left w:w="60" w:type="dxa"/>
              <w:right w:w="60" w:type="dxa"/>
            </w:tcMar>
          </w:tcPr>
          <w:p>
            <w:pPr>
              <w:spacing w:before="0" w:after="0" w:line="252" w:lineRule="auto"/>
            </w:pPr>
            <w:r>
              <w:rPr>
                <w:rFonts w:ascii="Arial" w:hAnsi="Arial"/>
                <w:b/>
                <w:color w:val="1E3A8A"/>
                <w:sz w:val="14"/>
              </w:rPr>
              <w:t>BUYER LEAGUE</w:t>
            </w:r>
          </w:p>
        </w:tc>
        <w:tc>
          <w:tcPr>
            <w:tcW w:type="dxa" w:w="6293"/>
            <w:shd w:fill="FFFFFF"/>
            <w:tcMar>
              <w:top w:w="30" w:type="dxa"/>
              <w:bottom w:w="30" w:type="dxa"/>
              <w:left w:w="60" w:type="dxa"/>
              <w:right w:w="60" w:type="dxa"/>
            </w:tcMar>
          </w:tcPr>
          <w:p>
            <w:pPr>
              <w:spacing w:before="0" w:after="0" w:line="252" w:lineRule="auto"/>
            </w:pPr>
            <w:r>
              <w:rPr>
                <w:rFonts w:ascii="Arial" w:hAnsi="Arial"/>
                <w:color w:val="0F172A"/>
                <w:sz w:val="14"/>
              </w:rPr>
              <w:t>All-Matches Attendance Bonus:</w:t>
              <w:br/>
              <w:t>Maintaining 100% flawless attendance across all [X] official weekly tournament matches.</w:t>
            </w:r>
          </w:p>
        </w:tc>
        <w:tc>
          <w:tcPr>
            <w:tcW w:type="dxa" w:w="2160"/>
            <w:shd w:fill="FFFFFF"/>
            <w:tcMar>
              <w:top w:w="30" w:type="dxa"/>
              <w:bottom w:w="30" w:type="dxa"/>
              <w:left w:w="60" w:type="dxa"/>
              <w:right w:w="60" w:type="dxa"/>
            </w:tcMar>
          </w:tcPr>
          <w:p>
            <w:pPr>
              <w:spacing w:before="0" w:after="0" w:line="252" w:lineRule="auto"/>
            </w:pPr>
            <w:r>
              <w:rPr>
                <w:rFonts w:ascii="Arial" w:hAnsi="Arial"/>
                <w:b/>
                <w:color w:val="B91C1C"/>
                <w:sz w:val="14"/>
              </w:rPr>
              <w:t>+20 Bonus Points (Season End)</w:t>
            </w:r>
          </w:p>
        </w:tc>
      </w:tr>
      <w:tr>
        <w:tc>
          <w:tcPr>
            <w:tcW w:type="dxa" w:w="2016"/>
            <w:shd w:fill="F8FAFC"/>
            <w:tcMar>
              <w:top w:w="30" w:type="dxa"/>
              <w:bottom w:w="30" w:type="dxa"/>
              <w:left w:w="60" w:type="dxa"/>
              <w:right w:w="60" w:type="dxa"/>
            </w:tcMar>
          </w:tcPr>
          <w:p>
            <w:pPr>
              <w:spacing w:before="0" w:after="0" w:line="252" w:lineRule="auto"/>
            </w:pPr>
            <w:r>
              <w:rPr>
                <w:rFonts w:ascii="Arial" w:hAnsi="Arial"/>
                <w:b/>
                <w:color w:val="0284C7"/>
                <w:sz w:val="14"/>
              </w:rPr>
              <w:t>SELLER LEAGUE</w:t>
            </w:r>
          </w:p>
        </w:tc>
        <w:tc>
          <w:tcPr>
            <w:tcW w:type="dxa" w:w="6293"/>
            <w:shd w:fill="F8FAFC"/>
            <w:tcMar>
              <w:top w:w="30" w:type="dxa"/>
              <w:bottom w:w="30" w:type="dxa"/>
              <w:left w:w="60" w:type="dxa"/>
              <w:right w:w="60" w:type="dxa"/>
            </w:tcMar>
          </w:tcPr>
          <w:p>
            <w:pPr>
              <w:spacing w:before="0" w:after="0" w:line="252" w:lineRule="auto"/>
            </w:pPr>
            <w:r>
              <w:rPr>
                <w:rFonts w:ascii="Arial" w:hAnsi="Arial"/>
                <w:color w:val="0F172A"/>
                <w:sz w:val="14"/>
              </w:rPr>
              <w:t>Vehicle Consignment Listing:</w:t>
              <w:br/>
              <w:t>Submitting, inspecting, and publishing a verified vehicle into the official auction catalog.</w:t>
            </w:r>
          </w:p>
        </w:tc>
        <w:tc>
          <w:tcPr>
            <w:tcW w:type="dxa" w:w="2160"/>
            <w:shd w:fill="F8FAFC"/>
            <w:tcMar>
              <w:top w:w="30" w:type="dxa"/>
              <w:bottom w:w="30" w:type="dxa"/>
              <w:left w:w="60" w:type="dxa"/>
              <w:right w:w="60" w:type="dxa"/>
            </w:tcMar>
          </w:tcPr>
          <w:p>
            <w:pPr>
              <w:spacing w:before="0" w:after="0" w:line="252" w:lineRule="auto"/>
            </w:pPr>
            <w:r>
              <w:rPr>
                <w:rFonts w:ascii="Arial" w:hAnsi="Arial"/>
                <w:b/>
                <w:color w:val="1E3A8A"/>
                <w:sz w:val="14"/>
              </w:rPr>
              <w:t>5 Points per Published Car</w:t>
            </w:r>
          </w:p>
        </w:tc>
      </w:tr>
      <w:tr>
        <w:tc>
          <w:tcPr>
            <w:tcW w:type="dxa" w:w="2016"/>
            <w:shd w:fill="FFFFFF"/>
            <w:tcMar>
              <w:top w:w="30" w:type="dxa"/>
              <w:bottom w:w="30" w:type="dxa"/>
              <w:left w:w="60" w:type="dxa"/>
              <w:right w:w="60" w:type="dxa"/>
            </w:tcMar>
          </w:tcPr>
          <w:p>
            <w:pPr>
              <w:spacing w:before="0" w:after="0" w:line="252" w:lineRule="auto"/>
            </w:pPr>
            <w:r>
              <w:rPr>
                <w:rFonts w:ascii="Arial" w:hAnsi="Arial"/>
                <w:b/>
                <w:color w:val="0284C7"/>
                <w:sz w:val="14"/>
              </w:rPr>
              <w:t>SELLER LEAGUE</w:t>
            </w:r>
          </w:p>
        </w:tc>
        <w:tc>
          <w:tcPr>
            <w:tcW w:type="dxa" w:w="6293"/>
            <w:shd w:fill="FFFFFF"/>
            <w:tcMar>
              <w:top w:w="30" w:type="dxa"/>
              <w:bottom w:w="30" w:type="dxa"/>
              <w:left w:w="60" w:type="dxa"/>
              <w:right w:w="60" w:type="dxa"/>
            </w:tcMar>
          </w:tcPr>
          <w:p>
            <w:pPr>
              <w:spacing w:before="0" w:after="0" w:line="252" w:lineRule="auto"/>
            </w:pPr>
            <w:r>
              <w:rPr>
                <w:rFonts w:ascii="Arial" w:hAnsi="Arial"/>
                <w:color w:val="0F172A"/>
                <w:sz w:val="14"/>
              </w:rPr>
              <w:t>Commission Settlement:</w:t>
              <w:br/>
              <w:t>Successfully closing and settling transaction fees within [X] banking business days.</w:t>
            </w:r>
          </w:p>
        </w:tc>
        <w:tc>
          <w:tcPr>
            <w:tcW w:type="dxa" w:w="2160"/>
            <w:shd w:fill="FFFFFF"/>
            <w:tcMar>
              <w:top w:w="30" w:type="dxa"/>
              <w:bottom w:w="30" w:type="dxa"/>
              <w:left w:w="60" w:type="dxa"/>
              <w:right w:w="60" w:type="dxa"/>
            </w:tcMar>
          </w:tcPr>
          <w:p>
            <w:pPr>
              <w:spacing w:before="0" w:after="0" w:line="252" w:lineRule="auto"/>
            </w:pPr>
            <w:r>
              <w:rPr>
                <w:rFonts w:ascii="Arial" w:hAnsi="Arial"/>
                <w:b/>
                <w:color w:val="1E3A8A"/>
                <w:sz w:val="14"/>
              </w:rPr>
              <w:t>5 Points per Settled Deal</w:t>
            </w:r>
          </w:p>
        </w:tc>
      </w:tr>
    </w:tbl>
    <w:p>
      <w:pPr>
        <w:spacing w:before="80" w:after="30"/>
      </w:pPr>
      <w:r>
        <w:rPr>
          <w:rFonts w:ascii="Arial" w:hAnsi="Arial"/>
          <w:b/>
          <w:color w:val="1E3A8A"/>
          <w:sz w:val="19"/>
        </w:rPr>
        <w:t>4. GUARANTEED PRIZE PURSE &amp; TIE-BREAKER POLICY</w:t>
      </w:r>
    </w:p>
    <w:p>
      <w:pPr>
        <w:pStyle w:val="ListBullet"/>
        <w:spacing w:before="10" w:after="30" w:line="259" w:lineRule="auto"/>
      </w:pPr>
      <w:r>
        <w:rPr>
          <w:rFonts w:ascii="Arial" w:hAnsi="Arial"/>
          <w:b/>
          <w:color w:val="0F172A"/>
          <w:sz w:val="16"/>
        </w:rPr>
        <w:t xml:space="preserve">Grand Prize Pool (₹1,00,000): </w:t>
      </w:r>
      <w:r>
        <w:rPr>
          <w:rFonts w:ascii="Arial" w:hAnsi="Arial"/>
          <w:color w:val="0F172A"/>
          <w:sz w:val="16"/>
        </w:rPr>
        <w:t>Guaranteed cash awards purse of ₹1,00,000 (Rupees One Lakh) divided equally: ₹50,000 for Buyer League and ₹50,000 for Seller League.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92"/>
        <w:gridCol w:w="2592"/>
        <w:gridCol w:w="2592"/>
        <w:gridCol w:w="2693"/>
      </w:tblGrid>
      <w:tr>
        <w:tc>
          <w:tcPr>
            <w:tcW w:type="dxa" w:w="2592"/>
            <w:shd w:fill="1E3A8A"/>
            <w:tcMar>
              <w:top w:w="40" w:type="dxa"/>
              <w:bottom w:w="40" w:type="dxa"/>
              <w:left w:w="60" w:type="dxa"/>
              <w:right w:w="60" w:type="dxa"/>
            </w:tcMar>
          </w:tcPr>
          <w:p>
            <w:pPr>
              <w:spacing w:before="0" w:after="0"/>
            </w:pPr>
            <w:r>
              <w:rPr>
                <w:rFonts w:ascii="Arial" w:hAnsi="Arial"/>
                <w:b/>
                <w:color w:val="FFFFFF"/>
                <w:sz w:val="15"/>
              </w:rPr>
              <w:t>Podium Tier</w:t>
            </w:r>
          </w:p>
        </w:tc>
        <w:tc>
          <w:tcPr>
            <w:tcW w:type="dxa" w:w="2592"/>
            <w:shd w:fill="1E3A8A"/>
            <w:tcMar>
              <w:top w:w="40" w:type="dxa"/>
              <w:bottom w:w="40" w:type="dxa"/>
              <w:left w:w="60" w:type="dxa"/>
              <w:right w:w="60" w:type="dxa"/>
            </w:tcMar>
          </w:tcPr>
          <w:p>
            <w:pPr>
              <w:spacing w:before="0" w:after="0"/>
            </w:pPr>
            <w:r>
              <w:rPr>
                <w:rFonts w:ascii="Arial" w:hAnsi="Arial"/>
                <w:b/>
                <w:color w:val="FFFFFF"/>
                <w:sz w:val="15"/>
              </w:rPr>
              <w:t>Buyer League Award</w:t>
            </w:r>
          </w:p>
        </w:tc>
        <w:tc>
          <w:tcPr>
            <w:tcW w:type="dxa" w:w="2592"/>
            <w:shd w:fill="1E3A8A"/>
            <w:tcMar>
              <w:top w:w="40" w:type="dxa"/>
              <w:bottom w:w="40" w:type="dxa"/>
              <w:left w:w="60" w:type="dxa"/>
              <w:right w:w="60" w:type="dxa"/>
            </w:tcMar>
          </w:tcPr>
          <w:p>
            <w:pPr>
              <w:spacing w:before="0" w:after="0"/>
            </w:pPr>
            <w:r>
              <w:rPr>
                <w:rFonts w:ascii="Arial" w:hAnsi="Arial"/>
                <w:b/>
                <w:color w:val="FFFFFF"/>
                <w:sz w:val="15"/>
              </w:rPr>
              <w:t>Seller League Award</w:t>
            </w:r>
          </w:p>
        </w:tc>
        <w:tc>
          <w:tcPr>
            <w:tcW w:type="dxa" w:w="2693"/>
            <w:shd w:fill="1E3A8A"/>
            <w:tcMar>
              <w:top w:w="40" w:type="dxa"/>
              <w:bottom w:w="40" w:type="dxa"/>
              <w:left w:w="60" w:type="dxa"/>
              <w:right w:w="60" w:type="dxa"/>
            </w:tcMar>
          </w:tcPr>
          <w:p>
            <w:pPr>
              <w:spacing w:before="0" w:after="0"/>
            </w:pPr>
            <w:r>
              <w:rPr>
                <w:rFonts w:ascii="Arial" w:hAnsi="Arial"/>
                <w:b/>
                <w:color w:val="FFFFFF"/>
                <w:sz w:val="15"/>
              </w:rPr>
              <w:t>Ceremonial Award</w:t>
            </w:r>
          </w:p>
        </w:tc>
      </w:tr>
      <w:tr>
        <w:tc>
          <w:tcPr>
            <w:tcW w:type="dxa" w:w="2592"/>
            <w:shd w:fill="FFFFFF"/>
            <w:tcMar>
              <w:top w:w="30" w:type="dxa"/>
              <w:bottom w:w="30" w:type="dxa"/>
              <w:left w:w="60" w:type="dxa"/>
              <w:right w:w="60" w:type="dxa"/>
            </w:tcMar>
          </w:tcPr>
          <w:p>
            <w:pPr>
              <w:spacing w:before="0" w:after="0"/>
            </w:pPr>
            <w:r>
              <w:rPr>
                <w:rFonts w:ascii="Arial" w:hAnsi="Arial"/>
                <w:b/>
                <w:color w:val="0F172A"/>
                <w:sz w:val="14"/>
              </w:rPr>
              <w:t>1st Place (Champion)</w:t>
            </w:r>
          </w:p>
        </w:tc>
        <w:tc>
          <w:tcPr>
            <w:tcW w:type="dxa" w:w="2592"/>
            <w:shd w:fill="FFFFFF"/>
            <w:tcMar>
              <w:top w:w="30" w:type="dxa"/>
              <w:bottom w:w="30" w:type="dxa"/>
              <w:left w:w="60" w:type="dxa"/>
              <w:right w:w="60" w:type="dxa"/>
            </w:tcMar>
          </w:tcPr>
          <w:p>
            <w:pPr>
              <w:spacing w:before="0" w:after="0"/>
            </w:pPr>
            <w:r>
              <w:rPr>
                <w:rFonts w:ascii="Arial" w:hAnsi="Arial"/>
                <w:b/>
                <w:color w:val="166534"/>
                <w:sz w:val="14"/>
              </w:rPr>
              <w:t>₹25,000 Cash Purse</w:t>
            </w:r>
          </w:p>
        </w:tc>
        <w:tc>
          <w:tcPr>
            <w:tcW w:type="dxa" w:w="2592"/>
            <w:shd w:fill="FFFFFF"/>
            <w:tcMar>
              <w:top w:w="30" w:type="dxa"/>
              <w:bottom w:w="30" w:type="dxa"/>
              <w:left w:w="60" w:type="dxa"/>
              <w:right w:w="60" w:type="dxa"/>
            </w:tcMar>
          </w:tcPr>
          <w:p>
            <w:pPr>
              <w:spacing w:before="0" w:after="0"/>
            </w:pPr>
            <w:r>
              <w:rPr>
                <w:rFonts w:ascii="Arial" w:hAnsi="Arial"/>
                <w:b/>
                <w:color w:val="166534"/>
                <w:sz w:val="14"/>
              </w:rPr>
              <w:t>₹25,000 Cash Purse</w:t>
            </w:r>
          </w:p>
        </w:tc>
        <w:tc>
          <w:tcPr>
            <w:tcW w:type="dxa" w:w="2693"/>
            <w:shd w:fill="FFFFFF"/>
            <w:tcMar>
              <w:top w:w="30" w:type="dxa"/>
              <w:bottom w:w="30" w:type="dxa"/>
              <w:left w:w="60" w:type="dxa"/>
              <w:right w:w="60" w:type="dxa"/>
            </w:tcMar>
          </w:tcPr>
          <w:p>
            <w:pPr>
              <w:spacing w:before="0" w:after="0"/>
            </w:pPr>
            <w:r>
              <w:rPr>
                <w:rFonts w:ascii="Arial" w:hAnsi="Arial"/>
                <w:color w:val="64748B"/>
                <w:sz w:val="14"/>
              </w:rPr>
              <w:t>Official TVS Trophy</w:t>
            </w:r>
          </w:p>
        </w:tc>
      </w:tr>
      <w:tr>
        <w:tc>
          <w:tcPr>
            <w:tcW w:type="dxa" w:w="2592"/>
            <w:shd w:fill="F8FAFC"/>
            <w:tcMar>
              <w:top w:w="30" w:type="dxa"/>
              <w:bottom w:w="30" w:type="dxa"/>
              <w:left w:w="60" w:type="dxa"/>
              <w:right w:w="60" w:type="dxa"/>
            </w:tcMar>
          </w:tcPr>
          <w:p>
            <w:pPr>
              <w:spacing w:before="0" w:after="0"/>
            </w:pPr>
            <w:r>
              <w:rPr>
                <w:rFonts w:ascii="Arial" w:hAnsi="Arial"/>
                <w:b/>
                <w:color w:val="0F172A"/>
                <w:sz w:val="14"/>
              </w:rPr>
              <w:t>2nd Place (Runner-Up)</w:t>
            </w:r>
          </w:p>
        </w:tc>
        <w:tc>
          <w:tcPr>
            <w:tcW w:type="dxa" w:w="2592"/>
            <w:shd w:fill="F8FAFC"/>
            <w:tcMar>
              <w:top w:w="30" w:type="dxa"/>
              <w:bottom w:w="30" w:type="dxa"/>
              <w:left w:w="60" w:type="dxa"/>
              <w:right w:w="60" w:type="dxa"/>
            </w:tcMar>
          </w:tcPr>
          <w:p>
            <w:pPr>
              <w:spacing w:before="0" w:after="0"/>
            </w:pPr>
            <w:r>
              <w:rPr>
                <w:rFonts w:ascii="Arial" w:hAnsi="Arial"/>
                <w:b/>
                <w:color w:val="166534"/>
                <w:sz w:val="14"/>
              </w:rPr>
              <w:t>₹15,000 Cash Purse</w:t>
            </w:r>
          </w:p>
        </w:tc>
        <w:tc>
          <w:tcPr>
            <w:tcW w:type="dxa" w:w="2592"/>
            <w:shd w:fill="F8FAFC"/>
            <w:tcMar>
              <w:top w:w="30" w:type="dxa"/>
              <w:bottom w:w="30" w:type="dxa"/>
              <w:left w:w="60" w:type="dxa"/>
              <w:right w:w="60" w:type="dxa"/>
            </w:tcMar>
          </w:tcPr>
          <w:p>
            <w:pPr>
              <w:spacing w:before="0" w:after="0"/>
            </w:pPr>
            <w:r>
              <w:rPr>
                <w:rFonts w:ascii="Arial" w:hAnsi="Arial"/>
                <w:b/>
                <w:color w:val="166534"/>
                <w:sz w:val="14"/>
              </w:rPr>
              <w:t>₹15,000 Cash Purse</w:t>
            </w:r>
          </w:p>
        </w:tc>
        <w:tc>
          <w:tcPr>
            <w:tcW w:type="dxa" w:w="2693"/>
            <w:shd w:fill="F8FAFC"/>
            <w:tcMar>
              <w:top w:w="30" w:type="dxa"/>
              <w:bottom w:w="30" w:type="dxa"/>
              <w:left w:w="60" w:type="dxa"/>
              <w:right w:w="60" w:type="dxa"/>
            </w:tcMar>
          </w:tcPr>
          <w:p>
            <w:pPr>
              <w:spacing w:before="0" w:after="0"/>
            </w:pPr>
            <w:r>
              <w:rPr>
                <w:rFonts w:ascii="Arial" w:hAnsi="Arial"/>
                <w:color w:val="64748B"/>
                <w:sz w:val="14"/>
              </w:rPr>
              <w:t>Silver Plaque</w:t>
            </w:r>
          </w:p>
        </w:tc>
      </w:tr>
      <w:tr>
        <w:tc>
          <w:tcPr>
            <w:tcW w:type="dxa" w:w="2592"/>
            <w:shd w:fill="FFFFFF"/>
            <w:tcMar>
              <w:top w:w="30" w:type="dxa"/>
              <w:bottom w:w="30" w:type="dxa"/>
              <w:left w:w="60" w:type="dxa"/>
              <w:right w:w="60" w:type="dxa"/>
            </w:tcMar>
          </w:tcPr>
          <w:p>
            <w:pPr>
              <w:spacing w:before="0" w:after="0"/>
            </w:pPr>
            <w:r>
              <w:rPr>
                <w:rFonts w:ascii="Arial" w:hAnsi="Arial"/>
                <w:b/>
                <w:color w:val="0F172A"/>
                <w:sz w:val="14"/>
              </w:rPr>
              <w:t>3rd Place (2nd Runner-Up)</w:t>
            </w:r>
          </w:p>
        </w:tc>
        <w:tc>
          <w:tcPr>
            <w:tcW w:type="dxa" w:w="2592"/>
            <w:shd w:fill="FFFFFF"/>
            <w:tcMar>
              <w:top w:w="30" w:type="dxa"/>
              <w:bottom w:w="30" w:type="dxa"/>
              <w:left w:w="60" w:type="dxa"/>
              <w:right w:w="60" w:type="dxa"/>
            </w:tcMar>
          </w:tcPr>
          <w:p>
            <w:pPr>
              <w:spacing w:before="0" w:after="0"/>
            </w:pPr>
            <w:r>
              <w:rPr>
                <w:rFonts w:ascii="Arial" w:hAnsi="Arial"/>
                <w:b/>
                <w:color w:val="166534"/>
                <w:sz w:val="14"/>
              </w:rPr>
              <w:t>₹10,000 Cash Purse</w:t>
            </w:r>
          </w:p>
        </w:tc>
        <w:tc>
          <w:tcPr>
            <w:tcW w:type="dxa" w:w="2592"/>
            <w:shd w:fill="FFFFFF"/>
            <w:tcMar>
              <w:top w:w="30" w:type="dxa"/>
              <w:bottom w:w="30" w:type="dxa"/>
              <w:left w:w="60" w:type="dxa"/>
              <w:right w:w="60" w:type="dxa"/>
            </w:tcMar>
          </w:tcPr>
          <w:p>
            <w:pPr>
              <w:spacing w:before="0" w:after="0"/>
            </w:pPr>
            <w:r>
              <w:rPr>
                <w:rFonts w:ascii="Arial" w:hAnsi="Arial"/>
                <w:b/>
                <w:color w:val="166534"/>
                <w:sz w:val="14"/>
              </w:rPr>
              <w:t>₹10,000 Cash Purse</w:t>
            </w:r>
          </w:p>
        </w:tc>
        <w:tc>
          <w:tcPr>
            <w:tcW w:type="dxa" w:w="2693"/>
            <w:shd w:fill="FFFFFF"/>
            <w:tcMar>
              <w:top w:w="30" w:type="dxa"/>
              <w:bottom w:w="30" w:type="dxa"/>
              <w:left w:w="60" w:type="dxa"/>
              <w:right w:w="60" w:type="dxa"/>
            </w:tcMar>
          </w:tcPr>
          <w:p>
            <w:pPr>
              <w:spacing w:before="0" w:after="0"/>
            </w:pPr>
            <w:r>
              <w:rPr>
                <w:rFonts w:ascii="Arial" w:hAnsi="Arial"/>
                <w:color w:val="64748B"/>
                <w:sz w:val="14"/>
              </w:rPr>
              <w:t>Bronze Plaque</w:t>
            </w:r>
          </w:p>
        </w:tc>
      </w:tr>
    </w:tbl>
    <w:p>
      <w:pPr>
        <w:pStyle w:val="ListBullet"/>
        <w:spacing w:before="10" w:after="30" w:line="259" w:lineRule="auto"/>
      </w:pPr>
      <w:r>
        <w:rPr>
          <w:rFonts w:ascii="Arial" w:hAnsi="Arial"/>
          <w:b/>
          <w:color w:val="0F172A"/>
          <w:sz w:val="16"/>
        </w:rPr>
        <w:t xml:space="preserve">Equal Points Tie-Breaker (Split Purse Formula): </w:t>
      </w:r>
      <w:r>
        <w:rPr>
          <w:rFonts w:ascii="Arial" w:hAnsi="Arial"/>
          <w:color w:val="0F172A"/>
          <w:sz w:val="16"/>
        </w:rPr>
        <w:t>If dealerships tie on points at season end for any podium rank, the combined prize purse of tied spots is divided equally (e.g. 2-way tie for 1st splits ₹40,000 = ₹20,000 each; 3-way tie for 1st splits ₹50,000 = ₹16,666.67 each; 2-way tie for 2nd splits ₹25,000 = ₹12,500 each; 2-way tie for 3rd splits ₹10,000 = ₹5,000 each). No subjective tie-breakers are used.</w:t>
      </w:r>
    </w:p>
    <w:p>
      <w:pPr>
        <w:spacing w:before="80" w:after="30"/>
      </w:pPr>
      <w:r>
        <w:rPr>
          <w:rFonts w:ascii="Arial" w:hAnsi="Arial"/>
          <w:b/>
          <w:color w:val="1E3A8A"/>
          <w:sz w:val="19"/>
        </w:rPr>
        <w:t>5. GOVERNING LAW &amp; JURISDICTION RESTRICTED TO MADHAVARAM OFFICE</w:t>
      </w:r>
    </w:p>
    <w:tbl>
      <w:tblPr>
        <w:tblW w:type="auto" w:w="0"/>
        <w:jc w:val="center"/>
        <w:tblLayout w:type="fixed"/>
        <w:tblLook w:firstColumn="1" w:firstRow="1" w:lastColumn="0" w:lastRow="0" w:noHBand="0" w:noVBand="1" w:val="04A0"/>
      </w:tblPr>
      <w:tblGrid>
        <w:gridCol w:w="10469"/>
      </w:tblGrid>
      <w:tr>
        <w:tc>
          <w:tcPr>
            <w:tcW w:type="dxa" w:w="10469"/>
            <w:shd w:fill="FEF2F2"/>
            <w:tcMar>
              <w:top w:w="50" w:type="dxa"/>
              <w:bottom w:w="50" w:type="dxa"/>
              <w:left w:w="90" w:type="dxa"/>
              <w:right w:w="90" w:type="dxa"/>
            </w:tcMar>
            <w:tcBorders>
              <w:left w:val="single" w:sz="24" w:space="0" w:color="B91C1C"/>
              <w:top w:val="single" w:sz="4" w:space="0" w:color="FECACA"/>
              <w:right w:val="single" w:sz="4" w:space="0" w:color="FECACA"/>
              <w:bottom w:val="single" w:sz="4" w:space="0" w:color="FECACA"/>
            </w:tcBorders>
          </w:tcPr>
          <w:p>
            <w:pPr>
              <w:spacing w:before="0" w:after="30"/>
            </w:pPr>
            <w:r>
              <w:rPr>
                <w:rFonts w:ascii="Arial" w:hAnsi="Arial"/>
                <w:b/>
                <w:color w:val="B91C1C"/>
                <w:sz w:val="16"/>
              </w:rPr>
              <w:t>CRITICAL JURISDICTION CLAUSE — TVS CERTIFIED MADHAVARAM OFFICE, CHENNAI</w:t>
            </w:r>
          </w:p>
          <w:p>
            <w:pPr>
              <w:spacing w:before="0" w:after="40" w:line="264" w:lineRule="auto"/>
            </w:pPr>
            <w:r>
              <w:rPr>
                <w:rFonts w:ascii="Arial" w:hAnsi="Arial"/>
                <w:color w:val="0F172A"/>
                <w:sz w:val="15"/>
              </w:rPr>
              <w:t xml:space="preserve">In case of any conflicts, disputes, differences, controversies, scoring grievances, eligibility claims, or interpretation questions arising out of or in connection with the TVS Certified Dealer Super Cup, the matter shall be strictly referred to and subjected exclusively to the administrative governance, review, and final decision of the </w:t>
            </w:r>
            <w:r>
              <w:rPr>
                <w:rFonts w:ascii="Arial" w:hAnsi="Arial"/>
                <w:b/>
                <w:color w:val="1E3A8A"/>
                <w:sz w:val="15"/>
              </w:rPr>
              <w:t>TVS CERTIFIED MADHAVARAM OFFICE, CHENNAI</w:t>
            </w:r>
            <w:r>
              <w:rPr>
                <w:rFonts w:ascii="Arial" w:hAnsi="Arial"/>
                <w:color w:val="0F172A"/>
                <w:sz w:val="15"/>
              </w:rPr>
              <w:t>. The audit trail of the central TVS telemetry engine shall be final, and determinations issued by the TVS Certified Madhavaram Office, Chennai shall be conclusive, final, and legally binding across all participating dealerships.</w:t>
            </w:r>
          </w:p>
          <w:p>
            <w:pPr>
              <w:spacing w:before="20" w:after="0"/>
            </w:pPr>
            <w:r>
              <w:rPr>
                <w:rFonts w:ascii="Arial" w:hAnsi="Arial"/>
                <w:i/>
                <w:color w:val="64748B"/>
                <w:sz w:val="13"/>
              </w:rPr>
              <w:t>Designated Escalation Office: TVS Certified — Madhavaram Regional Hub, Madhavaram, Chennai, Tamil Nadu, India. Written notice window: within [X] business days of affected match session.</w:t>
            </w:r>
          </w:p>
        </w:tc>
      </w:tr>
    </w:tbl>
    <w:sectPr w:rsidR="00FC693F" w:rsidRPr="0006063C" w:rsidSect="00034616">
      <w:footerReference w:type="default" r:id="rId9"/>
      <w:pgSz w:w="11909" w:h="16834"/>
      <w:pgMar w:top="605" w:right="720" w:bottom="605"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4"/>
      </w:rPr>
      <w:t>TVS Certified Dealer Super Cup • Official Participation Rules • Exclusive Jurisdiction: Madhavaram Office, Chennai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