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066" w14:textId="69C03C8E" w:rsidR="00C057C0" w:rsidRPr="008E21B1" w:rsidRDefault="00917BA1" w:rsidP="00C057C0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2F90C66" wp14:editId="575D93A6">
            <wp:extent cx="3594100" cy="765175"/>
            <wp:effectExtent l="0" t="0" r="6350" b="0"/>
            <wp:docPr id="2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286" w14:textId="12257201" w:rsidR="00C057C0" w:rsidRDefault="00917BA1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7C0">
        <w:rPr>
          <w:rFonts w:ascii="Times New Roman" w:hAnsi="Times New Roman" w:cs="Times New Roman"/>
          <w:b/>
          <w:bCs/>
          <w:sz w:val="32"/>
          <w:szCs w:val="32"/>
        </w:rPr>
        <w:t>LITERATURE DOCUMENTS</w:t>
      </w:r>
    </w:p>
    <w:p w14:paraId="290AEF5F" w14:textId="77777777" w:rsidR="00C057C0" w:rsidRPr="00C057C0" w:rsidRDefault="00C057C0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64078" w14:textId="3D386C0F" w:rsidR="00AC63D7" w:rsidRDefault="00917BA1">
      <w:pPr>
        <w:rPr>
          <w:rFonts w:ascii="Times New Roman" w:hAnsi="Times New Roman" w:cs="Times New Roman"/>
        </w:rPr>
      </w:pPr>
      <w:r w:rsidRPr="00917BA1">
        <w:rPr>
          <w:rFonts w:ascii="Times New Roman" w:hAnsi="Times New Roman" w:cs="Times New Roman"/>
          <w:b/>
          <w:bCs/>
          <w:sz w:val="32"/>
          <w:szCs w:val="32"/>
        </w:rPr>
        <w:t>Team No:</w:t>
      </w:r>
      <w:r w:rsidRPr="00917BA1">
        <w:rPr>
          <w:rFonts w:ascii="Times New Roman" w:hAnsi="Times New Roman" w:cs="Times New Roman"/>
          <w:sz w:val="32"/>
          <w:szCs w:val="32"/>
        </w:rPr>
        <w:t xml:space="preserve"> 1</w:t>
      </w:r>
      <w:r w:rsidR="001118A3">
        <w:rPr>
          <w:rFonts w:ascii="Times New Roman" w:hAnsi="Times New Roman" w:cs="Times New Roman"/>
          <w:sz w:val="32"/>
          <w:szCs w:val="32"/>
        </w:rPr>
        <w:t>6</w:t>
      </w:r>
    </w:p>
    <w:p w14:paraId="476AE9D8" w14:textId="42F918C4" w:rsidR="00C057C0" w:rsidRDefault="00917BA1">
      <w:pPr>
        <w:rPr>
          <w:rFonts w:ascii="Times New Roman" w:hAnsi="Times New Roman" w:cs="Times New Roman"/>
          <w:sz w:val="32"/>
          <w:szCs w:val="32"/>
        </w:rPr>
      </w:pPr>
      <w:r w:rsidRPr="00917BA1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>
        <w:rPr>
          <w:rFonts w:ascii="Times New Roman" w:hAnsi="Times New Roman" w:cs="Times New Roman"/>
        </w:rPr>
        <w:t xml:space="preserve"> </w:t>
      </w:r>
      <w:r w:rsidR="00D85BD7">
        <w:rPr>
          <w:rFonts w:ascii="Times New Roman" w:hAnsi="Times New Roman" w:cs="Times New Roman"/>
          <w:sz w:val="32"/>
          <w:szCs w:val="32"/>
        </w:rPr>
        <w:t>AUTOMATIC TIMETABLE GENERATION</w:t>
      </w:r>
    </w:p>
    <w:p w14:paraId="498761D0" w14:textId="77777777" w:rsidR="00C057C0" w:rsidRPr="00C057C0" w:rsidRDefault="00C057C0" w:rsidP="00FF2A98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445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84"/>
        <w:gridCol w:w="1569"/>
        <w:gridCol w:w="2772"/>
        <w:gridCol w:w="2070"/>
        <w:gridCol w:w="2250"/>
      </w:tblGrid>
      <w:tr w:rsidR="002658DA" w:rsidRPr="00942AF2" w14:paraId="137B0086" w14:textId="77777777" w:rsidTr="00FF2A98">
        <w:trPr>
          <w:trHeight w:val="502"/>
          <w:jc w:val="center"/>
        </w:trPr>
        <w:tc>
          <w:tcPr>
            <w:tcW w:w="784" w:type="dxa"/>
            <w:vAlign w:val="center"/>
          </w:tcPr>
          <w:p w14:paraId="0BD121FD" w14:textId="12CEA023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569" w:type="dxa"/>
            <w:vAlign w:val="center"/>
          </w:tcPr>
          <w:p w14:paraId="5150419A" w14:textId="5C3DED0E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2772" w:type="dxa"/>
            <w:vAlign w:val="center"/>
          </w:tcPr>
          <w:p w14:paraId="0EF1949B" w14:textId="4EBC276C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070" w:type="dxa"/>
            <w:vAlign w:val="center"/>
          </w:tcPr>
          <w:p w14:paraId="64DEB8C0" w14:textId="03CFD4D5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250" w:type="dxa"/>
            <w:vAlign w:val="center"/>
          </w:tcPr>
          <w:p w14:paraId="4F6291AA" w14:textId="3063EF9C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Disadvantages</w:t>
            </w:r>
          </w:p>
        </w:tc>
      </w:tr>
      <w:tr w:rsidR="002658DA" w:rsidRPr="00942AF2" w14:paraId="33467BB0" w14:textId="77777777" w:rsidTr="00FF2A98">
        <w:trPr>
          <w:trHeight w:val="2764"/>
          <w:jc w:val="center"/>
        </w:trPr>
        <w:tc>
          <w:tcPr>
            <w:tcW w:w="784" w:type="dxa"/>
            <w:vAlign w:val="center"/>
          </w:tcPr>
          <w:p w14:paraId="4A6E045F" w14:textId="6708F040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9" w:type="dxa"/>
            <w:vAlign w:val="center"/>
          </w:tcPr>
          <w:p w14:paraId="53AA2757" w14:textId="3749D2AB" w:rsidR="00AA6DD0" w:rsidRDefault="00AA6DD0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Esraa A. </w:t>
            </w:r>
          </w:p>
          <w:p w14:paraId="70CFDF61" w14:textId="0567C6CD" w:rsidR="00942AF2" w:rsidRPr="00942AF2" w:rsidRDefault="001118A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8A3">
              <w:rPr>
                <w:rFonts w:ascii="Times New Roman" w:hAnsi="Times New Roman" w:cs="Times New Roman"/>
                <w:sz w:val="28"/>
                <w:szCs w:val="28"/>
              </w:rPr>
              <w:t xml:space="preserve">Abdelhalim and </w:t>
            </w:r>
            <w:r w:rsidR="00AA6DD0">
              <w:rPr>
                <w:rFonts w:ascii="Times New Roman" w:hAnsi="Times New Roman" w:cs="Times New Roman"/>
                <w:sz w:val="28"/>
                <w:szCs w:val="28"/>
              </w:rPr>
              <w:t xml:space="preserve">Ghada </w:t>
            </w:r>
            <w:proofErr w:type="spellStart"/>
            <w:proofErr w:type="gramStart"/>
            <w:r w:rsidR="00AA6DD0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Pr="001118A3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  <w:proofErr w:type="gramEnd"/>
            <w:r w:rsidR="00AA6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18A3">
              <w:rPr>
                <w:rFonts w:ascii="Times New Roman" w:hAnsi="Times New Roman" w:cs="Times New Roman"/>
                <w:sz w:val="28"/>
                <w:szCs w:val="28"/>
              </w:rPr>
              <w:t>Khayat</w:t>
            </w:r>
          </w:p>
        </w:tc>
        <w:tc>
          <w:tcPr>
            <w:tcW w:w="2772" w:type="dxa"/>
          </w:tcPr>
          <w:p w14:paraId="6B04B980" w14:textId="0595BB7F" w:rsidR="00512743" w:rsidRPr="00512743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Population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Generation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9674EA2" w14:textId="1EE74EA6" w:rsidR="00512743" w:rsidRPr="00512743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 xml:space="preserve">Fitness </w:t>
            </w:r>
            <w:proofErr w:type="gramStart"/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94D6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 w:rsidR="00094D6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Crossover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F841F19" w14:textId="07D3AF7E" w:rsidR="00512743" w:rsidRPr="00512743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Mutation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Elitism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1B9901C" w14:textId="7B04E36D" w:rsidR="00942AF2" w:rsidRPr="00942AF2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Termination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  <w:vAlign w:val="center"/>
          </w:tcPr>
          <w:p w14:paraId="5B4D292E" w14:textId="21C49370" w:rsidR="00A85C47" w:rsidRPr="00094D6F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12743" w:rsidRPr="00094D6F">
              <w:rPr>
                <w:rFonts w:ascii="Times New Roman" w:hAnsi="Times New Roman" w:cs="Times New Roman"/>
                <w:sz w:val="28"/>
                <w:szCs w:val="28"/>
              </w:rPr>
              <w:t>Maximizes resource utilization for efficient scheduling.</w:t>
            </w:r>
          </w:p>
          <w:p w14:paraId="76DA7662" w14:textId="6307BB20" w:rsidR="00512743" w:rsidRPr="00094D6F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12743" w:rsidRPr="00094D6F">
              <w:rPr>
                <w:rFonts w:ascii="Times New Roman" w:hAnsi="Times New Roman" w:cs="Times New Roman"/>
                <w:sz w:val="28"/>
                <w:szCs w:val="28"/>
              </w:rPr>
              <w:t>Effectively manages various timetabling constraints.</w:t>
            </w:r>
          </w:p>
        </w:tc>
        <w:tc>
          <w:tcPr>
            <w:tcW w:w="2250" w:type="dxa"/>
            <w:vAlign w:val="center"/>
          </w:tcPr>
          <w:p w14:paraId="39E84DCF" w14:textId="3410F7EF" w:rsidR="00A85C47" w:rsidRPr="00094D6F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12743" w:rsidRPr="00094D6F">
              <w:rPr>
                <w:rFonts w:ascii="Times New Roman" w:hAnsi="Times New Roman" w:cs="Times New Roman"/>
                <w:sz w:val="28"/>
                <w:szCs w:val="28"/>
              </w:rPr>
              <w:t>High computational requirements, especially for large datasets.</w:t>
            </w:r>
          </w:p>
          <w:p w14:paraId="35FC8351" w14:textId="4301C32E" w:rsidR="00512743" w:rsidRPr="00094D6F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512743" w:rsidRPr="00094D6F">
              <w:rPr>
                <w:rFonts w:ascii="Times New Roman" w:hAnsi="Times New Roman" w:cs="Times New Roman"/>
                <w:sz w:val="28"/>
                <w:szCs w:val="28"/>
              </w:rPr>
              <w:t>Effectiveness depends on tuning crossover and mutation rates</w:t>
            </w:r>
          </w:p>
        </w:tc>
      </w:tr>
      <w:tr w:rsidR="002658DA" w:rsidRPr="00942AF2" w14:paraId="71C76EA4" w14:textId="77777777" w:rsidTr="00FF2A98">
        <w:trPr>
          <w:trHeight w:val="2637"/>
          <w:jc w:val="center"/>
        </w:trPr>
        <w:tc>
          <w:tcPr>
            <w:tcW w:w="784" w:type="dxa"/>
            <w:vAlign w:val="center"/>
          </w:tcPr>
          <w:p w14:paraId="1E007694" w14:textId="5CF5C67A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9" w:type="dxa"/>
            <w:vAlign w:val="center"/>
          </w:tcPr>
          <w:p w14:paraId="3203F0CC" w14:textId="3B8CAC82" w:rsidR="00942AF2" w:rsidRPr="00942AF2" w:rsidRDefault="00AA6DD0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6DD0">
              <w:rPr>
                <w:rFonts w:ascii="Times New Roman" w:hAnsi="Times New Roman" w:cs="Times New Roman"/>
                <w:sz w:val="28"/>
                <w:szCs w:val="28"/>
              </w:rPr>
              <w:t xml:space="preserve">Meysam </w:t>
            </w:r>
            <w:proofErr w:type="spellStart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>Shahvali</w:t>
            </w:r>
            <w:proofErr w:type="spellEnd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>Kohshori</w:t>
            </w:r>
            <w:proofErr w:type="spellEnd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 xml:space="preserve"> and Mohammad </w:t>
            </w:r>
            <w:proofErr w:type="spellStart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>Saniee</w:t>
            </w:r>
            <w:proofErr w:type="spellEnd"/>
            <w:r w:rsidRPr="00AA6DD0">
              <w:rPr>
                <w:rFonts w:ascii="Times New Roman" w:hAnsi="Times New Roman" w:cs="Times New Roman"/>
                <w:sz w:val="28"/>
                <w:szCs w:val="28"/>
              </w:rPr>
              <w:t xml:space="preserve"> Abadeh</w:t>
            </w:r>
          </w:p>
        </w:tc>
        <w:tc>
          <w:tcPr>
            <w:tcW w:w="2772" w:type="dxa"/>
          </w:tcPr>
          <w:p w14:paraId="75D7F13D" w14:textId="77777777" w:rsidR="002658DA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Problem Encoding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Initial Population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Crossover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Mutation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F3BDFD7" w14:textId="77777777" w:rsidR="002658DA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HybridFeat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  <w:proofErr w:type="spellEnd"/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C397E20" w14:textId="6F57E114" w:rsidR="00942AF2" w:rsidRPr="00942AF2" w:rsidRDefault="00512743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743">
              <w:rPr>
                <w:rFonts w:ascii="Times New Roman" w:hAnsi="Times New Roman" w:cs="Times New Roman"/>
                <w:sz w:val="28"/>
                <w:szCs w:val="28"/>
              </w:rPr>
              <w:t>Termination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14:paraId="42221246" w14:textId="4639EFA0" w:rsidR="00C057C0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Hybrid features accelerate convergence and enhance solution quality.</w:t>
            </w:r>
          </w:p>
          <w:p w14:paraId="24A87E6C" w14:textId="2B60A60C" w:rsidR="00D85BD7" w:rsidRPr="00942AF2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Diverse crossover and mutation operators explore varied solution spaces</w:t>
            </w:r>
          </w:p>
        </w:tc>
        <w:tc>
          <w:tcPr>
            <w:tcW w:w="2250" w:type="dxa"/>
            <w:vAlign w:val="center"/>
          </w:tcPr>
          <w:p w14:paraId="3033D586" w14:textId="5D339473" w:rsidR="00C057C0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GAs can be computationally expensive, especially for complex constraints.</w:t>
            </w:r>
          </w:p>
          <w:p w14:paraId="6F06C52E" w14:textId="1E853F70" w:rsidR="00D85BD7" w:rsidRPr="00942AF2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Effectiveness depends on tuning parameters, which can be time-consuming.</w:t>
            </w:r>
          </w:p>
        </w:tc>
      </w:tr>
      <w:tr w:rsidR="002658DA" w:rsidRPr="00942AF2" w14:paraId="5E769BA7" w14:textId="77777777" w:rsidTr="00FF2A98">
        <w:trPr>
          <w:trHeight w:val="2805"/>
          <w:jc w:val="center"/>
        </w:trPr>
        <w:tc>
          <w:tcPr>
            <w:tcW w:w="784" w:type="dxa"/>
            <w:vAlign w:val="center"/>
          </w:tcPr>
          <w:p w14:paraId="147CF55F" w14:textId="5BCC207E" w:rsidR="00942AF2" w:rsidRPr="00942AF2" w:rsidRDefault="00942AF2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569" w:type="dxa"/>
            <w:vAlign w:val="center"/>
          </w:tcPr>
          <w:p w14:paraId="0AEC9061" w14:textId="3D4945EE" w:rsidR="00942AF2" w:rsidRPr="00942AF2" w:rsidRDefault="00D85BD7" w:rsidP="00FF2A98">
            <w:pPr>
              <w:shd w:val="clear" w:color="auto" w:fill="FFFFFF"/>
              <w:spacing w:line="45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BD7">
              <w:rPr>
                <w:rFonts w:ascii="Times New Roman" w:hAnsi="Times New Roman" w:cs="Times New Roman"/>
                <w:sz w:val="28"/>
                <w:szCs w:val="28"/>
              </w:rPr>
              <w:t xml:space="preserve">Mrunmayee V. Rane; Vikram M. Apte; Vishakha N. </w:t>
            </w:r>
            <w:proofErr w:type="spellStart"/>
            <w:r w:rsidRPr="00D85BD7">
              <w:rPr>
                <w:rFonts w:ascii="Times New Roman" w:hAnsi="Times New Roman" w:cs="Times New Roman"/>
                <w:sz w:val="28"/>
                <w:szCs w:val="28"/>
              </w:rPr>
              <w:t>Nerkar</w:t>
            </w:r>
            <w:proofErr w:type="spellEnd"/>
            <w:r w:rsidRPr="00D85BD7">
              <w:rPr>
                <w:rFonts w:ascii="Times New Roman" w:hAnsi="Times New Roman" w:cs="Times New Roman"/>
                <w:sz w:val="28"/>
                <w:szCs w:val="28"/>
              </w:rPr>
              <w:t>; Mani Roja Edinburgh; K.Y. Rajput</w:t>
            </w:r>
          </w:p>
        </w:tc>
        <w:tc>
          <w:tcPr>
            <w:tcW w:w="2772" w:type="dxa"/>
          </w:tcPr>
          <w:p w14:paraId="06FCFD90" w14:textId="0B84755E" w:rsidR="00D85BD7" w:rsidRPr="00D85BD7" w:rsidRDefault="00D85BD7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BD7">
              <w:rPr>
                <w:rFonts w:ascii="Times New Roman" w:hAnsi="Times New Roman" w:cs="Times New Roman"/>
                <w:sz w:val="28"/>
                <w:szCs w:val="28"/>
              </w:rPr>
              <w:t>Input Module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298367C" w14:textId="2AA0A147" w:rsidR="00D85BD7" w:rsidRPr="00D85BD7" w:rsidRDefault="00D85BD7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BD7">
              <w:rPr>
                <w:rFonts w:ascii="Times New Roman" w:hAnsi="Times New Roman" w:cs="Times New Roman"/>
                <w:sz w:val="28"/>
                <w:szCs w:val="28"/>
              </w:rPr>
              <w:t>Operational Module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06B8406" w14:textId="1962B6A0" w:rsidR="00942AF2" w:rsidRPr="00942AF2" w:rsidRDefault="00D85BD7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5BD7">
              <w:rPr>
                <w:rFonts w:ascii="Times New Roman" w:hAnsi="Times New Roman" w:cs="Times New Roman"/>
                <w:sz w:val="28"/>
                <w:szCs w:val="28"/>
              </w:rPr>
              <w:t>Display Module</w:t>
            </w:r>
            <w:r w:rsidR="00265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14:paraId="089C4130" w14:textId="3E5D6916" w:rsidR="00D85BD7" w:rsidRPr="00D85BD7" w:rsidRDefault="00B51064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System ensures efficient resource allocation with more optimized and accurate timetables.</w:t>
            </w:r>
          </w:p>
          <w:p w14:paraId="6D7D95B1" w14:textId="605AB312" w:rsidR="00D85BD7" w:rsidRPr="00D85BD7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 xml:space="preserve"> Saves administrators significant time, allowing focus on more productive tasks.</w:t>
            </w:r>
          </w:p>
          <w:p w14:paraId="27B4A928" w14:textId="210FF3A9" w:rsidR="00C057C0" w:rsidRPr="00942AF2" w:rsidRDefault="00C057C0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82A84B0" w14:textId="28787709" w:rsidR="00D85BD7" w:rsidRPr="00D85BD7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Algorithm complexity (cube root of n) may challenge computational resources for larger datasets or real-time adjustments.</w:t>
            </w:r>
          </w:p>
          <w:p w14:paraId="58CA283D" w14:textId="078A18E3" w:rsidR="00C057C0" w:rsidRPr="00942AF2" w:rsidRDefault="00094D6F" w:rsidP="00FF2A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85BD7" w:rsidRPr="00D85BD7">
              <w:rPr>
                <w:rFonts w:ascii="Times New Roman" w:hAnsi="Times New Roman" w:cs="Times New Roman"/>
                <w:sz w:val="28"/>
                <w:szCs w:val="28"/>
              </w:rPr>
              <w:t>User unfamiliarity with the system may lead to a learning curve, potentially causing initial resistance or errors during the transition.</w:t>
            </w:r>
          </w:p>
        </w:tc>
      </w:tr>
    </w:tbl>
    <w:p w14:paraId="27C05659" w14:textId="77777777" w:rsidR="00AC63D7" w:rsidRPr="00942AF2" w:rsidRDefault="00AC63D7" w:rsidP="00FF2A9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D5C1E" w14:textId="0983EA39" w:rsidR="00AC63D7" w:rsidRPr="00942AF2" w:rsidRDefault="00942A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2AF2">
        <w:rPr>
          <w:rFonts w:ascii="Times New Roman" w:hAnsi="Times New Roman" w:cs="Times New Roman"/>
          <w:b/>
          <w:bCs/>
          <w:sz w:val="32"/>
          <w:szCs w:val="32"/>
        </w:rPr>
        <w:t xml:space="preserve">References: </w:t>
      </w:r>
    </w:p>
    <w:p w14:paraId="16362DBF" w14:textId="0165DBD4" w:rsidR="00942AF2" w:rsidRPr="002221F0" w:rsidRDefault="00942AF2" w:rsidP="002221F0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942AF2">
        <w:rPr>
          <w:rFonts w:ascii="Times New Roman" w:hAnsi="Times New Roman" w:cs="Times New Roman"/>
          <w:sz w:val="24"/>
          <w:szCs w:val="24"/>
        </w:rPr>
        <w:t xml:space="preserve">[1] </w:t>
      </w:r>
      <w:r w:rsidR="002221F0" w:rsidRPr="002221F0">
        <w:rPr>
          <w:rFonts w:ascii="Times New Roman" w:hAnsi="Times New Roman" w:cs="Times New Roman"/>
          <w:sz w:val="24"/>
          <w:szCs w:val="24"/>
        </w:rPr>
        <w:t>A Utilization-based Genetic Algorithm for Solving the University Timetabling Problem (UGA)</w:t>
      </w:r>
      <w:r w:rsidR="002221F0">
        <w:rPr>
          <w:rFonts w:ascii="Times New Roman" w:hAnsi="Times New Roman" w:cs="Times New Roman"/>
          <w:sz w:val="24"/>
          <w:szCs w:val="24"/>
        </w:rPr>
        <w:t xml:space="preserve"> by </w:t>
      </w:r>
      <w:r w:rsidR="002221F0" w:rsidRPr="002221F0">
        <w:rPr>
          <w:rFonts w:ascii="Times New Roman" w:hAnsi="Times New Roman" w:cs="Times New Roman"/>
          <w:sz w:val="24"/>
          <w:szCs w:val="24"/>
        </w:rPr>
        <w:t>Esraa A. Abdelhalim, Ghada A. El Khayat</w:t>
      </w:r>
      <w:r w:rsidR="002221F0">
        <w:rPr>
          <w:rFonts w:ascii="Times New Roman" w:hAnsi="Times New Roman" w:cs="Times New Roman"/>
          <w:sz w:val="24"/>
          <w:szCs w:val="24"/>
        </w:rPr>
        <w:t xml:space="preserve">, </w:t>
      </w:r>
      <w:r w:rsidR="002221F0" w:rsidRPr="002221F0">
        <w:rPr>
          <w:rFonts w:ascii="Times New Roman" w:hAnsi="Times New Roman" w:cs="Times New Roman"/>
          <w:sz w:val="24"/>
          <w:szCs w:val="24"/>
        </w:rPr>
        <w:t>Information Systems and Computers Department, Faculty of Commerce, Alexandria University, Alexandria, Egypt</w:t>
      </w:r>
      <w:r w:rsidR="002221F0">
        <w:rPr>
          <w:rFonts w:ascii="Times New Roman" w:hAnsi="Times New Roman" w:cs="Times New Roman"/>
          <w:sz w:val="24"/>
          <w:szCs w:val="24"/>
        </w:rPr>
        <w:t xml:space="preserve">, </w:t>
      </w:r>
      <w:r w:rsidR="002221F0" w:rsidRPr="002221F0">
        <w:rPr>
          <w:rFonts w:ascii="Times New Roman" w:hAnsi="Times New Roman" w:cs="Times New Roman"/>
          <w:sz w:val="24"/>
          <w:szCs w:val="24"/>
        </w:rPr>
        <w:t xml:space="preserve">Received 6 September 2014, Revised 10 February 2016, Accepted 20 February </w:t>
      </w:r>
      <w:proofErr w:type="gramStart"/>
      <w:r w:rsidR="002221F0" w:rsidRPr="002221F0">
        <w:rPr>
          <w:rFonts w:ascii="Times New Roman" w:hAnsi="Times New Roman" w:cs="Times New Roman"/>
          <w:sz w:val="24"/>
          <w:szCs w:val="24"/>
        </w:rPr>
        <w:t>2016,  Version</w:t>
      </w:r>
      <w:proofErr w:type="gramEnd"/>
      <w:r w:rsidR="002221F0" w:rsidRPr="002221F0">
        <w:rPr>
          <w:rFonts w:ascii="Times New Roman" w:hAnsi="Times New Roman" w:cs="Times New Roman"/>
          <w:sz w:val="24"/>
          <w:szCs w:val="24"/>
        </w:rPr>
        <w:t xml:space="preserve"> of Record 25 June 2016.</w:t>
      </w:r>
    </w:p>
    <w:p w14:paraId="3E9D5DEC" w14:textId="488C55C7" w:rsidR="00B361B3" w:rsidRPr="00B216C0" w:rsidRDefault="00942AF2" w:rsidP="00B216C0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942AF2">
        <w:rPr>
          <w:rFonts w:ascii="Times New Roman" w:hAnsi="Times New Roman" w:cs="Times New Roman"/>
          <w:sz w:val="24"/>
          <w:szCs w:val="24"/>
        </w:rPr>
        <w:t xml:space="preserve">[2] </w:t>
      </w:r>
      <w:r w:rsidR="00B216C0" w:rsidRPr="00B216C0">
        <w:rPr>
          <w:rFonts w:ascii="Times New Roman" w:hAnsi="Times New Roman" w:cs="Times New Roman"/>
          <w:sz w:val="24"/>
          <w:szCs w:val="24"/>
        </w:rPr>
        <w:t>Hybrid Genetic Algorithms for University Course Timetabling</w:t>
      </w:r>
      <w:r w:rsidR="00B216C0">
        <w:rPr>
          <w:rFonts w:ascii="Times New Roman" w:hAnsi="Times New Roman" w:cs="Times New Roman"/>
          <w:sz w:val="24"/>
          <w:szCs w:val="24"/>
        </w:rPr>
        <w:t xml:space="preserve">, </w:t>
      </w:r>
      <w:r w:rsidR="00B216C0" w:rsidRPr="00B216C0">
        <w:rPr>
          <w:rFonts w:ascii="Times New Roman" w:hAnsi="Times New Roman" w:cs="Times New Roman"/>
          <w:sz w:val="24"/>
          <w:szCs w:val="24"/>
        </w:rPr>
        <w:t xml:space="preserve">March </w:t>
      </w:r>
      <w:proofErr w:type="gramStart"/>
      <w:r w:rsidR="00B216C0" w:rsidRPr="00B216C0">
        <w:rPr>
          <w:rFonts w:ascii="Times New Roman" w:hAnsi="Times New Roman" w:cs="Times New Roman"/>
          <w:sz w:val="24"/>
          <w:szCs w:val="24"/>
        </w:rPr>
        <w:t>2012</w:t>
      </w:r>
      <w:r w:rsidR="00B216C0">
        <w:rPr>
          <w:rFonts w:ascii="Times New Roman" w:hAnsi="Times New Roman" w:cs="Times New Roman"/>
          <w:sz w:val="24"/>
          <w:szCs w:val="24"/>
        </w:rPr>
        <w:t>,</w:t>
      </w:r>
      <w:r w:rsidR="00B216C0" w:rsidRPr="00B216C0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="00B216C0" w:rsidRPr="00B216C0">
        <w:rPr>
          <w:rFonts w:ascii="Times New Roman" w:hAnsi="Times New Roman" w:cs="Times New Roman"/>
          <w:sz w:val="24"/>
          <w:szCs w:val="24"/>
        </w:rPr>
        <w:t xml:space="preserve"> Journal of Computer Science Issues 9(2)</w:t>
      </w:r>
      <w:r w:rsidR="00B216C0">
        <w:rPr>
          <w:rFonts w:ascii="Times New Roman" w:hAnsi="Times New Roman" w:cs="Times New Roman"/>
          <w:sz w:val="24"/>
          <w:szCs w:val="24"/>
        </w:rPr>
        <w:t xml:space="preserve"> by </w:t>
      </w:r>
      <w:r w:rsidR="00B216C0" w:rsidRPr="00B216C0">
        <w:rPr>
          <w:rFonts w:ascii="Times New Roman" w:hAnsi="Times New Roman" w:cs="Times New Roman"/>
          <w:sz w:val="24"/>
          <w:szCs w:val="24"/>
        </w:rPr>
        <w:t xml:space="preserve">Meysam </w:t>
      </w:r>
      <w:proofErr w:type="spellStart"/>
      <w:r w:rsidR="00B216C0" w:rsidRPr="00B216C0">
        <w:rPr>
          <w:rFonts w:ascii="Times New Roman" w:hAnsi="Times New Roman" w:cs="Times New Roman"/>
          <w:sz w:val="24"/>
          <w:szCs w:val="24"/>
        </w:rPr>
        <w:t>Shahvali</w:t>
      </w:r>
      <w:proofErr w:type="spellEnd"/>
      <w:r w:rsidR="00B216C0" w:rsidRPr="00B21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6C0" w:rsidRPr="00B216C0">
        <w:rPr>
          <w:rFonts w:ascii="Times New Roman" w:hAnsi="Times New Roman" w:cs="Times New Roman"/>
          <w:sz w:val="24"/>
          <w:szCs w:val="24"/>
        </w:rPr>
        <w:t>Kohshori</w:t>
      </w:r>
      <w:proofErr w:type="spellEnd"/>
      <w:r w:rsidR="00B216C0">
        <w:rPr>
          <w:rFonts w:ascii="Times New Roman" w:hAnsi="Times New Roman" w:cs="Times New Roman"/>
          <w:sz w:val="24"/>
          <w:szCs w:val="24"/>
        </w:rPr>
        <w:t xml:space="preserve"> and </w:t>
      </w:r>
      <w:r w:rsidR="00B216C0" w:rsidRPr="00B216C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="00B216C0" w:rsidRPr="00B216C0">
        <w:rPr>
          <w:rFonts w:ascii="Times New Roman" w:hAnsi="Times New Roman" w:cs="Times New Roman"/>
          <w:sz w:val="24"/>
          <w:szCs w:val="24"/>
        </w:rPr>
        <w:t>Saniee</w:t>
      </w:r>
      <w:proofErr w:type="spellEnd"/>
      <w:r w:rsidR="00B216C0" w:rsidRPr="00B216C0">
        <w:rPr>
          <w:rFonts w:ascii="Times New Roman" w:hAnsi="Times New Roman" w:cs="Times New Roman"/>
          <w:sz w:val="24"/>
          <w:szCs w:val="24"/>
        </w:rPr>
        <w:t xml:space="preserve"> Abadeh</w:t>
      </w:r>
      <w:r w:rsidR="00B216C0">
        <w:rPr>
          <w:rFonts w:ascii="Times New Roman" w:hAnsi="Times New Roman" w:cs="Times New Roman"/>
          <w:sz w:val="24"/>
          <w:szCs w:val="24"/>
        </w:rPr>
        <w:t>.</w:t>
      </w:r>
    </w:p>
    <w:p w14:paraId="206694B5" w14:textId="4A8E8E04" w:rsidR="00942AF2" w:rsidRPr="00B361B3" w:rsidRDefault="00942AF2" w:rsidP="00B361B3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B361B3">
        <w:rPr>
          <w:rFonts w:ascii="Times New Roman" w:hAnsi="Times New Roman" w:cs="Times New Roman"/>
          <w:sz w:val="24"/>
          <w:szCs w:val="24"/>
        </w:rPr>
        <w:t>[3]</w:t>
      </w:r>
      <w:r w:rsidR="00B361B3" w:rsidRPr="00B361B3">
        <w:t xml:space="preserve"> </w:t>
      </w:r>
      <w:r w:rsidR="00B361B3" w:rsidRPr="00B361B3">
        <w:rPr>
          <w:rFonts w:ascii="Times New Roman" w:hAnsi="Times New Roman" w:cs="Times New Roman"/>
          <w:sz w:val="24"/>
          <w:szCs w:val="24"/>
        </w:rPr>
        <w:t xml:space="preserve">Automatic Timetabling System for University Course” by Mrunmayee V. Rane, Vikram M. Apte, Vishakha N. </w:t>
      </w:r>
      <w:proofErr w:type="spellStart"/>
      <w:r w:rsidR="00B361B3" w:rsidRPr="00B361B3">
        <w:rPr>
          <w:rFonts w:ascii="Times New Roman" w:hAnsi="Times New Roman" w:cs="Times New Roman"/>
          <w:sz w:val="24"/>
          <w:szCs w:val="24"/>
        </w:rPr>
        <w:t>Nerkar</w:t>
      </w:r>
      <w:proofErr w:type="spellEnd"/>
      <w:r w:rsidR="00B361B3" w:rsidRPr="00B361B3">
        <w:rPr>
          <w:rFonts w:ascii="Times New Roman" w:hAnsi="Times New Roman" w:cs="Times New Roman"/>
          <w:sz w:val="24"/>
          <w:szCs w:val="24"/>
        </w:rPr>
        <w:t xml:space="preserve">, Mani Roja Edinburgh, K.Y. Rajput published in 2021 International Conference on Emerging Smart Computing and Informatics (ESCI) AISSMS Institute of Information Technology, Pune, India.  </w:t>
      </w:r>
    </w:p>
    <w:p w14:paraId="47464749" w14:textId="77777777" w:rsidR="00AC63D7" w:rsidRPr="008E21B1" w:rsidRDefault="00AC63D7">
      <w:pPr>
        <w:rPr>
          <w:rFonts w:ascii="Bookman Old Style" w:hAnsi="Bookman Old Style"/>
        </w:rPr>
      </w:pPr>
    </w:p>
    <w:tbl>
      <w:tblPr>
        <w:tblW w:w="7556" w:type="dxa"/>
        <w:tblLook w:val="04A0" w:firstRow="1" w:lastRow="0" w:firstColumn="1" w:lastColumn="0" w:noHBand="0" w:noVBand="1"/>
      </w:tblPr>
      <w:tblGrid>
        <w:gridCol w:w="7556"/>
      </w:tblGrid>
      <w:tr w:rsidR="00FF4D6D" w:rsidRPr="008E21B1" w14:paraId="2302A176" w14:textId="77777777" w:rsidTr="00917BA1">
        <w:trPr>
          <w:trHeight w:val="157"/>
        </w:trPr>
        <w:tc>
          <w:tcPr>
            <w:tcW w:w="7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D8E6" w14:textId="77777777" w:rsidR="00FF4D6D" w:rsidRPr="008E21B1" w:rsidRDefault="00FF4D6D" w:rsidP="00223942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</w:tbl>
    <w:p w14:paraId="36F8DE4B" w14:textId="77777777" w:rsidR="00AC63D7" w:rsidRPr="008E21B1" w:rsidRDefault="00AC63D7">
      <w:pPr>
        <w:rPr>
          <w:rFonts w:ascii="Bookman Old Style" w:hAnsi="Bookman Old Style"/>
        </w:rPr>
      </w:pPr>
    </w:p>
    <w:p w14:paraId="38CC441E" w14:textId="1A4B642A" w:rsidR="00FF4D6D" w:rsidRPr="008E21B1" w:rsidRDefault="00471813" w:rsidP="00917BA1">
      <w:pPr>
        <w:jc w:val="both"/>
        <w:rPr>
          <w:rFonts w:ascii="Bookman Old Style" w:hAnsi="Bookman Old Style"/>
          <w:b/>
          <w:sz w:val="32"/>
          <w:szCs w:val="32"/>
        </w:rPr>
      </w:pPr>
      <w:r w:rsidRPr="008E21B1">
        <w:rPr>
          <w:rFonts w:ascii="Bookman Old Style" w:hAnsi="Bookman Old Style"/>
          <w:sz w:val="28"/>
          <w:szCs w:val="28"/>
        </w:rPr>
        <w:t xml:space="preserve">                                 </w:t>
      </w:r>
    </w:p>
    <w:p w14:paraId="0F5DF896" w14:textId="77777777" w:rsidR="00FF4D6D" w:rsidRPr="008E21B1" w:rsidRDefault="00FF4D6D" w:rsidP="00471813">
      <w:pPr>
        <w:rPr>
          <w:rFonts w:ascii="Bookman Old Style" w:hAnsi="Bookman Old Style"/>
          <w:b/>
          <w:sz w:val="32"/>
          <w:szCs w:val="32"/>
        </w:rPr>
      </w:pPr>
    </w:p>
    <w:sectPr w:rsidR="00FF4D6D" w:rsidRPr="008E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6D2"/>
    <w:multiLevelType w:val="hybridMultilevel"/>
    <w:tmpl w:val="1D907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7EA1"/>
    <w:multiLevelType w:val="hybridMultilevel"/>
    <w:tmpl w:val="81EE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2A28"/>
    <w:multiLevelType w:val="hybridMultilevel"/>
    <w:tmpl w:val="FE78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377DA"/>
    <w:multiLevelType w:val="hybridMultilevel"/>
    <w:tmpl w:val="8D380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B5D30"/>
    <w:multiLevelType w:val="hybridMultilevel"/>
    <w:tmpl w:val="A464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4E91"/>
    <w:multiLevelType w:val="hybridMultilevel"/>
    <w:tmpl w:val="9B0E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B5770"/>
    <w:multiLevelType w:val="hybridMultilevel"/>
    <w:tmpl w:val="68561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B4C51"/>
    <w:multiLevelType w:val="hybridMultilevel"/>
    <w:tmpl w:val="2A429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2172">
    <w:abstractNumId w:val="5"/>
  </w:num>
  <w:num w:numId="2" w16cid:durableId="2038433396">
    <w:abstractNumId w:val="2"/>
  </w:num>
  <w:num w:numId="3" w16cid:durableId="1032463283">
    <w:abstractNumId w:val="3"/>
  </w:num>
  <w:num w:numId="4" w16cid:durableId="49967076">
    <w:abstractNumId w:val="4"/>
  </w:num>
  <w:num w:numId="5" w16cid:durableId="1302267287">
    <w:abstractNumId w:val="1"/>
  </w:num>
  <w:num w:numId="6" w16cid:durableId="1807965185">
    <w:abstractNumId w:val="6"/>
  </w:num>
  <w:num w:numId="7" w16cid:durableId="493298252">
    <w:abstractNumId w:val="7"/>
  </w:num>
  <w:num w:numId="8" w16cid:durableId="193963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16"/>
    <w:rsid w:val="00094D6F"/>
    <w:rsid w:val="000E1F3C"/>
    <w:rsid w:val="001118A3"/>
    <w:rsid w:val="001169F5"/>
    <w:rsid w:val="00152CBE"/>
    <w:rsid w:val="0017078A"/>
    <w:rsid w:val="001720CE"/>
    <w:rsid w:val="001C30A1"/>
    <w:rsid w:val="002221F0"/>
    <w:rsid w:val="002658DA"/>
    <w:rsid w:val="003A0585"/>
    <w:rsid w:val="00471813"/>
    <w:rsid w:val="00512743"/>
    <w:rsid w:val="00653316"/>
    <w:rsid w:val="0075126A"/>
    <w:rsid w:val="008E21B1"/>
    <w:rsid w:val="00917BA1"/>
    <w:rsid w:val="00942AF2"/>
    <w:rsid w:val="009834EC"/>
    <w:rsid w:val="00A11DB1"/>
    <w:rsid w:val="00A85C47"/>
    <w:rsid w:val="00AA6DD0"/>
    <w:rsid w:val="00AC63D7"/>
    <w:rsid w:val="00B216C0"/>
    <w:rsid w:val="00B361B3"/>
    <w:rsid w:val="00B51064"/>
    <w:rsid w:val="00BC7B05"/>
    <w:rsid w:val="00C057C0"/>
    <w:rsid w:val="00D85BD7"/>
    <w:rsid w:val="00E76202"/>
    <w:rsid w:val="00FA3BF4"/>
    <w:rsid w:val="00FC2E97"/>
    <w:rsid w:val="00FF2A98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DDCC0"/>
  <w15:chartTrackingRefBased/>
  <w15:docId w15:val="{D9C88A03-4D97-4246-BBD9-945B6A7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16"/>
  </w:style>
  <w:style w:type="paragraph" w:styleId="Heading1">
    <w:name w:val="heading 1"/>
    <w:basedOn w:val="Normal"/>
    <w:link w:val="Heading1Char"/>
    <w:uiPriority w:val="9"/>
    <w:qFormat/>
    <w:rsid w:val="0065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5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F2"/>
    <w:pPr>
      <w:spacing w:after="200" w:line="276" w:lineRule="auto"/>
      <w:ind w:left="720"/>
      <w:contextualSpacing/>
    </w:pPr>
    <w:rPr>
      <w:rFonts w:ascii="Calibri" w:eastAsia="SimSun" w:hAnsi="Calibri" w:cs="SimSun"/>
    </w:rPr>
  </w:style>
  <w:style w:type="character" w:customStyle="1" w:styleId="authors-info">
    <w:name w:val="authors-info"/>
    <w:basedOn w:val="DefaultParagraphFont"/>
    <w:rsid w:val="00D85BD7"/>
  </w:style>
  <w:style w:type="character" w:customStyle="1" w:styleId="blue-tooltip">
    <w:name w:val="blue-tooltip"/>
    <w:basedOn w:val="DefaultParagraphFont"/>
    <w:rsid w:val="00D85BD7"/>
  </w:style>
  <w:style w:type="character" w:styleId="Hyperlink">
    <w:name w:val="Hyperlink"/>
    <w:basedOn w:val="DefaultParagraphFont"/>
    <w:uiPriority w:val="99"/>
    <w:semiHidden/>
    <w:unhideWhenUsed/>
    <w:rsid w:val="00D85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PRATHIBHA NAMPALLY</cp:lastModifiedBy>
  <cp:revision>9</cp:revision>
  <dcterms:created xsi:type="dcterms:W3CDTF">2023-12-20T19:24:00Z</dcterms:created>
  <dcterms:modified xsi:type="dcterms:W3CDTF">2023-12-26T16:29:00Z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6dd467054ba55d9ea061b1b1ce6fd93230cc0934a3e205c595285713cd8548a6</vt:lpwstr>
  </property>
</Properties>
</file>