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pPr>
      <w:r>
        <w:rPr>
          <w:b/>
          <w:sz w:val="36"/>
        </w:rPr>
        <w:t>Strategic Portfolio Asset Allocation, Fixed Income Duration, and Macroeconomic Stress Testing</w:t>
      </w:r>
    </w:p>
    <w:p/>
    <w:p>
      <w:pPr>
        <w:spacing w:before="240" w:after="120"/>
      </w:pPr>
      <w:r>
        <w:rPr>
          <w:b/>
          <w:sz w:val="28"/>
          <w:color w:val="1F497D"/>
        </w:rPr>
        <w:t>Section 1: Global Macroeconomic Landscape and Multi-Asset Strategy</w:t>
      </w:r>
    </w:p>
    <w:p>
      <w:pPr>
        <w:spacing w:after="120"/>
        <w:ind w:firstLine="360"/>
      </w:pPr>
      <w:r>
        <w:rPr>
          <w:sz w:val="22"/>
        </w:rPr>
        <w:t>The strategic investment committee has conducted its comprehensive quarterly rebalancing review across global equities, sovereign debt, corporate credit, and alternative private markets. Prevailing inflationary persistence coupled with restrictive central bank interest rate trajectories has heightened duration risk and compressed equity risk premiums across developed economies.</w:t>
      </w:r>
    </w:p>
    <w:p>
      <w:pPr>
        <w:spacing w:after="120"/>
        <w:ind w:firstLine="360"/>
      </w:pPr>
      <w:r>
        <w:rPr>
          <w:sz w:val="22"/>
        </w:rPr>
        <w:t>Our asset allocation model incorporates dynamic factor tilting, balancing quality and cash-flow yield while pruning high-beta cyclical exposures vulnerable to consumer demand decelerations. The portfolio maintains a strategic 55/35/10 target split across global equities, investment-grade fixed income, and non-correlated real assets.</w:t>
      </w:r>
    </w:p>
    <w:p>
      <w:pPr>
        <w:ind w:left="720"/>
        <w:spacing w:after="60"/>
      </w:pPr>
      <w:r>
        <w:rPr>
          <w:sz w:val="22"/>
        </w:rPr>
        <w:t>• Overweight stance on US large-cap dividend aristocrats with interest coverage ratios exceeding 6.5x.</w:t>
      </w:r>
    </w:p>
    <w:p>
      <w:pPr>
        <w:ind w:left="720"/>
        <w:spacing w:after="60"/>
      </w:pPr>
      <w:r>
        <w:rPr>
          <w:sz w:val="22"/>
        </w:rPr>
        <w:t>• Underweight allocation to commercial real estate collateralized loan obligations (CRE-CLOs).</w:t>
      </w:r>
    </w:p>
    <w:p>
      <w:pPr>
        <w:ind w:left="720"/>
        <w:spacing w:after="60"/>
      </w:pPr>
      <w:r>
        <w:rPr>
          <w:sz w:val="22"/>
        </w:rPr>
        <w:t>• Targeted 7% allocation to infrastructure debt offering inflation-linked coupon escalators.</w:t>
      </w:r>
    </w:p>
    <w:p>
      <w:pPr>
        <w:spacing w:before="240" w:after="120"/>
      </w:pPr>
      <w:r>
        <w:rPr>
          <w:b/>
          <w:sz w:val="28"/>
          <w:color w:val="1F497D"/>
        </w:rPr>
        <w:t>Section 2: Fixed Income Duration, Convexity, and Credit Curve Positioning</w:t>
      </w:r>
    </w:p>
    <w:p>
      <w:pPr>
        <w:spacing w:after="120"/>
        <w:ind w:firstLine="360"/>
      </w:pPr>
      <w:r>
        <w:rPr>
          <w:sz w:val="22"/>
        </w:rPr>
        <w:t>Yield curve inversion dynamics have created historic risk-reward opportunities in front-end sovereign paper. The fixed income portfolio maintains an effective duration of 4.2 years, actively protected against steepening shocks through interest rate swaptions.</w:t>
      </w:r>
    </w:p>
    <w:p>
      <w:pPr>
        <w:spacing w:after="120"/>
        <w:ind w:firstLine="360"/>
      </w:pPr>
      <w:r>
        <w:rPr>
          <w:sz w:val="22"/>
        </w:rPr>
        <w:t>Investment-grade corporate credit spreads remain tight at 105 basis points over benchmark Treasuries. We emphasize issuer selection with strong balance sheet liquidity buffers and staggered maturity profiles extending beyond 2029 to avoid refinancing cliff risks.</w:t>
      </w:r>
    </w:p>
    <w:p>
      <w:pPr>
        <w:ind w:left="720"/>
        <w:spacing w:after="60"/>
      </w:pPr>
      <w:r>
        <w:rPr>
          <w:sz w:val="22"/>
        </w:rPr>
        <w:t>• Barbell duration strategy: 3-month Treasury bills paired with 10-year sovereign bonds.</w:t>
      </w:r>
    </w:p>
    <w:p>
      <w:pPr>
        <w:ind w:left="720"/>
        <w:spacing w:after="60"/>
      </w:pPr>
      <w:r>
        <w:rPr>
          <w:sz w:val="22"/>
        </w:rPr>
        <w:t>• Cross-currency basis swaps mitigating FX volatility on euro-denominated corporate holdings.</w:t>
      </w:r>
    </w:p>
    <w:p>
      <w:pPr>
        <w:ind w:left="720"/>
        <w:spacing w:after="60"/>
      </w:pPr>
      <w:r>
        <w:rPr>
          <w:sz w:val="22"/>
        </w:rPr>
        <w:t>• Strict minimum credit rating threshold of BBB+ for all newly originated debt instruments.</w:t>
      </w:r>
    </w:p>
    <w:p>
      <w:pPr>
        <w:spacing w:before="240" w:after="120"/>
      </w:pPr>
      <w:r>
        <w:rPr>
          <w:b/>
          <w:sz w:val="28"/>
          <w:color w:val="1F497D"/>
        </w:rPr>
        <w:t>Section 3: Liquidity Stress Testing, Value at Risk (VaR), and Scenario Modeling</w:t>
      </w:r>
    </w:p>
    <w:p>
      <w:pPr>
        <w:spacing w:after="120"/>
        <w:ind w:firstLine="360"/>
      </w:pPr>
      <w:r>
        <w:rPr>
          <w:sz w:val="22"/>
        </w:rPr>
        <w:t>Comprehensive stress testing using historical Monte Carlo simulations (10,000 iterations) indicates a 99% 10-day Value at Risk (VaR) of $14.2 million against an asset base of $420 million. Liquidity reserves currently stand at 12.8%, providing over 90 days of operational buffer without forced asset liquidation under severe market dislocations.</w:t>
      </w:r>
    </w:p>
    <w:p>
      <w:pPr>
        <w:spacing w:after="120"/>
        <w:ind w:firstLine="360"/>
      </w:pPr>
      <w:r>
        <w:rPr>
          <w:sz w:val="22"/>
        </w:rPr>
        <w:t>Scenario testing modeled a 150 bps parallel rate spike paired with a 20% equity drawdown; the defensive options overlay curtailed maximum drawdown to 6.4%, validating our hedging framework.</w:t>
      </w:r>
    </w:p>
    <w:p>
      <w:pPr>
        <w:ind w:left="720"/>
        <w:spacing w:after="60"/>
      </w:pPr>
      <w:r>
        <w:rPr>
          <w:sz w:val="22"/>
        </w:rPr>
        <w:t>• Daily collateral reconciliation for over-the-counter (OTC) derivative positions.</w:t>
      </w:r>
    </w:p>
    <w:p>
      <w:pPr>
        <w:ind w:left="720"/>
        <w:spacing w:after="60"/>
      </w:pPr>
      <w:r>
        <w:rPr>
          <w:sz w:val="22"/>
        </w:rPr>
        <w:t>• Capital adequacy ratios maintained at 240% above statutory regulatory thresholds.</w:t>
      </w:r>
    </w:p>
    <w:p>
      <w:pPr>
        <w:ind w:left="720"/>
        <w:spacing w:after="60"/>
      </w:pPr>
      <w:r>
        <w:rPr>
          <w:sz w:val="22"/>
        </w:rPr>
        <w:t>• Mandatory semi-annual audit of prime brokerage counterparty exposures.</w:t>
      </w:r>
    </w:p>
  </w:body>
</w:document>
</file>