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Comprehensive Institutional Syllabus Evaluation and Academic Competency Architecture</w:t>
      </w:r>
    </w:p>
    <w:p/>
    <w:p>
      <w:pPr>
        <w:spacing w:before="240" w:after="120"/>
      </w:pPr>
      <w:r>
        <w:rPr>
          <w:b/>
          <w:sz w:val="28"/>
          <w:color w:val="1F497D"/>
        </w:rPr>
        <w:t>Section 1: Academic Governance and Curricular Philosophy</w:t>
      </w:r>
    </w:p>
    <w:p>
      <w:pPr>
        <w:spacing w:after="120"/>
        <w:ind w:firstLine="360"/>
      </w:pPr>
      <w:r>
        <w:rPr>
          <w:sz w:val="22"/>
        </w:rPr>
        <w:t>This institutional framework establishes universal pedagogical benchmarks across multi-disciplinary undergraduate colleges. Higher education institutions face complex transitions as modern degree pathways require integrating competency-based credentials alongside conventional semester-hour metrics.</w:t>
      </w:r>
    </w:p>
    <w:p>
      <w:pPr>
        <w:spacing w:after="120"/>
        <w:ind w:firstLine="360"/>
      </w:pPr>
      <w:r>
        <w:rPr>
          <w:sz w:val="22"/>
        </w:rPr>
        <w:t>The institutional review committee evaluated 48 departmental syllabi against the regional accreditation commission standards. The findings reveal a pronounced imperative to harmonize formative milestone rubrics, ensuring instructional scaffolding aligns directly with Bloom's Revised Taxonomy across cognitive and affective domains.</w:t>
      </w:r>
    </w:p>
    <w:p>
      <w:pPr>
        <w:ind w:left="720"/>
        <w:spacing w:after="60"/>
      </w:pPr>
      <w:r>
        <w:rPr>
          <w:sz w:val="22"/>
        </w:rPr>
        <w:t>• Alignment of course learning objectives (CLOs) with programmatic learning outcomes (PLOs).</w:t>
      </w:r>
    </w:p>
    <w:p>
      <w:pPr>
        <w:ind w:left="720"/>
        <w:spacing w:after="60"/>
      </w:pPr>
      <w:r>
        <w:rPr>
          <w:sz w:val="22"/>
        </w:rPr>
        <w:t>• Establishment of standardized peer observation protocols for tenure-track faculty.</w:t>
      </w:r>
    </w:p>
    <w:p>
      <w:pPr>
        <w:ind w:left="720"/>
        <w:spacing w:after="60"/>
      </w:pPr>
      <w:r>
        <w:rPr>
          <w:sz w:val="22"/>
        </w:rPr>
        <w:t>• Implementation of digital portfolio verification across vocational and STEM modules.</w:t>
      </w:r>
    </w:p>
    <w:p>
      <w:pPr>
        <w:spacing w:before="240" w:after="120"/>
      </w:pPr>
      <w:r>
        <w:rPr>
          <w:b/>
          <w:sz w:val="28"/>
          <w:color w:val="1F497D"/>
        </w:rPr>
        <w:t>Section 2: Scaffolding, Cognitive Load, and Formative Assessment Analytics</w:t>
      </w:r>
    </w:p>
    <w:p>
      <w:pPr>
        <w:spacing w:after="120"/>
        <w:ind w:firstLine="360"/>
      </w:pPr>
      <w:r>
        <w:rPr>
          <w:sz w:val="22"/>
        </w:rPr>
        <w:t>Empirical analysis of 14,200 enrolled students indicated that front-loading complex epistemological concepts without intermediate formative low-stakes checkpoints resulted in a 28% drop in course completion rates. Conversely, courses implementing bi-weekly formative knowledge checks demonstrated a 19.4% improvement in terminal summative exam performance.</w:t>
      </w:r>
    </w:p>
    <w:p>
      <w:pPr>
        <w:spacing w:after="120"/>
        <w:ind w:firstLine="360"/>
      </w:pPr>
      <w:r>
        <w:rPr>
          <w:sz w:val="22"/>
        </w:rPr>
        <w:t>Cognitive load optimization protocols now mandate modular micro-assessments, asynchronous peer feedback workshops, and structured reflection journals to support retention and metacognitive awareness.</w:t>
      </w:r>
    </w:p>
    <w:p>
      <w:pPr>
        <w:ind w:left="720"/>
        <w:spacing w:after="60"/>
      </w:pPr>
      <w:r>
        <w:rPr>
          <w:sz w:val="22"/>
        </w:rPr>
        <w:t>• Diagnostic baseline testing administered in Weeks 1 and 2 to identify foundational skill deficits.</w:t>
      </w:r>
    </w:p>
    <w:p>
      <w:pPr>
        <w:ind w:left="720"/>
        <w:spacing w:after="60"/>
      </w:pPr>
      <w:r>
        <w:rPr>
          <w:sz w:val="22"/>
        </w:rPr>
        <w:t>• Adaptive algorithmic homework modules calibrated to individual student progression speed.</w:t>
      </w:r>
    </w:p>
    <w:p>
      <w:pPr>
        <w:ind w:left="720"/>
        <w:spacing w:after="60"/>
      </w:pPr>
      <w:r>
        <w:rPr>
          <w:sz w:val="22"/>
        </w:rPr>
        <w:t>• Structured rubric criteria for collaborative group deliverables and reciprocal teaching sessions.</w:t>
      </w:r>
    </w:p>
    <w:p>
      <w:pPr>
        <w:spacing w:before="240" w:after="120"/>
      </w:pPr>
      <w:r>
        <w:rPr>
          <w:b/>
          <w:sz w:val="28"/>
          <w:color w:val="1F497D"/>
        </w:rPr>
        <w:t>Section 3: Accreditation Compliance and Longitudinal Retention Framework</w:t>
      </w:r>
    </w:p>
    <w:p>
      <w:pPr>
        <w:spacing w:after="120"/>
        <w:ind w:firstLine="360"/>
      </w:pPr>
      <w:r>
        <w:rPr>
          <w:sz w:val="22"/>
        </w:rPr>
        <w:t>Accreditation criteria necessitate verified evidence of continuous curricular improvement cycles. Department chairs must submit annual self-study audits tracking syllabus iterations, grade distribution variances, and alumni competency surveys.</w:t>
      </w:r>
    </w:p>
    <w:p>
      <w:pPr>
        <w:spacing w:after="120"/>
        <w:ind w:firstLine="360"/>
      </w:pPr>
      <w:r>
        <w:rPr>
          <w:sz w:val="22"/>
        </w:rPr>
        <w:t>Retention models show that student support interventions initiated prior to the midterm examination threshold preserve sophomore persistence rates by 34%, reinforcing the necessity of automated early-warning academic advisement notifications.</w:t>
      </w:r>
    </w:p>
    <w:p>
      <w:pPr>
        <w:ind w:left="720"/>
        <w:spacing w:after="60"/>
      </w:pPr>
      <w:r>
        <w:rPr>
          <w:sz w:val="22"/>
        </w:rPr>
        <w:t>• Cross-departmental curriculum harmonization to prevent duplicate prerequisite coursework.</w:t>
      </w:r>
    </w:p>
    <w:p>
      <w:pPr>
        <w:ind w:left="720"/>
        <w:spacing w:after="60"/>
      </w:pPr>
      <w:r>
        <w:rPr>
          <w:sz w:val="22"/>
        </w:rPr>
        <w:t>• Integration of universally accessible digital learning tools complying with WCAG 2.2 AA standards.</w:t>
      </w:r>
    </w:p>
    <w:p>
      <w:pPr>
        <w:ind w:left="720"/>
        <w:spacing w:after="60"/>
      </w:pPr>
      <w:r>
        <w:rPr>
          <w:sz w:val="22"/>
        </w:rPr>
        <w:t>• Mandatory annual professional development seminars focused on inclusive pedagogy and intercultural engagement.</w:t>
      </w:r>
    </w:p>
  </w:body>
</w:document>
</file>