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Pr>
      <w:r>
        <w:rPr>
          <w:b/>
          <w:sz w:val="36"/>
        </w:rPr>
        <w:t>Enterprise Cloud Architecture Blueprint: Distributed Event Streaming, Microservices Resilience, and High Availability</w:t>
      </w:r>
    </w:p>
    <w:p/>
    <w:p>
      <w:pPr>
        <w:spacing w:before="240" w:after="120"/>
      </w:pPr>
      <w:r>
        <w:rPr>
          <w:b/>
          <w:sz w:val="28"/>
          <w:color w:val="1F497D"/>
        </w:rPr>
        <w:t>Section 1: Microservices Topology and Service Mesh Boundaries</w:t>
      </w:r>
    </w:p>
    <w:p>
      <w:pPr>
        <w:spacing w:after="120"/>
        <w:ind w:firstLine="360"/>
      </w:pPr>
      <w:r>
        <w:rPr>
          <w:sz w:val="22"/>
        </w:rPr>
        <w:t>The enterprise technical architecture employs a decoupled microservices paradigm deployed across multi-region Kubernetes clusters. Service-to-service communication is governed by an Envoy-based service mesh providing transparent mutual TLS (mTLS) authentication, fine-grained traffic routing, and distributed tracing telemetry.</w:t>
      </w:r>
    </w:p>
    <w:p>
      <w:pPr>
        <w:spacing w:after="120"/>
        <w:ind w:firstLine="360"/>
      </w:pPr>
      <w:r>
        <w:rPr>
          <w:sz w:val="22"/>
        </w:rPr>
        <w:t>Each bounded context operates its own independent database schema following the Database-per-Service architectural pattern to prevent runtime coupling and transactional deadlocks. Cross-domain data consistency is maintained asynchronously using the Saga orchestration pattern with compensating transactions.</w:t>
      </w:r>
    </w:p>
    <w:p>
      <w:pPr>
        <w:ind w:left="720"/>
        <w:spacing w:after="60"/>
      </w:pPr>
      <w:r>
        <w:rPr>
          <w:sz w:val="22"/>
        </w:rPr>
        <w:t>• Zero-trust ingress gateways with Web Application Firewall (WAF) rule sets.</w:t>
      </w:r>
    </w:p>
    <w:p>
      <w:pPr>
        <w:ind w:left="720"/>
        <w:spacing w:after="60"/>
      </w:pPr>
      <w:r>
        <w:rPr>
          <w:sz w:val="22"/>
        </w:rPr>
        <w:t>• Automated certificate authority integration with SPIFFE/SPIRE workload identities.</w:t>
      </w:r>
    </w:p>
    <w:p>
      <w:pPr>
        <w:ind w:left="720"/>
        <w:spacing w:after="60"/>
      </w:pPr>
      <w:r>
        <w:rPr>
          <w:sz w:val="22"/>
        </w:rPr>
        <w:t>• Dual-stack IPv4/IPv6 networking with eBPF-powered Cilium CNI routing.</w:t>
      </w:r>
    </w:p>
    <w:p>
      <w:pPr>
        <w:spacing w:before="240" w:after="120"/>
      </w:pPr>
      <w:r>
        <w:rPr>
          <w:b/>
          <w:sz w:val="28"/>
          <w:color w:val="1F497D"/>
        </w:rPr>
        <w:t>Section 2: High-Throughput Event Streaming and Exactly-Once Semantics</w:t>
      </w:r>
    </w:p>
    <w:p>
      <w:pPr>
        <w:spacing w:after="120"/>
        <w:ind w:firstLine="360"/>
      </w:pPr>
      <w:r>
        <w:rPr>
          <w:sz w:val="22"/>
        </w:rPr>
        <w:t>Real-time event streaming is powered by an Apache Kafka cluster spanning three availability zones, configured with a replication factor of 3 and minimum in-sync replicas of 2. Partitioning keys are selected based on customer entity identifiers to guarantee ordered processing within each event topic partition.</w:t>
      </w:r>
    </w:p>
    <w:p>
      <w:pPr>
        <w:spacing w:after="120"/>
        <w:ind w:firstLine="360"/>
      </w:pPr>
      <w:r>
        <w:rPr>
          <w:sz w:val="22"/>
        </w:rPr>
        <w:t>Producers utilize idempotent delivery configurations paired with transactional write boundaries to enforce exactly-once processing (EOS) semantics. Consumer groups scale horizontally via Kubernetes Event-driven Autoscaling (KEDA) based on consumer group lag metrics.</w:t>
      </w:r>
    </w:p>
    <w:p>
      <w:pPr>
        <w:ind w:left="720"/>
        <w:spacing w:after="60"/>
      </w:pPr>
      <w:r>
        <w:rPr>
          <w:sz w:val="22"/>
        </w:rPr>
        <w:t>• Schema Registry enforcing backward-compatible Avro payload definitions.</w:t>
      </w:r>
    </w:p>
    <w:p>
      <w:pPr>
        <w:ind w:left="720"/>
        <w:spacing w:after="60"/>
      </w:pPr>
      <w:r>
        <w:rPr>
          <w:sz w:val="22"/>
        </w:rPr>
        <w:t>• Dead-Letter Queue (DLQ) architectures capturing malformed records for manual inspection.</w:t>
      </w:r>
    </w:p>
    <w:p>
      <w:pPr>
        <w:ind w:left="720"/>
        <w:spacing w:after="60"/>
      </w:pPr>
      <w:r>
        <w:rPr>
          <w:sz w:val="22"/>
        </w:rPr>
        <w:t>• Tiered storage integration offloading historical topic segments to S3 object storage.</w:t>
      </w:r>
    </w:p>
    <w:p>
      <w:pPr>
        <w:spacing w:before="240" w:after="120"/>
      </w:pPr>
      <w:r>
        <w:rPr>
          <w:b/>
          <w:sz w:val="28"/>
          <w:color w:val="1F497D"/>
        </w:rPr>
        <w:t>Section 3: Fault Tolerance, Circuit Breakers, and Chaos Engineering</w:t>
      </w:r>
    </w:p>
    <w:p>
      <w:pPr>
        <w:spacing w:after="120"/>
        <w:ind w:firstLine="360"/>
      </w:pPr>
      <w:r>
        <w:rPr>
          <w:sz w:val="22"/>
        </w:rPr>
        <w:t>To insulate systems against cascading failures, all inter-service RPC calls are wrapped with circuit breaker proxies implementing exponential backoff jittered retry strategies. Downstream dependencies that exceed latency thresholds of 250 milliseconds are automatically degraded to cached fallback responses.</w:t>
      </w:r>
    </w:p>
    <w:p>
      <w:pPr>
        <w:spacing w:after="120"/>
        <w:ind w:firstLine="360"/>
      </w:pPr>
      <w:r>
        <w:rPr>
          <w:sz w:val="22"/>
        </w:rPr>
        <w:t>Continuous chaos engineering experiments are executed in staging and pre-production environments using automated fault injection. These drills validate cluster self-healing capabilities during synthetic zone outages, database leader failovers, and severe network packet drop simulations.</w:t>
      </w:r>
    </w:p>
    <w:p>
      <w:pPr>
        <w:ind w:left="720"/>
        <w:spacing w:after="60"/>
      </w:pPr>
      <w:r>
        <w:rPr>
          <w:sz w:val="22"/>
        </w:rPr>
        <w:t>• 99.995% uptime Service Level Agreement (SLA) with maximum 5-minute RTO and zero RPO.</w:t>
      </w:r>
    </w:p>
    <w:p>
      <w:pPr>
        <w:ind w:left="720"/>
        <w:spacing w:after="60"/>
      </w:pPr>
      <w:r>
        <w:rPr>
          <w:sz w:val="22"/>
        </w:rPr>
        <w:t>• Distributed tracing correlation IDs propagated via OpenTelemetry headers across all services.</w:t>
      </w:r>
    </w:p>
    <w:p>
      <w:pPr>
        <w:ind w:left="720"/>
        <w:spacing w:after="60"/>
      </w:pPr>
      <w:r>
        <w:rPr>
          <w:sz w:val="22"/>
        </w:rPr>
        <w:t>• Automated canary deployments routing 5% traffic with Prometheus error-budget rollback triggers.</w:t>
      </w:r>
    </w:p>
  </w:body>
</w:document>
</file>