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 standalone="yes"?>
<Relationships xmlns="http://schemas.openxmlformats.org/package/2006/relationships">
  <Relationship Id="rId1" Type="http://schemas.openxmlformats.org/officeDocument/2006/relationships/officeDocument" Target="word/document.xml"/>
</Relationships>
</file>

<file path=word/document.xml><?xml version="1.0" encoding="utf-8"?>
<w:document xmlns:w="http://schemas.openxmlformats.org/wordprocessingml/2006/main">
  <w:body>
    <w:p>
      <w:pPr>
        <w:jc w:val="center"/>
      </w:pPr>
      <w:r>
        <w:rPr>
          <w:b/>
          <w:sz w:val="36"/>
        </w:rPr>
        <w:t>Comprehensive Legal Review: Statutory Compliance, Contractual Indemnification, and Choice of Law Precedents</w:t>
      </w:r>
    </w:p>
    <w:p/>
    <w:p>
      <w:pPr>
        <w:spacing w:before="240" w:after="120"/>
      </w:pPr>
      <w:r>
        <w:rPr>
          <w:b/>
          <w:sz w:val="28"/>
          <w:color w:val="1F497D"/>
        </w:rPr>
        <w:t>Section 1: Choice of Law, Venue, and Jurisdictional Severability Doctrines</w:t>
      </w:r>
    </w:p>
    <w:p>
      <w:pPr>
        <w:spacing w:after="120"/>
        <w:ind w:firstLine="360"/>
      </w:pPr>
      <w:r>
        <w:rPr>
          <w:sz w:val="22"/>
        </w:rPr>
        <w:t>In cross-border commercial transactions, choice-of-law provisions dictate the substantive legal rules governing contract interpretation, breach determinations, and statutory remedies. Multi-jurisdictional enterprises must evaluate whether forum selection clauses designate exclusive or non-exclusive jurisdiction and verify whether chosen venues bear a substantial relationship to the underlying transaction.</w:t>
      </w:r>
    </w:p>
    <w:p>
      <w:pPr>
        <w:spacing w:after="120"/>
        <w:ind w:firstLine="360"/>
      </w:pPr>
      <w:r>
        <w:rPr>
          <w:sz w:val="22"/>
        </w:rPr>
        <w:t>Under established commercial conflicts of law doctrines, courts will generally enforce governing law stipulations unless contrary to fundamental public policy or where the designated forum imposes unconscionable procedural barriers on the litigating parties. Furthermore, severability clauses must be drafted to preserve surviving obligations in the event an isolated covenant is declared unenforceable.</w:t>
      </w:r>
    </w:p>
    <w:p>
      <w:pPr>
        <w:ind w:left="720"/>
        <w:spacing w:after="60"/>
      </w:pPr>
      <w:r>
        <w:rPr>
          <w:sz w:val="22"/>
        </w:rPr>
        <w:t>• Designation of Delaware Chancery Court for corporate governance disputes.</w:t>
      </w:r>
    </w:p>
    <w:p>
      <w:pPr>
        <w:ind w:left="720"/>
        <w:spacing w:after="60"/>
      </w:pPr>
      <w:r>
        <w:rPr>
          <w:sz w:val="22"/>
        </w:rPr>
        <w:t>• Inclusion of explicit jury trial waivers in all commercial counterparty agreements.</w:t>
      </w:r>
    </w:p>
    <w:p>
      <w:pPr>
        <w:ind w:left="720"/>
        <w:spacing w:after="60"/>
      </w:pPr>
      <w:r>
        <w:rPr>
          <w:sz w:val="22"/>
        </w:rPr>
        <w:t>• Express exclusion of the UN Convention on Contracts for the International Sale of Goods (CISG).</w:t>
      </w:r>
    </w:p>
    <w:p>
      <w:pPr>
        <w:spacing w:before="240" w:after="120"/>
      </w:pPr>
      <w:r>
        <w:rPr>
          <w:b/>
          <w:sz w:val="28"/>
          <w:color w:val="1F497D"/>
        </w:rPr>
        <w:t>Section 2: Contractual Indemnification Protocols and Consequential Damages Waivers</w:t>
      </w:r>
    </w:p>
    <w:p>
      <w:pPr>
        <w:spacing w:after="120"/>
        <w:ind w:firstLine="360"/>
      </w:pPr>
      <w:r>
        <w:rPr>
          <w:sz w:val="22"/>
        </w:rPr>
        <w:t>Indemnification covenants serve as the principal risk allocation mechanism in technology vendor agreements. The scope of indemnity must carefully distinguish between direct third-party intellectual property infringement claims and generalized performance liabilities.</w:t>
      </w:r>
    </w:p>
    <w:p>
      <w:pPr>
        <w:spacing w:after="120"/>
        <w:ind w:firstLine="360"/>
      </w:pPr>
      <w:r>
        <w:rPr>
          <w:sz w:val="22"/>
        </w:rPr>
        <w:t>Parties routinely negotiate reciprocal limitations of liability that cap total aggregate financial exposure to fees paid in the preceding twelve-month billing cycle. However, exclusions to the liability cap must be strictly delineated to encompass gross negligence, intentional misconduct, confidentiality breaches, and statutory data privacy infractions.</w:t>
      </w:r>
    </w:p>
    <w:p>
      <w:pPr>
        <w:ind w:left="720"/>
        <w:spacing w:after="60"/>
      </w:pPr>
      <w:r>
        <w:rPr>
          <w:sz w:val="22"/>
        </w:rPr>
        <w:t>• Carve-outs from liability caps for indemnification obligations and willful misconduct.</w:t>
      </w:r>
    </w:p>
    <w:p>
      <w:pPr>
        <w:ind w:left="720"/>
        <w:spacing w:after="60"/>
      </w:pPr>
      <w:r>
        <w:rPr>
          <w:sz w:val="22"/>
        </w:rPr>
        <w:t>• Explicit waiver of incidental, indirect, consequential, punitive, and special damages.</w:t>
      </w:r>
    </w:p>
    <w:p>
      <w:pPr>
        <w:ind w:left="720"/>
        <w:spacing w:after="60"/>
      </w:pPr>
      <w:r>
        <w:rPr>
          <w:sz w:val="22"/>
        </w:rPr>
        <w:t>• Mandatory formal notice timelines requiring defense tender within twenty calendar days.</w:t>
      </w:r>
    </w:p>
    <w:p>
      <w:pPr>
        <w:spacing w:before="240" w:after="120"/>
      </w:pPr>
      <w:r>
        <w:rPr>
          <w:b/>
          <w:sz w:val="28"/>
          <w:color w:val="1F497D"/>
        </w:rPr>
        <w:t>Section 3: Data Privacy Compliance and Regulatory Enforcement Mandates</w:t>
      </w:r>
    </w:p>
    <w:p>
      <w:pPr>
        <w:spacing w:after="120"/>
        <w:ind w:firstLine="360"/>
      </w:pPr>
      <w:r>
        <w:rPr>
          <w:sz w:val="22"/>
        </w:rPr>
        <w:t>Compliance with GDPR, CCPA/CPRA, and emergent state-level comprehensive data privacy statutes requires robust Data Processing Agreements (DPAs) with all sub-processors. Data controllers must guarantee clear legal bases for international data transfers, utilizing Standard Contractual Clauses (SCCs) coupled with Transfer Impact Assessments (TIAs).</w:t>
      </w:r>
    </w:p>
    <w:p>
      <w:pPr>
        <w:spacing w:after="120"/>
        <w:ind w:firstLine="360"/>
      </w:pPr>
      <w:r>
        <w:rPr>
          <w:sz w:val="22"/>
        </w:rPr>
        <w:t>Statutory notification timelines for security incidents mandate disclosure to supervisory authorities within 72 hours of discovery, alongside appropriate notice to affected data subjects where risk to individual rights and freedoms is evaluated as high.</w:t>
      </w:r>
    </w:p>
    <w:p>
      <w:pPr>
        <w:ind w:left="720"/>
        <w:spacing w:after="60"/>
      </w:pPr>
      <w:r>
        <w:rPr>
          <w:sz w:val="22"/>
        </w:rPr>
        <w:t>• Regular data minimization audits and documented data retention schedules.</w:t>
      </w:r>
    </w:p>
    <w:p>
      <w:pPr>
        <w:ind w:left="720"/>
        <w:spacing w:after="60"/>
      </w:pPr>
      <w:r>
        <w:rPr>
          <w:sz w:val="22"/>
        </w:rPr>
        <w:t>• Verification of encryption protocols for personal data in transit and at rest.</w:t>
      </w:r>
    </w:p>
    <w:p>
      <w:pPr>
        <w:ind w:left="720"/>
        <w:spacing w:after="60"/>
      </w:pPr>
      <w:r>
        <w:rPr>
          <w:sz w:val="22"/>
        </w:rPr>
        <w:t>• Appointment of an independent Data Protection Officer (DPO) and annual compliance certifications.</w:t>
      </w:r>
    </w:p>
  </w:body>
</w:document>
</file>