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rPr>
        <w:t>CLOUD INFRASTRUCTURE BLUEPRINT: KUBERNETES, TERRAFORM, AND CI/CD PIPELINES</w:t>
      </w:r>
    </w:p>
    <w:p>
      <w:pPr/>
      <w:r>
        <w:rPr>
          <w:b/>
        </w:rPr>
        <w:t>1. Declarative Infrastructure as Code (IaC) and Terraform Topologies</w:t>
      </w:r>
    </w:p>
    <w:p>
      <w:r>
        <w:t>This technical blueprint describes the automated provisioning of multi-cloud enterprise infrastructure using Terraform and OpenTofu. Modular Infrastructure-as-Code (IaC) templates define Virtual Private Clouds (VPCs), subnets, transit gateways, and IAM role hierarchies across production and staging environments.</w:t>
      </w:r>
    </w:p>
    <w:p>
      <w:r>
        <w:t>Terraform state files are encrypted at rest using AWS KMS keys and stored in versioned S3 buckets protected by DynamoDB state locking to prevent concurrent deployment collisions. Automated CI/CD pipelines execute 'terraform plan' and run tfsec security linting on pull requests prior to merge approval.</w:t>
      </w:r>
    </w:p>
    <w:p>
      <w:r>
        <w:t>Network security topologies isolate sensitive database workloads in private non-routable subnets with egress routed strictly through redundant NAT Gateways and egress firewalls performing deep packet inspection.</w:t>
      </w:r>
    </w:p>
    <w:p>
      <w:pPr/>
      <w:r>
        <w:rPr>
          <w:b/>
        </w:rPr>
        <w:t>2. Kubernetes Cluster Orchestration, Helm Charts, and GitOps Workflows</w:t>
      </w:r>
    </w:p>
    <w:p>
      <w:r>
        <w:t>Container workloads run on managed Kubernetes (EKS / GKE) clusters utilizing custom node groups backed by AWS Graviton and AMD EPYC EC2 instances. Spot instances are tactically utilized for stateless batch processing, reducing compute overhead by 68%.</w:t>
      </w:r>
    </w:p>
    <w:p>
      <w:r>
        <w:t>Deployment manifests are managed via Helm v3 charts and synchronized continuously using ArgoCD GitOps controllers. ArgoCD monitors the infrastructure git repository, automatically reconciling cluster state against desired declarative configurations and rolling back failed deployments upon health check failure.</w:t>
      </w:r>
    </w:p>
    <w:p>
      <w:r>
        <w:t>Kubernetes resource limits, pod disruption budgets (PDB), and affinity rules prevent cluster node exhaustion and ensure high availability during scheduled worker node upgrades and cluster maintenance.</w:t>
      </w:r>
    </w:p>
    <w:p>
      <w:pPr/>
      <w:r>
        <w:rPr>
          <w:b/>
        </w:rPr>
        <w:t>3. Continuous Integration and Continuous Deployment (CI/CD) Security</w:t>
      </w:r>
    </w:p>
    <w:p>
      <w:r>
        <w:t>Software release pipelines automated through GitHub Actions enforce rigorous static application security testing (SAST), software composition analysis (SCA), and container image vulnerability scanning via Trivy and Snyk.</w:t>
      </w:r>
    </w:p>
    <w:p>
      <w:r>
        <w:t>Docker images are built with multi-stage minimal distroless base images, eliminating shell binaries and unnecessary operating system utilities to minimize the exploitable container attack surface.</w:t>
      </w:r>
    </w:p>
    <w:p>
      <w:r>
        <w:t>Images are cryptographically signed using Sigstore Cosign during CI builds. Kubernetes admission controllers (Kyverno) verify digital signatures before allowing container images to execute within production namespaces.</w:t>
      </w:r>
    </w:p>
    <w:p>
      <w:pPr/>
      <w:r>
        <w:rPr>
          <w:b/>
        </w:rPr>
        <w:t>4. Observability, Distributed Tracing, and Log Aggregation</w:t>
      </w:r>
    </w:p>
    <w:p>
      <w:r>
        <w:t>A unified observability stack combining Prometheus metrics, OpenTelemetry distributed tracing, and Grafana Loki log aggregation provides full-stack visibility across thousands of running container pods.</w:t>
      </w:r>
    </w:p>
    <w:p>
      <w:r>
        <w:t>Distributed trace contexts propagated through W3C TraceContext headers allow engineers to visualize end-to-end latency breakdowns across complex microservice call chains, identifying database query bottlenecks and API degradation in real time.</w:t>
      </w:r>
    </w:p>
  </w:body>
</w:document>
</file>