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rPr>
        <w:t>CONSOLIDATED FINANCIAL STATEMENT AND BALANCE SHEET AUDIT REPORT</w:t>
      </w:r>
    </w:p>
    <w:p>
      <w:pPr/>
      <w:r>
        <w:rPr>
          <w:b/>
        </w:rPr>
        <w:t>1. Consolidated Balance Sheet Reconciliation and Asset Valuations</w:t>
      </w:r>
    </w:p>
    <w:p>
      <w:r>
        <w:t>Independent certified public accountants completed the annual consolidated audit of the financial statements, comprising the consolidated balance sheet, statement of comprehensive income, statement of stockholders equity, and cash flows in conformity with US GAAP and IFRS standards.</w:t>
      </w:r>
    </w:p>
    <w:p>
      <w:r>
        <w:t>Total consolidated assets increased to $3.84 billion, supported by prudent capital investments in core manufacturing capacity and accretive intellectual property acquisitions. Goodwill and identifiable intangible assets were subjected to annual impairment testing under ASC 350, with no impairment triggers identified.</w:t>
      </w:r>
    </w:p>
    <w:p>
      <w:r>
        <w:t>Allowance for credit losses on trade receivables was calibrated under the Current Expected Credit Losses (CECL) methodology, maintaining a conservative reserve ratio of 2.15% against gross receivables based on historical recovery curves and forward macroeconomic scenarios.</w:t>
      </w:r>
    </w:p>
    <w:p>
      <w:pPr/>
      <w:r>
        <w:rPr>
          <w:b/>
        </w:rPr>
        <w:t>2. Capital Expenditure Depreciation, Lease Accounting, and Liabilities</w:t>
      </w:r>
    </w:p>
    <w:p>
      <w:r>
        <w:t>Property, plant, and equipment depreciation schedules reflect straight-line amortization over estimated useful economic lifespans ranging from 5 to 30 years. Additions to capital assets totaled $118.5 million, focused on facility automation, green energy infrastructure, and enterprise data center upgrades.</w:t>
      </w:r>
    </w:p>
    <w:p>
      <w:r>
        <w:t>Operating lease right-of-use (ROU) assets and corresponding current and long-term lease liabilities under ASC 842 total $184.2 million and $198.6 million respectively. Weighted-average discount rates applied to lease payment obligations averaged 4.65% with remaining lease tenures of 7.2 years.</w:t>
      </w:r>
    </w:p>
    <w:p>
      <w:r>
        <w:t>Long-term liabilities encompass $1.2 billion in senior term debt, $145 million in deferred tax liabilities, and $38 million in actuarial pension obligations. Pension funding ratios across defined benefit plans stand at 94.2% based on conservative actuarial discount rate assumptions.</w:t>
      </w:r>
    </w:p>
    <w:p>
      <w:pPr/>
      <w:r>
        <w:rPr>
          <w:b/>
        </w:rPr>
        <w:t>3. Revenue Recognition Principles, Deferred Income, and Contract Assets</w:t>
      </w:r>
    </w:p>
    <w:p>
      <w:r>
        <w:t>Revenue recognition adheres strictly to ASC 606 five-step model guidelines. Multi-element software contracts and long-term service agreements are disaggregated into distinct performance obligations, allocating transaction consideration based on stand-alone selling prices (SSP).</w:t>
      </w:r>
    </w:p>
    <w:p>
      <w:r>
        <w:t>Deferred revenue liabilities representing unearned subscription billings expanded to $286.4 million, providing high forward revenue visibility with 78% expected to be recognized as operational revenue within the succeeding twelve-month fiscal period.</w:t>
      </w:r>
    </w:p>
    <w:p>
      <w:r>
        <w:t>Contract acquisition costs, including sales commissions paid upon contract execution, are capitalized and amortized systematically over the estimated average customer relationship duration of 60 months.</w:t>
      </w:r>
    </w:p>
    <w:p>
      <w:pPr/>
      <w:r>
        <w:rPr>
          <w:b/>
        </w:rPr>
        <w:t>4. Internal Controls, Sarbanes-Oxley 404 Compliance, and Audit Findings</w:t>
      </w:r>
    </w:p>
    <w:p>
      <w:r>
        <w:t>Management evaluated the effectiveness of internal controls over financial reporting (ICFR) based on the COSO Integrated Framework. The independent auditor issued an unqualified clean audit opinion, confirming the absence of material weaknesses or significant deficiencies in financial reporting controls.</w:t>
      </w:r>
    </w:p>
    <w:p>
      <w:r>
        <w:t>Information technology general controls (ITGC) governing financial ledger databases, privileged user access management, and automated journal entry authorization matrices were verified to operate effectively throughout the audit observation period.</w:t>
      </w:r>
    </w:p>
  </w:body>
</w:document>
</file>