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rPr>
        <w:t>ACADEMIC SYMPOSIUM PROCEEDINGS ON HIGHER EDUCATION TEACHING INNOVATION</w:t>
      </w:r>
    </w:p>
    <w:p>
      <w:pPr/>
      <w:r>
        <w:rPr>
          <w:b/>
        </w:rPr>
        <w:t>1. University Pedagogy and Hybrid Classroom Engagement</w:t>
      </w:r>
    </w:p>
    <w:p>
      <w:r>
        <w:t>The annual symposium on collegiate instruction convenes university faculty, academic deans, and educational researchers to investigate emerging delivery paradigms across tertiary education. As institutions transition between asynchronous online modules and active seminar sessions, the demand for rigorous pedagogical frameworks has intensified.</w:t>
      </w:r>
    </w:p>
    <w:p>
      <w:r>
        <w:t>Empirical research presented across thirty university departments confirms that active learning strategies, including inverted or flipped classroom models, double conceptual mastery rates in introductory undergraduate STEM courses compared to traditional lecture formats. Students review foundational theoretical material independently prior to participating in faculty-guided analytical workshops.</w:t>
      </w:r>
    </w:p>
    <w:p>
      <w:r>
        <w:t>Engagement analytics collected from over 15,000 university course portals demonstrate that interactive polling, immediate formative comprehension checks, and collaborative problem-solving breakout sessions directly counteract asynchronous student attrition rates.</w:t>
      </w:r>
    </w:p>
    <w:p>
      <w:pPr/>
      <w:r>
        <w:rPr>
          <w:b/>
        </w:rPr>
        <w:t>2. Curriculum Modernization, Syllabus Alignment, and Learning Outcomes</w:t>
      </w:r>
    </w:p>
    <w:p>
      <w:r>
        <w:t>Academic governance committees must oversee rigorous curriculum modernization cycles to guarantee that collegiate degree programs align with contemporary multidisciplinary demands. Every syllabus must articulate measurable, student-centered learning outcomes linked to professional accreditation and academic research competencies.</w:t>
      </w:r>
    </w:p>
    <w:p>
      <w:r>
        <w:t>Course design rubrics developed by the faculty senate emphasize constructive alignment, wherein assessment tasks directly mirror instructional activities and core cognitive objectives. The integration of capstone research seminars and experiential practicums fosters critical inquiry and prepares graduates for advanced scholarly investigation.</w:t>
      </w:r>
    </w:p>
    <w:p>
      <w:r>
        <w:t>Institutions must conduct longitudinal tracking of student learning outcome attainment across foundational general education requirements, identifying curricular bottlenecks in quantitative reasoning and argumentative prose composition.</w:t>
      </w:r>
    </w:p>
    <w:p>
      <w:pPr/>
      <w:r>
        <w:rPr>
          <w:b/>
        </w:rPr>
        <w:t>3. Student Retention Analytics, Mentorship Circles, and Academic Advising</w:t>
      </w:r>
    </w:p>
    <w:p>
      <w:r>
        <w:t>Retention predictive modeling indicates that early academic warning flags during the initial six weeks of the freshman semester correlate with first-year dropout probabilities exceeding 60%. Implementing proactive advising check-ins and faculty mentorship circles increases degree completion rates by 22% among vulnerable student cohorts.</w:t>
      </w:r>
    </w:p>
    <w:p>
      <w:r>
        <w:t>Tutoring centers staffed by trained undergraduate peer mentors provide accessible academic remediation in high-attrition foundational calculus, chemistry, and organic biology sequences. Peer-assisted study sessions (PASS) reduce course failure rates by over a full letter grade.</w:t>
      </w:r>
    </w:p>
    <w:p>
      <w:r>
        <w:t>Holistic student support structures combining academic coaching, mental health counseling services, and supplemental financial micro-grants constitute essential institutional safeguards against undergraduate departure.</w:t>
      </w:r>
    </w:p>
    <w:p>
      <w:pPr/>
      <w:r>
        <w:rPr>
          <w:b/>
        </w:rPr>
        <w:t>4. Institutional Accreditation, Pedagogical Scholarship, and Educational Equity</w:t>
      </w:r>
    </w:p>
    <w:p>
      <w:r>
        <w:t>Regional higher education accrediting bodies increasingly evaluate universities based on empirical evidence of equitable teaching outcomes across historically underrepresented student populations. Departments must demonstrate disaggregated student progression metrics and continuous curricular self-study protocols.</w:t>
      </w:r>
    </w:p>
    <w:p>
      <w:r>
        <w:t>Scholarship of Teaching and Learning (SoTL) grants incentivize tenure-track faculty to conduct peer-reviewed experimental studies on instructional methodologies, establishing teaching excellence as a primary metric in academic promotion and tenure determinations.</w:t>
      </w:r>
    </w:p>
  </w:body>
</w:document>
</file>