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rPr>
        <w:t>MASTER SERVICES AGREEMENT: COMMERCIAL TERMS, INDEMNIFICATION, AND GOVERNING LAW</w:t>
      </w:r>
    </w:p>
    <w:p>
      <w:pPr/>
      <w:r>
        <w:rPr>
          <w:b/>
        </w:rPr>
        <w:t>1. Engagement Scope, Statement of Work, and Service Level Warranties</w:t>
      </w:r>
    </w:p>
    <w:p>
      <w:r>
        <w:t>This Master Services Agreement ('Agreement') is entered into as of the Effective Date by and between Enterprise Client Inc., a Delaware corporation, and Global Technology Solutions LLC, a New York limited liability company. Each party shall be individually referred to as a 'Party' and collectively as the 'Parties'.</w:t>
      </w:r>
    </w:p>
    <w:p>
      <w:r>
        <w:t>Provider warrants that all professional services and software deliverables furnished under any Statement of Work (SOW) shall be performed in a professional, workmanlike manner conforming to prevailing industry standards and the explicit functional specifications set forth in Exhibit A.</w:t>
      </w:r>
    </w:p>
    <w:p>
      <w:r>
        <w:t>In the event of any service level agreement (SLA) downtime or material breach of performance warranties, Provider shall promptly rectify the non-conformity within ten (10) business days of written notice, or Client shall be entitled to liquidated SLA service credits as specified in the applicable SOW.</w:t>
      </w:r>
    </w:p>
    <w:p>
      <w:pPr/>
      <w:r>
        <w:rPr>
          <w:b/>
        </w:rPr>
        <w:t>2. Mutual Indemnification, Intellectual Property Protection, and Infringement Defense</w:t>
      </w:r>
    </w:p>
    <w:p>
      <w:r>
        <w:t>Provider shall defend, indemnify, and hold harmless Client, its affiliates, directors, officers, and employees against any third-party claims, lawsuits, or regulatory enforcement proceedings alleging that the deliverables, software, or documentation infringe upon any valid patent, copyright, trademark, or trade secret.</w:t>
      </w:r>
    </w:p>
    <w:p>
      <w:r>
        <w:t>Client shall defend and indemnify Provider against any claims arising out of Client's unauthorized modification of the deliverables or Client's provision of infringing proprietary data to Provider in violation of third-party intellectual property licenses or statutory data privacy regulations.</w:t>
      </w:r>
    </w:p>
    <w:p>
      <w:r>
        <w:t>The indemnified Party must provide prompt written notification of any indemnifiable claim, grant the indemnifying Party sole control over litigation defense and settlement negotiations, and cooperate reasonably in the defense at the indemnifying Party's expense.</w:t>
      </w:r>
    </w:p>
    <w:p>
      <w:pPr/>
      <w:r>
        <w:rPr>
          <w:b/>
        </w:rPr>
        <w:t>3. Limitation of Liability, Exclusion of Consequential Damages, and Liability Caps</w:t>
      </w:r>
    </w:p>
    <w:p>
      <w:r>
        <w:t>TO THE MAXIMUM EXTENT PERMITTED BY APPLICABLE STATUTORY LAW, NEITHER PARTY SHALL BE LIABLE TO THE OTHER FOR ANY INDIRECT, INCIDENTAL, CONSEQUENTIAL, SPECIAL, PUNITIVE, OR EXEMPLARY DAMAGES, INCLUDING LOSS OF PROFITS, REVENUE, DATA, OR BUSINESS INTERRUPTION, ARISING OUT OF OR IN CONNECTION WITH THIS AGREEMENT.</w:t>
      </w:r>
    </w:p>
    <w:p>
      <w:r>
        <w:t>EXCEPT FOR GROSS NEGLIGENCE, WILLFUL MISCONDUCT, BREACH OF CONFIDENTIALITY OBLIGATIONS UNDER SECTION 8, OR INDEMNIFICATION OBLIGATIONS UNDER SECTION 6, EACH PARTY'S TOTAL AGGREGATE LIABILITY UNDER THIS AGREEMENT SHALL BE STRICTLY LIMITED TO THE TOTAL FEES PAID OR PAYABLE BY CLIENT UNDER THE APPLICABLE STATEMENT OF WORK IN THE TWELVE (12) MONTHS PRECEDING THE CLAIM.</w:t>
      </w:r>
    </w:p>
    <w:p>
      <w:r>
        <w:t>The Parties acknowledge that the contractual liability caps and damage disclaimers reflect a bargained-for allocation of commercial risk and constitute an essential basis of the bargain between the Parties.</w:t>
      </w:r>
    </w:p>
    <w:p>
      <w:pPr/>
      <w:r>
        <w:rPr>
          <w:b/>
        </w:rPr>
        <w:t>4. Governing Law, Dispute Resolution, and Arbitration Venue</w:t>
      </w:r>
    </w:p>
    <w:p>
      <w:r>
        <w:t>This Agreement shall be governed by, construed, and enforced in accordance with the substantive laws of the State of New York, without regard to its conflict of law principles or the UN Convention on Contracts for the International Sale of Goods.</w:t>
      </w:r>
    </w:p>
    <w:p>
      <w:r>
        <w:t>Any dispute arising out of or relating to this Agreement shall be resolved by confidential, binding arbitration administered by JAMS in New York, New York, before a single retired judge arbitrator in accordance with JAMS Comprehensive Arbitration Rules.</w:t>
      </w:r>
    </w:p>
  </w:body>
</w:document>
</file>