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b/>
      </w:pPr>
      <w:r>
        <w:rPr>
          <w:b/>
          <w:sz w:val="32"/>
        </w:rPr>
        <w:t>Portfolio Asset Allocation and Risk Sensitivity Analysis</w:t>
      </w:r>
    </w:p>
    <w:p>
      <w:r>
        <w:rPr>
          <w:sz w:val="24"/>
        </w:rPr>
        <w:t>A comprehensive breakdown of risk-adjusted yield across high-grade fixed income instruments and emerging market equities.</w:t>
      </w:r>
    </w:p>
    <w:p>
      <w:r>
        <w:rPr>
          <w:sz w:val="24"/>
        </w:rPr>
        <w:t>The liquidity buffer maintained at 14.5% provides adequate coverage against unexpected interest rate fluctuations and macro volatility in secondary credit markets.</w:t>
      </w:r>
    </w:p>
    <w:p>
      <w:r>
        <w:rPr>
          <w:sz w:val="24"/>
        </w:rPr>
        <w:t>Hedging strategies employing interest rate swaps have minimized net interest margin erosion throughout the current fiscal cycle.</w:t>
      </w:r>
    </w:p>
  </w:body>
</w:document>
</file>