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/>
      </w:pPr>
      <w:r>
        <w:rPr>
          <w:b/>
          <w:sz w:val="32"/>
        </w:rPr>
        <w:t>Institutional Syllabus Review and Competency Mapping</w:t>
      </w:r>
    </w:p>
    <w:p>
      <w:r>
        <w:rPr>
          <w:sz w:val="24"/>
        </w:rPr>
        <w:t>This document establishes the updated accreditation benchmarks for undergraduate modular curricula across regional academic consortiums.</w:t>
      </w:r>
    </w:p>
    <w:p>
      <w:r>
        <w:rPr>
          <w:sz w:val="24"/>
        </w:rPr>
        <w:t>Formative assessment models indicate a 22% increase in knowledge retention when project-based learning is integrated alongside asynchronous lecture modules.</w:t>
      </w:r>
    </w:p>
    <w:p>
      <w:r>
        <w:rPr>
          <w:sz w:val="24"/>
        </w:rPr>
        <w:t>Faculty coordinators must ensure that peer-reviewed rubrics and learning outcome metrics are logged into the central student records repository before the end of the academic quarter.</w:t>
      </w:r>
    </w:p>
  </w:body>
</w:document>
</file>