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/>
      </w:pPr>
      <w:r>
        <w:rPr>
          <w:b/>
          <w:sz w:val="32"/>
        </w:rPr>
        <w:t>Distributed Architecture and Fault Tolerant Microservices</w:t>
      </w:r>
    </w:p>
    <w:p>
      <w:r>
        <w:rPr>
          <w:sz w:val="24"/>
        </w:rPr>
        <w:t>System architecture specifications for high-throughput asynchronous message queues using distributed event streaming clusters.</w:t>
      </w:r>
    </w:p>
    <w:p>
      <w:r>
        <w:rPr>
          <w:sz w:val="24"/>
        </w:rPr>
        <w:t>Circuit breaker patterns and exponential backoff retry mechanisms have reduced cascading service failures to sub-0.01% percentiles.</w:t>
      </w:r>
    </w:p>
    <w:p>
      <w:r>
        <w:rPr>
          <w:sz w:val="24"/>
        </w:rPr>
        <w:t>Zero-downtime rolling deployments are orchestrated across dual-region container clusters with automated canary rollbacks.</w:t>
      </w:r>
    </w:p>
  </w:body>
</w:document>
</file>