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</w:pPr>
      <w:r>
        <w:rPr>
          <w:b/>
          <w:sz w:val="32"/>
        </w:rPr>
        <w:t>Statutory Compliance and Multi-Jurisdictional Liability</w:t>
      </w:r>
    </w:p>
    <w:p>
      <w:r>
        <w:rPr>
          <w:sz w:val="24"/>
        </w:rPr>
        <w:t>An analytical review of jurisdictional precedents regarding choice-of-law provisions in cross-border commercial transactions.</w:t>
      </w:r>
    </w:p>
    <w:p>
      <w:r>
        <w:rPr>
          <w:sz w:val="24"/>
        </w:rPr>
        <w:t>Indemnification covenants must explicitly delineate consequential damages exemptions from direct contractual breach liabilities.</w:t>
      </w:r>
    </w:p>
    <w:p>
      <w:r>
        <w:rPr>
          <w:sz w:val="24"/>
        </w:rPr>
        <w:t>The legal advisory panel advises immediate execution of supplemental addenda to satisfy statutory consumer data protection obligations.</w:t>
      </w:r>
    </w:p>
  </w:body>
</w:document>
</file>