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jc w:val="center"/>
        <w:rPr>
          <w:b/>
          <w:bCs/>
          <w:sz w:val="34"/>
          <w:szCs w:val="34"/>
        </w:rPr>
      </w:pPr>
      <w:bookmarkStart w:id="1" w:name="_GoBack"/>
      <w:bookmarkEnd w:id="1"/>
      <w:r>
        <w:rPr>
          <w:b/>
          <w:bCs/>
          <w:sz w:val="34"/>
          <w:szCs w:val="34"/>
          <w:rtl w:val="0"/>
        </w:rPr>
        <w:t xml:space="preserve"> SIMATS ENGINEERING</w:t>
      </w:r>
    </w:p>
    <w:p w14:paraId="00000002">
      <w:pPr>
        <w:jc w:val="center"/>
        <w:rPr>
          <w:b/>
          <w:bCs/>
          <w:sz w:val="28"/>
          <w:szCs w:val="28"/>
        </w:rPr>
      </w:pPr>
      <w:r>
        <w:rPr>
          <w:b/>
          <w:bCs/>
          <w:sz w:val="28"/>
          <w:szCs w:val="28"/>
          <w:rtl w:val="0"/>
        </w:rPr>
        <w:t>ASSESSMENT TOOL 2</w:t>
      </w:r>
    </w:p>
    <w:p w14:paraId="00000003">
      <w:pPr>
        <w:jc w:val="center"/>
        <w:rPr>
          <w:b/>
          <w:bCs/>
          <w:sz w:val="34"/>
          <w:szCs w:val="34"/>
        </w:rPr>
      </w:pPr>
    </w:p>
    <w:p w14:paraId="00000004">
      <w:pPr>
        <w:jc w:val="center"/>
        <w:rPr>
          <w:b/>
          <w:bCs/>
          <w:sz w:val="34"/>
          <w:szCs w:val="34"/>
        </w:rPr>
      </w:pPr>
    </w:p>
    <w:p w14:paraId="00000005">
      <w:pPr>
        <w:rPr>
          <w:b/>
          <w:bCs/>
          <w:sz w:val="24"/>
          <w:szCs w:val="24"/>
        </w:rPr>
      </w:pPr>
      <w:r>
        <w:rPr>
          <w:b/>
          <w:bCs/>
          <w:sz w:val="24"/>
          <w:szCs w:val="24"/>
          <w:rtl w:val="0"/>
        </w:rPr>
        <w:t>COURSE NAME: INTERNET PROGRAMMING</w:t>
      </w:r>
      <w:r>
        <w:rPr>
          <w:b/>
          <w:bCs/>
          <w:sz w:val="24"/>
          <w:szCs w:val="24"/>
          <w:rtl w:val="0"/>
        </w:rPr>
        <w:tab/>
      </w:r>
    </w:p>
    <w:p w14:paraId="00000006">
      <w:pPr>
        <w:rPr>
          <w:b/>
          <w:bCs/>
          <w:sz w:val="24"/>
          <w:szCs w:val="24"/>
        </w:rPr>
      </w:pPr>
      <w:r>
        <w:rPr>
          <w:b/>
          <w:bCs/>
          <w:sz w:val="24"/>
          <w:szCs w:val="24"/>
          <w:rtl w:val="0"/>
        </w:rPr>
        <w:t>COURSE CODE: CSA43</w:t>
      </w:r>
      <w:r>
        <w:rPr>
          <w:b/>
          <w:bCs/>
          <w:sz w:val="24"/>
          <w:szCs w:val="24"/>
          <w:rtl w:val="0"/>
        </w:rPr>
        <w:tab/>
      </w:r>
      <w:r>
        <w:rPr>
          <w:b/>
          <w:bCs/>
          <w:sz w:val="24"/>
          <w:szCs w:val="24"/>
          <w:rtl w:val="0"/>
        </w:rPr>
        <w:tab/>
      </w:r>
      <w:r>
        <w:rPr>
          <w:b/>
          <w:bCs/>
          <w:sz w:val="24"/>
          <w:szCs w:val="24"/>
          <w:rtl w:val="0"/>
        </w:rPr>
        <w:tab/>
      </w:r>
      <w:r>
        <w:rPr>
          <w:b/>
          <w:bCs/>
          <w:sz w:val="24"/>
          <w:szCs w:val="24"/>
          <w:rtl w:val="0"/>
        </w:rPr>
        <w:tab/>
      </w:r>
      <w:r>
        <w:rPr>
          <w:b/>
          <w:bCs/>
          <w:sz w:val="24"/>
          <w:szCs w:val="24"/>
          <w:rtl w:val="0"/>
        </w:rPr>
        <w:tab/>
      </w:r>
      <w:r>
        <w:rPr>
          <w:b/>
          <w:bCs/>
          <w:sz w:val="24"/>
          <w:szCs w:val="24"/>
          <w:rtl w:val="0"/>
        </w:rPr>
        <w:tab/>
      </w:r>
    </w:p>
    <w:p w14:paraId="00000007">
      <w:pPr>
        <w:rPr>
          <w:b/>
          <w:bCs/>
          <w:sz w:val="24"/>
          <w:szCs w:val="24"/>
        </w:rPr>
      </w:pPr>
    </w:p>
    <w:p w14:paraId="00000008">
      <w:pPr>
        <w:rPr>
          <w:b/>
          <w:bCs/>
          <w:color w:val="EE0000"/>
          <w:sz w:val="24"/>
          <w:szCs w:val="24"/>
        </w:rPr>
      </w:pPr>
      <w:r>
        <w:rPr>
          <w:b/>
          <w:bCs/>
          <w:color w:val="EE0000"/>
          <w:sz w:val="24"/>
          <w:szCs w:val="24"/>
          <w:rtl w:val="0"/>
        </w:rPr>
        <w:t>Sairaj C</w:t>
      </w:r>
    </w:p>
    <w:p w14:paraId="00000009">
      <w:pPr>
        <w:rPr>
          <w:b/>
          <w:bCs/>
          <w:color w:val="EE0000"/>
          <w:sz w:val="24"/>
          <w:szCs w:val="24"/>
        </w:rPr>
      </w:pPr>
      <w:r>
        <w:rPr>
          <w:b/>
          <w:bCs/>
          <w:color w:val="EE0000"/>
          <w:sz w:val="24"/>
          <w:szCs w:val="24"/>
          <w:rtl w:val="0"/>
        </w:rPr>
        <w:t>192411018</w:t>
      </w:r>
    </w:p>
    <w:p w14:paraId="0000000A">
      <w:pPr>
        <w:rPr>
          <w:b/>
          <w:bCs/>
          <w:sz w:val="24"/>
          <w:szCs w:val="24"/>
        </w:rPr>
      </w:pPr>
      <w:r>
        <w:pict>
          <v:rect id="_x0000_i1025" o:spt="1" style="height:1.5pt;width:0pt;" fillcolor="#A0A0A0" filled="t" stroked="f" coordsize="21600,21600" o:hr="t" o:hrstd="t" o:hralign="center">
            <v:path/>
            <v:fill on="t" focussize="0,0"/>
            <v:stroke on="f"/>
            <v:imagedata o:title=""/>
            <o:lock v:ext="edit"/>
            <w10:wrap type="none"/>
            <w10:anchorlock/>
          </v:rect>
        </w:pict>
      </w:r>
    </w:p>
    <w:p w14:paraId="0000000B">
      <w:pPr>
        <w:rPr>
          <w:b/>
          <w:bCs/>
          <w:sz w:val="24"/>
          <w:szCs w:val="24"/>
        </w:rPr>
      </w:pPr>
    </w:p>
    <w:p w14:paraId="0000000C">
      <w:pPr>
        <w:rPr>
          <w:b/>
          <w:bCs/>
          <w:sz w:val="24"/>
          <w:szCs w:val="24"/>
        </w:rPr>
      </w:pPr>
      <w:r>
        <w:rPr>
          <w:b/>
          <w:bCs/>
          <w:sz w:val="24"/>
          <w:szCs w:val="24"/>
          <w:rtl w:val="0"/>
        </w:rPr>
        <w:t>COURSE OUTCOME COVERED</w:t>
      </w:r>
    </w:p>
    <w:p w14:paraId="0000000D">
      <w:pPr>
        <w:rPr>
          <w:b/>
          <w:bCs/>
          <w:sz w:val="24"/>
          <w:szCs w:val="24"/>
        </w:rPr>
      </w:pPr>
    </w:p>
    <w:p w14:paraId="0000000E">
      <w:pPr>
        <w:jc w:val="both"/>
      </w:pPr>
      <w:r>
        <w:rPr>
          <w:b/>
          <w:bCs/>
          <w:sz w:val="24"/>
          <w:szCs w:val="24"/>
          <w:rtl w:val="0"/>
        </w:rPr>
        <w:t xml:space="preserve">CO 5: </w:t>
      </w:r>
      <w:r>
        <w:rPr>
          <w:rtl w:val="0"/>
        </w:rPr>
        <w:t>Construct interoperable web services by leveraging JAX-RPC, WSDL, SOAP, and XML Schema for seamless data exchange across distributed systems.(L4,L5)</w:t>
      </w:r>
    </w:p>
    <w:p w14:paraId="0000000F">
      <w:pPr>
        <w:rPr>
          <w:sz w:val="24"/>
          <w:szCs w:val="24"/>
        </w:rPr>
      </w:pPr>
    </w:p>
    <w:p w14:paraId="00000010">
      <w:pPr>
        <w:rPr>
          <w:sz w:val="24"/>
          <w:szCs w:val="24"/>
        </w:rPr>
      </w:pPr>
      <w:r>
        <w:rPr>
          <w:sz w:val="24"/>
          <w:szCs w:val="24"/>
          <w:rtl w:val="0"/>
        </w:rPr>
        <w:t>Assessment Tool :</w:t>
      </w:r>
      <w:r>
        <w:rPr>
          <w:rtl w:val="0"/>
        </w:rPr>
        <w:t xml:space="preserve"> Alternative Solution Design</w:t>
      </w:r>
    </w:p>
    <w:p w14:paraId="00000011">
      <w:pPr>
        <w:rPr>
          <w:sz w:val="24"/>
          <w:szCs w:val="24"/>
        </w:rPr>
      </w:pPr>
      <w:r>
        <w:rPr>
          <w:sz w:val="24"/>
          <w:szCs w:val="24"/>
          <w:rtl w:val="0"/>
        </w:rPr>
        <w:t>Weightage: 20%</w:t>
      </w:r>
    </w:p>
    <w:p w14:paraId="00000012">
      <w:pPr>
        <w:rPr>
          <w:sz w:val="24"/>
          <w:szCs w:val="24"/>
        </w:rPr>
      </w:pPr>
    </w:p>
    <w:p w14:paraId="00000013">
      <w:pPr>
        <w:rPr>
          <w:sz w:val="24"/>
          <w:szCs w:val="24"/>
        </w:rPr>
      </w:pPr>
      <w:r>
        <w:pict>
          <v:rect id="_x0000_i1026" o:spt="1" style="height:1.5pt;width:0pt;" fillcolor="#A0A0A0" filled="t" stroked="f" coordsize="21600,21600" o:hr="t" o:hrstd="t" o:hralign="center">
            <v:path/>
            <v:fill on="t" focussize="0,0"/>
            <v:stroke on="f"/>
            <v:imagedata o:title=""/>
            <o:lock v:ext="edit"/>
            <w10:wrap type="none"/>
            <w10:anchorlock/>
          </v:rect>
        </w:pict>
      </w:r>
    </w:p>
    <w:p w14:paraId="00000014">
      <w:pPr>
        <w:rPr>
          <w:sz w:val="24"/>
          <w:szCs w:val="24"/>
        </w:rPr>
      </w:pPr>
    </w:p>
    <w:p w14:paraId="00000015">
      <w:pPr>
        <w:rPr>
          <w:b/>
          <w:bCs/>
          <w:sz w:val="24"/>
          <w:szCs w:val="24"/>
        </w:rPr>
      </w:pPr>
      <w:r>
        <w:rPr>
          <w:b/>
          <w:bCs/>
          <w:sz w:val="24"/>
          <w:szCs w:val="24"/>
          <w:rtl w:val="0"/>
        </w:rPr>
        <w:t>QUESTIONS:</w:t>
      </w:r>
      <w:r>
        <w:rPr>
          <w:b/>
          <w:bCs/>
          <w:sz w:val="24"/>
          <w:szCs w:val="24"/>
          <w:rtl w:val="0"/>
        </w:rPr>
        <w:tab/>
      </w:r>
      <w:r>
        <w:rPr>
          <w:b/>
          <w:bCs/>
          <w:sz w:val="24"/>
          <w:szCs w:val="24"/>
          <w:rtl w:val="0"/>
        </w:rPr>
        <w:tab/>
      </w:r>
      <w:r>
        <w:rPr>
          <w:b/>
          <w:bCs/>
          <w:sz w:val="24"/>
          <w:szCs w:val="24"/>
          <w:rtl w:val="0"/>
        </w:rPr>
        <w:tab/>
      </w:r>
      <w:r>
        <w:rPr>
          <w:b/>
          <w:bCs/>
          <w:sz w:val="24"/>
          <w:szCs w:val="24"/>
          <w:rtl w:val="0"/>
        </w:rPr>
        <w:tab/>
      </w:r>
      <w:r>
        <w:rPr>
          <w:b/>
          <w:bCs/>
          <w:sz w:val="24"/>
          <w:szCs w:val="24"/>
          <w:rtl w:val="0"/>
        </w:rPr>
        <w:tab/>
      </w:r>
      <w:r>
        <w:rPr>
          <w:b/>
          <w:bCs/>
          <w:sz w:val="24"/>
          <w:szCs w:val="24"/>
          <w:rtl w:val="0"/>
        </w:rPr>
        <w:tab/>
      </w:r>
      <w:r>
        <w:rPr>
          <w:b/>
          <w:bCs/>
          <w:sz w:val="24"/>
          <w:szCs w:val="24"/>
          <w:rtl w:val="0"/>
        </w:rPr>
        <w:t xml:space="preserve">                    Total Marks: 25 </w:t>
      </w:r>
    </w:p>
    <w:p w14:paraId="00000016">
      <w:pPr>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color w:val="EE0000"/>
          <w:sz w:val="24"/>
          <w:szCs w:val="24"/>
        </w:rPr>
      </w:pPr>
      <w:r>
        <w:rPr>
          <w:rFonts w:ascii="Times New Roman" w:hAnsi="Times New Roman" w:eastAsia="Times New Roman" w:cs="Times New Roman"/>
          <w:color w:val="EE0000"/>
          <w:sz w:val="24"/>
          <w:szCs w:val="24"/>
          <w:rtl w:val="0"/>
        </w:rPr>
        <w:t xml:space="preserve">A company needs to develop a web service for a mobile and web application. Analyze both </w:t>
      </w:r>
      <w:r>
        <w:rPr>
          <w:rFonts w:ascii="Times New Roman" w:hAnsi="Times New Roman" w:eastAsia="Times New Roman" w:cs="Times New Roman"/>
          <w:b/>
          <w:bCs/>
          <w:color w:val="EE0000"/>
          <w:sz w:val="24"/>
          <w:szCs w:val="24"/>
          <w:rtl w:val="0"/>
        </w:rPr>
        <w:t>REST and SOAP</w:t>
      </w:r>
      <w:r>
        <w:rPr>
          <w:rFonts w:ascii="Times New Roman" w:hAnsi="Times New Roman" w:eastAsia="Times New Roman" w:cs="Times New Roman"/>
          <w:color w:val="EE0000"/>
          <w:sz w:val="24"/>
          <w:szCs w:val="24"/>
          <w:rtl w:val="0"/>
        </w:rPr>
        <w:t xml:space="preserve"> approaches and design an appropriate solution by selecting one. Justify your choice based on performance, scalability, and security requirements. </w:t>
      </w:r>
    </w:p>
    <w:p w14:paraId="00000017">
      <w:pPr>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color w:val="000000"/>
          <w:sz w:val="24"/>
          <w:szCs w:val="24"/>
        </w:rPr>
      </w:pPr>
    </w:p>
    <w:p w14:paraId="00000018">
      <w:pPr>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1. Analysis of REST vs SOAP for This Scenario</w:t>
      </w:r>
    </w:p>
    <w:p w14:paraId="00000019">
      <w:pPr>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The company's service must be consumed by both a mobile app (bandwidth- and battery-constrained) and a web app (browser-based, latency-sensitive). This context favours evaluating the two paradigms on concrete, comparable dimensions rather than in the abstract.</w:t>
      </w:r>
    </w:p>
    <w:p w14:paraId="0000001A">
      <w:pPr>
        <w:numPr>
          <w:ilvl w:val="0"/>
          <w:numId w:val="1"/>
        </w:numPr>
        <w:pBdr>
          <w:top w:val="none" w:color="auto" w:sz="0" w:space="0"/>
          <w:left w:val="none" w:color="auto" w:sz="0" w:space="0"/>
          <w:bottom w:val="none" w:color="auto" w:sz="0" w:space="0"/>
          <w:right w:val="none" w:color="auto" w:sz="0" w:space="0"/>
          <w:between w:val="none" w:color="auto" w:sz="0" w:space="0"/>
        </w:pBdr>
        <w:spacing w:line="240" w:lineRule="auto"/>
        <w:ind w:left="504" w:hanging="288"/>
        <w:jc w:val="both"/>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tl w:val="0"/>
        </w:rPr>
        <w:t xml:space="preserve">Message format and payload size: </w:t>
      </w:r>
      <w:r>
        <w:rPr>
          <w:rFonts w:ascii="Times New Roman" w:hAnsi="Times New Roman" w:eastAsia="Times New Roman" w:cs="Times New Roman"/>
          <w:color w:val="000000"/>
          <w:sz w:val="24"/>
          <w:szCs w:val="24"/>
          <w:rtl w:val="0"/>
        </w:rPr>
        <w:t>REST typically uses lightweight JSON over HTTP, while SOAP always uses verbose XML Envelopes — JSON payloads are usually 30–50% smaller, which matters directly for mobile data usage and parse time.</w:t>
      </w:r>
    </w:p>
    <w:p w14:paraId="0000001B">
      <w:pPr>
        <w:numPr>
          <w:ilvl w:val="0"/>
          <w:numId w:val="1"/>
        </w:numPr>
        <w:pBdr>
          <w:top w:val="none" w:color="auto" w:sz="0" w:space="0"/>
          <w:left w:val="none" w:color="auto" w:sz="0" w:space="0"/>
          <w:bottom w:val="none" w:color="auto" w:sz="0" w:space="0"/>
          <w:right w:val="none" w:color="auto" w:sz="0" w:space="0"/>
          <w:between w:val="none" w:color="auto" w:sz="0" w:space="0"/>
        </w:pBdr>
        <w:spacing w:line="240" w:lineRule="auto"/>
        <w:ind w:left="504" w:hanging="288"/>
        <w:jc w:val="both"/>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tl w:val="0"/>
        </w:rPr>
        <w:t xml:space="preserve">Performance: </w:t>
      </w:r>
      <w:r>
        <w:rPr>
          <w:rFonts w:ascii="Times New Roman" w:hAnsi="Times New Roman" w:eastAsia="Times New Roman" w:cs="Times New Roman"/>
          <w:color w:val="000000"/>
          <w:sz w:val="24"/>
          <w:szCs w:val="24"/>
          <w:rtl w:val="0"/>
        </w:rPr>
        <w:t>REST calls map directly onto HTTP verbs (GET/POST/PUT/DELETE) and can be cached by browsers, CDNs, and mobile HTTP clients using standard HTTP caching headers; SOAP requests are all POST, so they bypass HTTP caching entirely and add XML parsing overhead on both ends.</w:t>
      </w:r>
    </w:p>
    <w:p w14:paraId="0000001C">
      <w:pPr>
        <w:numPr>
          <w:ilvl w:val="0"/>
          <w:numId w:val="1"/>
        </w:numPr>
        <w:pBdr>
          <w:top w:val="none" w:color="auto" w:sz="0" w:space="0"/>
          <w:left w:val="none" w:color="auto" w:sz="0" w:space="0"/>
          <w:bottom w:val="none" w:color="auto" w:sz="0" w:space="0"/>
          <w:right w:val="none" w:color="auto" w:sz="0" w:space="0"/>
          <w:between w:val="none" w:color="auto" w:sz="0" w:space="0"/>
        </w:pBdr>
        <w:spacing w:line="240" w:lineRule="auto"/>
        <w:ind w:left="504" w:hanging="288"/>
        <w:jc w:val="both"/>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tl w:val="0"/>
        </w:rPr>
        <w:t xml:space="preserve">Scalability: </w:t>
      </w:r>
      <w:r>
        <w:rPr>
          <w:rFonts w:ascii="Times New Roman" w:hAnsi="Times New Roman" w:eastAsia="Times New Roman" w:cs="Times New Roman"/>
          <w:color w:val="000000"/>
          <w:sz w:val="24"/>
          <w:szCs w:val="24"/>
          <w:rtl w:val="0"/>
        </w:rPr>
        <w:t>REST is stateless by design, so any request can be served by any server instance behind a load balancer, which scales horizontally with minimal coordination; SOAP can also be stateless but its heavier processing cost per call makes it more expensive to scale to the same request volume.</w:t>
      </w:r>
    </w:p>
    <w:p w14:paraId="0000001D">
      <w:pPr>
        <w:numPr>
          <w:ilvl w:val="0"/>
          <w:numId w:val="1"/>
        </w:numPr>
        <w:pBdr>
          <w:top w:val="none" w:color="auto" w:sz="0" w:space="0"/>
          <w:left w:val="none" w:color="auto" w:sz="0" w:space="0"/>
          <w:bottom w:val="none" w:color="auto" w:sz="0" w:space="0"/>
          <w:right w:val="none" w:color="auto" w:sz="0" w:space="0"/>
          <w:between w:val="none" w:color="auto" w:sz="0" w:space="0"/>
        </w:pBdr>
        <w:spacing w:line="240" w:lineRule="auto"/>
        <w:ind w:left="504" w:hanging="288"/>
        <w:jc w:val="both"/>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tl w:val="0"/>
        </w:rPr>
        <w:t xml:space="preserve">Security: </w:t>
      </w:r>
      <w:r>
        <w:rPr>
          <w:rFonts w:ascii="Times New Roman" w:hAnsi="Times New Roman" w:eastAsia="Times New Roman" w:cs="Times New Roman"/>
          <w:color w:val="000000"/>
          <w:sz w:val="24"/>
          <w:szCs w:val="24"/>
          <w:rtl w:val="0"/>
        </w:rPr>
        <w:t>SOAP has built-in, standardized WS-Security for message-level encryption and signing, which is valuable for strict enterprise/B2B contracts; REST relies on transport-level security (HTTPS/TLS) plus token-based schemes like OAuth 2.0/JWT, which is simpler to implement and is the de-facto standard for mobile and web clients today.</w:t>
      </w:r>
    </w:p>
    <w:p w14:paraId="0000001E">
      <w:pPr>
        <w:numPr>
          <w:ilvl w:val="0"/>
          <w:numId w:val="1"/>
        </w:numPr>
        <w:pBdr>
          <w:top w:val="none" w:color="auto" w:sz="0" w:space="0"/>
          <w:left w:val="none" w:color="auto" w:sz="0" w:space="0"/>
          <w:bottom w:val="none" w:color="auto" w:sz="0" w:space="0"/>
          <w:right w:val="none" w:color="auto" w:sz="0" w:space="0"/>
          <w:between w:val="none" w:color="auto" w:sz="0" w:space="0"/>
        </w:pBdr>
        <w:spacing w:line="240" w:lineRule="auto"/>
        <w:ind w:left="504" w:hanging="288"/>
        <w:jc w:val="both"/>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tl w:val="0"/>
        </w:rPr>
        <w:t xml:space="preserve">Tooling and client support: </w:t>
      </w:r>
      <w:r>
        <w:rPr>
          <w:rFonts w:ascii="Times New Roman" w:hAnsi="Times New Roman" w:eastAsia="Times New Roman" w:cs="Times New Roman"/>
          <w:color w:val="000000"/>
          <w:sz w:val="24"/>
          <w:szCs w:val="24"/>
          <w:rtl w:val="0"/>
        </w:rPr>
        <w:t>virtually every mobile SDK and browser fetch/HTTP library is built around REST/JSON idioms; SOAP requires generating and maintaining client stubs from WSDL, adding friction for fast-moving app teams.</w:t>
      </w:r>
    </w:p>
    <w:p w14:paraId="0000001F">
      <w:pPr>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b/>
          <w:bCs/>
          <w:i/>
          <w:iCs/>
          <w:color w:val="000000"/>
          <w:sz w:val="24"/>
          <w:szCs w:val="24"/>
          <w:rtl w:val="0"/>
        </w:rPr>
        <w:t>2. Selected Approach: REST</w:t>
      </w:r>
    </w:p>
    <w:p w14:paraId="00000020">
      <w:pPr>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For a service that must serve both a mobile and a web client, REST is the more appropriate choice. It gives lower payload size and latency (important for mobile networks), scales more cheaply under high concurrent load, integrates with standard HTTPS + OAuth 2.0/JWT security, and matches native tooling on both platforms — all without needing the heavier machine-to-machine contract guarantees that SOAP was built for.</w:t>
      </w:r>
    </w:p>
    <w:p w14:paraId="00000021">
      <w:pPr>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b/>
          <w:bCs/>
          <w:i/>
          <w:iCs/>
          <w:color w:val="000000"/>
          <w:sz w:val="24"/>
          <w:szCs w:val="24"/>
          <w:rtl w:val="0"/>
        </w:rPr>
        <w:t>3. High-Level Design of the REST Solution</w:t>
      </w:r>
    </w:p>
    <w:p w14:paraId="00000022">
      <w:pPr>
        <w:numPr>
          <w:ilvl w:val="0"/>
          <w:numId w:val="1"/>
        </w:numPr>
        <w:pBdr>
          <w:top w:val="none" w:color="auto" w:sz="0" w:space="0"/>
          <w:left w:val="none" w:color="auto" w:sz="0" w:space="0"/>
          <w:bottom w:val="none" w:color="auto" w:sz="0" w:space="0"/>
          <w:right w:val="none" w:color="auto" w:sz="0" w:space="0"/>
          <w:between w:val="none" w:color="auto" w:sz="0" w:space="0"/>
        </w:pBdr>
        <w:spacing w:line="240" w:lineRule="auto"/>
        <w:ind w:left="504" w:hanging="288"/>
        <w:jc w:val="both"/>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tl w:val="0"/>
        </w:rPr>
        <w:t xml:space="preserve">Resource-oriented endpoints: </w:t>
      </w:r>
      <w:r>
        <w:rPr>
          <w:rFonts w:ascii="Times New Roman" w:hAnsi="Times New Roman" w:eastAsia="Times New Roman" w:cs="Times New Roman"/>
          <w:color w:val="000000"/>
          <w:sz w:val="24"/>
          <w:szCs w:val="24"/>
          <w:rtl w:val="0"/>
        </w:rPr>
        <w:t>e.g., GET /api/v1/orders/{id}, POST /api/v1/orders, PUT /api/v1/orders/{id}, DELETE /api/v1/orders/{id} — each resource maps cleanly to a URL and an HTTP verb.</w:t>
      </w:r>
    </w:p>
    <w:p w14:paraId="00000023">
      <w:pPr>
        <w:numPr>
          <w:ilvl w:val="0"/>
          <w:numId w:val="1"/>
        </w:numPr>
        <w:pBdr>
          <w:top w:val="none" w:color="auto" w:sz="0" w:space="0"/>
          <w:left w:val="none" w:color="auto" w:sz="0" w:space="0"/>
          <w:bottom w:val="none" w:color="auto" w:sz="0" w:space="0"/>
          <w:right w:val="none" w:color="auto" w:sz="0" w:space="0"/>
          <w:between w:val="none" w:color="auto" w:sz="0" w:space="0"/>
        </w:pBdr>
        <w:spacing w:line="240" w:lineRule="auto"/>
        <w:ind w:left="504" w:hanging="288"/>
        <w:jc w:val="both"/>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tl w:val="0"/>
        </w:rPr>
        <w:t xml:space="preserve">JSON payloads: </w:t>
      </w:r>
      <w:r>
        <w:rPr>
          <w:rFonts w:ascii="Times New Roman" w:hAnsi="Times New Roman" w:eastAsia="Times New Roman" w:cs="Times New Roman"/>
          <w:color w:val="000000"/>
          <w:sz w:val="24"/>
          <w:szCs w:val="24"/>
          <w:rtl w:val="0"/>
        </w:rPr>
        <w:t>requests and responses use application/json, keeping messages compact for mobile bandwidth.</w:t>
      </w:r>
    </w:p>
    <w:p w14:paraId="00000024">
      <w:pPr>
        <w:numPr>
          <w:ilvl w:val="0"/>
          <w:numId w:val="1"/>
        </w:numPr>
        <w:pBdr>
          <w:top w:val="none" w:color="auto" w:sz="0" w:space="0"/>
          <w:left w:val="none" w:color="auto" w:sz="0" w:space="0"/>
          <w:bottom w:val="none" w:color="auto" w:sz="0" w:space="0"/>
          <w:right w:val="none" w:color="auto" w:sz="0" w:space="0"/>
          <w:between w:val="none" w:color="auto" w:sz="0" w:space="0"/>
        </w:pBdr>
        <w:spacing w:line="240" w:lineRule="auto"/>
        <w:ind w:left="504" w:hanging="288"/>
        <w:jc w:val="both"/>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tl w:val="0"/>
        </w:rPr>
        <w:t xml:space="preserve">Statelessness: </w:t>
      </w:r>
      <w:r>
        <w:rPr>
          <w:rFonts w:ascii="Times New Roman" w:hAnsi="Times New Roman" w:eastAsia="Times New Roman" w:cs="Times New Roman"/>
          <w:color w:val="000000"/>
          <w:sz w:val="24"/>
          <w:szCs w:val="24"/>
          <w:rtl w:val="0"/>
        </w:rPr>
        <w:t>each request carries its own authentication token (JWT) so no server-side session state is required, enabling any server behind the load balancer to handle any request.</w:t>
      </w:r>
    </w:p>
    <w:p w14:paraId="00000025">
      <w:pPr>
        <w:numPr>
          <w:ilvl w:val="0"/>
          <w:numId w:val="1"/>
        </w:numPr>
        <w:pBdr>
          <w:top w:val="none" w:color="auto" w:sz="0" w:space="0"/>
          <w:left w:val="none" w:color="auto" w:sz="0" w:space="0"/>
          <w:bottom w:val="none" w:color="auto" w:sz="0" w:space="0"/>
          <w:right w:val="none" w:color="auto" w:sz="0" w:space="0"/>
          <w:between w:val="none" w:color="auto" w:sz="0" w:space="0"/>
        </w:pBdr>
        <w:spacing w:line="240" w:lineRule="auto"/>
        <w:ind w:left="504" w:hanging="288"/>
        <w:jc w:val="both"/>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tl w:val="0"/>
        </w:rPr>
        <w:t xml:space="preserve">HTTPS + OAuth 2.0 / JWT: </w:t>
      </w:r>
      <w:r>
        <w:rPr>
          <w:rFonts w:ascii="Times New Roman" w:hAnsi="Times New Roman" w:eastAsia="Times New Roman" w:cs="Times New Roman"/>
          <w:color w:val="000000"/>
          <w:sz w:val="24"/>
          <w:szCs w:val="24"/>
          <w:rtl w:val="0"/>
        </w:rPr>
        <w:t>all traffic is encrypted in transit, and every request is authorized via a bearer token issued at login, avoiding the overhead of WS-Security XML signing.</w:t>
      </w:r>
    </w:p>
    <w:p w14:paraId="00000026">
      <w:pPr>
        <w:numPr>
          <w:ilvl w:val="0"/>
          <w:numId w:val="1"/>
        </w:numPr>
        <w:pBdr>
          <w:top w:val="none" w:color="auto" w:sz="0" w:space="0"/>
          <w:left w:val="none" w:color="auto" w:sz="0" w:space="0"/>
          <w:bottom w:val="none" w:color="auto" w:sz="0" w:space="0"/>
          <w:right w:val="none" w:color="auto" w:sz="0" w:space="0"/>
          <w:between w:val="none" w:color="auto" w:sz="0" w:space="0"/>
        </w:pBdr>
        <w:spacing w:line="240" w:lineRule="auto"/>
        <w:ind w:left="504" w:hanging="288"/>
        <w:jc w:val="both"/>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tl w:val="0"/>
        </w:rPr>
        <w:t xml:space="preserve">Versioning: </w:t>
      </w:r>
      <w:r>
        <w:rPr>
          <w:rFonts w:ascii="Times New Roman" w:hAnsi="Times New Roman" w:eastAsia="Times New Roman" w:cs="Times New Roman"/>
          <w:color w:val="000000"/>
          <w:sz w:val="24"/>
          <w:szCs w:val="24"/>
          <w:rtl w:val="0"/>
        </w:rPr>
        <w:t>the API is versioned in the URL (/api/v1/...) so the mobile and web clients can be updated independently of backend changes.</w:t>
      </w:r>
    </w:p>
    <w:p w14:paraId="00000027">
      <w:pPr>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b/>
          <w:bCs/>
          <w:i/>
          <w:iCs/>
          <w:color w:val="000000"/>
          <w:sz w:val="24"/>
          <w:szCs w:val="24"/>
          <w:rtl w:val="0"/>
        </w:rPr>
        <w:t>4. Justification Summary</w:t>
      </w:r>
    </w:p>
    <w:p w14:paraId="00000028">
      <w:pPr>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REST is justified over SOAP here specifically because: (a) performance — smaller JSON payloads and HTTP caching reduce latency for mobile users on variable networks; (b) scalability — statelessness and lower per-request processing cost let the service scale horizontally more cheaply as user numbers grow; and (c) security — HTTPS combined with OAuth 2.0/JWT meets modern mobile and web security expectations without the added complexity of WS-Security, while still being upgradable to mutual TLS for higher-security endpoints such as payments.</w:t>
      </w:r>
    </w:p>
    <w:p w14:paraId="00000029">
      <w:pPr>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sz w:val="24"/>
          <w:szCs w:val="24"/>
        </w:rPr>
      </w:pPr>
    </w:p>
    <w:p w14:paraId="0000002A">
      <w:pPr>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color w:val="EE0000"/>
          <w:sz w:val="24"/>
          <w:szCs w:val="24"/>
        </w:rPr>
      </w:pPr>
      <w:r>
        <w:rPr>
          <w:rFonts w:ascii="Times New Roman" w:hAnsi="Times New Roman" w:eastAsia="Times New Roman" w:cs="Times New Roman"/>
          <w:color w:val="EE0000"/>
          <w:sz w:val="24"/>
          <w:szCs w:val="24"/>
          <w:rtl w:val="0"/>
        </w:rPr>
        <w:t xml:space="preserve">2. An online platform expects a large number of users accessing its services simultaneously. Design a </w:t>
      </w:r>
      <w:r>
        <w:rPr>
          <w:rFonts w:ascii="Times New Roman" w:hAnsi="Times New Roman" w:eastAsia="Times New Roman" w:cs="Times New Roman"/>
          <w:b/>
          <w:bCs/>
          <w:color w:val="EE0000"/>
          <w:sz w:val="24"/>
          <w:szCs w:val="24"/>
          <w:rtl w:val="0"/>
        </w:rPr>
        <w:t>scalable service architecture</w:t>
      </w:r>
      <w:r>
        <w:rPr>
          <w:rFonts w:ascii="Times New Roman" w:hAnsi="Times New Roman" w:eastAsia="Times New Roman" w:cs="Times New Roman"/>
          <w:color w:val="EE0000"/>
          <w:sz w:val="24"/>
          <w:szCs w:val="24"/>
          <w:rtl w:val="0"/>
        </w:rPr>
        <w:t xml:space="preserve"> showing how client, server, API, and database interact. Propose an alternative design to improve scalability and justify your approach. </w:t>
      </w:r>
    </w:p>
    <w:p w14:paraId="0000002B">
      <w:pPr>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color w:val="EE0000"/>
          <w:sz w:val="24"/>
          <w:szCs w:val="24"/>
        </w:rPr>
      </w:pPr>
    </w:p>
    <w:p w14:paraId="0000002C">
      <w:pPr>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
          <w:iCs/>
          <w:sz w:val="24"/>
          <w:szCs w:val="24"/>
          <w:rtl w:val="0"/>
        </w:rPr>
        <w:t>1. Baseline Architecture: Client – API – Server – Database</w:t>
      </w:r>
    </w:p>
    <w:p w14:paraId="0000002D">
      <w:pPr>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interaction flow for a request is as follows:</w:t>
      </w:r>
    </w:p>
    <w:p w14:paraId="0000002E">
      <w:pPr>
        <w:numPr>
          <w:ilvl w:val="0"/>
          <w:numId w:val="2"/>
        </w:numPr>
        <w:pBdr>
          <w:top w:val="none" w:color="auto" w:sz="0" w:space="0"/>
          <w:left w:val="none" w:color="auto" w:sz="0" w:space="0"/>
          <w:bottom w:val="none" w:color="auto" w:sz="0" w:space="0"/>
          <w:right w:val="none" w:color="auto" w:sz="0" w:space="0"/>
          <w:between w:val="none" w:color="auto" w:sz="0" w:space="0"/>
        </w:pBdr>
        <w:spacing w:line="240" w:lineRule="auto"/>
        <w:ind w:left="504"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Client (web browser or mobile app) sends an HTTPS request to a public API endpoint, e.g., GET /api/v1/products.</w:t>
      </w:r>
    </w:p>
    <w:p w14:paraId="0000002F">
      <w:pPr>
        <w:numPr>
          <w:ilvl w:val="0"/>
          <w:numId w:val="2"/>
        </w:numPr>
        <w:pBdr>
          <w:top w:val="none" w:color="auto" w:sz="0" w:space="0"/>
          <w:left w:val="none" w:color="auto" w:sz="0" w:space="0"/>
          <w:bottom w:val="none" w:color="auto" w:sz="0" w:space="0"/>
          <w:right w:val="none" w:color="auto" w:sz="0" w:space="0"/>
          <w:between w:val="none" w:color="auto" w:sz="0" w:space="0"/>
        </w:pBdr>
        <w:spacing w:line="240" w:lineRule="auto"/>
        <w:ind w:left="504"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 Load Balancer receives the request and forwards it to one of several identical Application Server instances based on current load (round-robin or least-connections).</w:t>
      </w:r>
    </w:p>
    <w:p w14:paraId="00000030">
      <w:pPr>
        <w:numPr>
          <w:ilvl w:val="0"/>
          <w:numId w:val="2"/>
        </w:numPr>
        <w:pBdr>
          <w:top w:val="none" w:color="auto" w:sz="0" w:space="0"/>
          <w:left w:val="none" w:color="auto" w:sz="0" w:space="0"/>
          <w:bottom w:val="none" w:color="auto" w:sz="0" w:space="0"/>
          <w:right w:val="none" w:color="auto" w:sz="0" w:space="0"/>
          <w:between w:val="none" w:color="auto" w:sz="0" w:space="0"/>
        </w:pBdr>
        <w:spacing w:line="240" w:lineRule="auto"/>
        <w:ind w:left="504"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chosen Application Server executes the business logic behind the API layer, and queries the Database (or a cache) to fetch or persist data.</w:t>
      </w:r>
    </w:p>
    <w:p w14:paraId="00000031">
      <w:pPr>
        <w:numPr>
          <w:ilvl w:val="0"/>
          <w:numId w:val="2"/>
        </w:numPr>
        <w:pBdr>
          <w:top w:val="none" w:color="auto" w:sz="0" w:space="0"/>
          <w:left w:val="none" w:color="auto" w:sz="0" w:space="0"/>
          <w:bottom w:val="none" w:color="auto" w:sz="0" w:space="0"/>
          <w:right w:val="none" w:color="auto" w:sz="0" w:space="0"/>
          <w:between w:val="none" w:color="auto" w:sz="0" w:space="0"/>
        </w:pBdr>
        <w:spacing w:line="240" w:lineRule="auto"/>
        <w:ind w:left="504"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Database returns the result to the application server, which formats the response (JSON) and sends it back through the load balancer to the client.</w:t>
      </w:r>
    </w:p>
    <w:p w14:paraId="00000032">
      <w:pPr>
        <w:numPr>
          <w:ilvl w:val="0"/>
          <w:numId w:val="2"/>
        </w:numPr>
        <w:pBdr>
          <w:top w:val="none" w:color="auto" w:sz="0" w:space="0"/>
          <w:left w:val="none" w:color="auto" w:sz="0" w:space="0"/>
          <w:bottom w:val="none" w:color="auto" w:sz="0" w:space="0"/>
          <w:right w:val="none" w:color="auto" w:sz="0" w:space="0"/>
          <w:between w:val="none" w:color="auto" w:sz="0" w:space="0"/>
        </w:pBdr>
        <w:spacing w:line="240" w:lineRule="auto"/>
        <w:ind w:left="504"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client renders the response; for repeated identical requests, a Content Delivery Network (CDN) or HTTP cache in front of the load balancer can serve the response directly without hitting the application servers at all.</w:t>
      </w:r>
    </w:p>
    <w:p w14:paraId="00000033">
      <w:pPr>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
          <w:iCs/>
          <w:sz w:val="24"/>
          <w:szCs w:val="24"/>
          <w:rtl w:val="0"/>
        </w:rPr>
        <w:t>2. Bottlenecks in the Baseline Design</w:t>
      </w:r>
    </w:p>
    <w:p w14:paraId="00000034">
      <w:pPr>
        <w:numPr>
          <w:ilvl w:val="0"/>
          <w:numId w:val="1"/>
        </w:numPr>
        <w:pBdr>
          <w:top w:val="none" w:color="auto" w:sz="0" w:space="0"/>
          <w:left w:val="none" w:color="auto" w:sz="0" w:space="0"/>
          <w:bottom w:val="none" w:color="auto" w:sz="0" w:space="0"/>
          <w:right w:val="none" w:color="auto" w:sz="0" w:space="0"/>
          <w:between w:val="none" w:color="auto" w:sz="0" w:space="0"/>
        </w:pBdr>
        <w:spacing w:line="240" w:lineRule="auto"/>
        <w:ind w:left="504" w:hanging="288"/>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Single database instance: </w:t>
      </w:r>
      <w:r>
        <w:rPr>
          <w:rFonts w:ascii="Times New Roman" w:hAnsi="Times New Roman" w:eastAsia="Times New Roman" w:cs="Times New Roman"/>
          <w:sz w:val="24"/>
          <w:szCs w:val="24"/>
          <w:rtl w:val="0"/>
        </w:rPr>
        <w:t>under heavy simultaneous load, one relational database quickly becomes the bottleneck for both reads and writes.</w:t>
      </w:r>
    </w:p>
    <w:p w14:paraId="00000035">
      <w:pPr>
        <w:numPr>
          <w:ilvl w:val="0"/>
          <w:numId w:val="1"/>
        </w:numPr>
        <w:pBdr>
          <w:top w:val="none" w:color="auto" w:sz="0" w:space="0"/>
          <w:left w:val="none" w:color="auto" w:sz="0" w:space="0"/>
          <w:bottom w:val="none" w:color="auto" w:sz="0" w:space="0"/>
          <w:right w:val="none" w:color="auto" w:sz="0" w:space="0"/>
          <w:between w:val="none" w:color="auto" w:sz="0" w:space="0"/>
        </w:pBdr>
        <w:spacing w:line="240" w:lineRule="auto"/>
        <w:ind w:left="504" w:hanging="288"/>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Synchronous request handling: </w:t>
      </w:r>
      <w:r>
        <w:rPr>
          <w:rFonts w:ascii="Times New Roman" w:hAnsi="Times New Roman" w:eastAsia="Times New Roman" w:cs="Times New Roman"/>
          <w:sz w:val="24"/>
          <w:szCs w:val="24"/>
          <w:rtl w:val="0"/>
        </w:rPr>
        <w:t>if every request blocks on a slow downstream call, server threads get exhausted quickly during traffic spikes.</w:t>
      </w:r>
    </w:p>
    <w:p w14:paraId="00000036">
      <w:pPr>
        <w:numPr>
          <w:ilvl w:val="0"/>
          <w:numId w:val="1"/>
        </w:numPr>
        <w:pBdr>
          <w:top w:val="none" w:color="auto" w:sz="0" w:space="0"/>
          <w:left w:val="none" w:color="auto" w:sz="0" w:space="0"/>
          <w:bottom w:val="none" w:color="auto" w:sz="0" w:space="0"/>
          <w:right w:val="none" w:color="auto" w:sz="0" w:space="0"/>
          <w:between w:val="none" w:color="auto" w:sz="0" w:space="0"/>
        </w:pBdr>
        <w:spacing w:line="240" w:lineRule="auto"/>
        <w:ind w:left="504" w:hanging="288"/>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No caching layer: </w:t>
      </w:r>
      <w:r>
        <w:rPr>
          <w:rFonts w:ascii="Times New Roman" w:hAnsi="Times New Roman" w:eastAsia="Times New Roman" w:cs="Times New Roman"/>
          <w:sz w:val="24"/>
          <w:szCs w:val="24"/>
          <w:rtl w:val="0"/>
        </w:rPr>
        <w:t>repeated identical read requests unnecessarily hit the database each time.</w:t>
      </w:r>
    </w:p>
    <w:p w14:paraId="00000037">
      <w:pPr>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
          <w:iCs/>
          <w:sz w:val="24"/>
          <w:szCs w:val="24"/>
          <w:rtl w:val="0"/>
        </w:rPr>
        <w:t>3. Alternative Design to Improve Scalability</w:t>
      </w:r>
    </w:p>
    <w:p w14:paraId="00000038">
      <w:pPr>
        <w:numPr>
          <w:ilvl w:val="0"/>
          <w:numId w:val="1"/>
        </w:numPr>
        <w:pBdr>
          <w:top w:val="none" w:color="auto" w:sz="0" w:space="0"/>
          <w:left w:val="none" w:color="auto" w:sz="0" w:space="0"/>
          <w:bottom w:val="none" w:color="auto" w:sz="0" w:space="0"/>
          <w:right w:val="none" w:color="auto" w:sz="0" w:space="0"/>
          <w:between w:val="none" w:color="auto" w:sz="0" w:space="0"/>
        </w:pBdr>
        <w:spacing w:line="240" w:lineRule="auto"/>
        <w:ind w:left="504" w:hanging="288"/>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Horizontal auto-scaling of application servers: </w:t>
      </w:r>
      <w:r>
        <w:rPr>
          <w:rFonts w:ascii="Times New Roman" w:hAnsi="Times New Roman" w:eastAsia="Times New Roman" w:cs="Times New Roman"/>
          <w:sz w:val="24"/>
          <w:szCs w:val="24"/>
          <w:rtl w:val="0"/>
        </w:rPr>
        <w:t>run the API layer as a stateless service behind a load balancer in an auto-scaling group, so new instances spin up automatically as concurrent traffic increases and scale down afterward to save cost.</w:t>
      </w:r>
    </w:p>
    <w:p w14:paraId="00000039">
      <w:pPr>
        <w:numPr>
          <w:ilvl w:val="0"/>
          <w:numId w:val="1"/>
        </w:numPr>
        <w:pBdr>
          <w:top w:val="none" w:color="auto" w:sz="0" w:space="0"/>
          <w:left w:val="none" w:color="auto" w:sz="0" w:space="0"/>
          <w:bottom w:val="none" w:color="auto" w:sz="0" w:space="0"/>
          <w:right w:val="none" w:color="auto" w:sz="0" w:space="0"/>
          <w:between w:val="none" w:color="auto" w:sz="0" w:space="0"/>
        </w:pBdr>
        <w:spacing w:line="240" w:lineRule="auto"/>
        <w:ind w:left="504" w:hanging="288"/>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In-memory caching layer (e.g., Redis/Memcached): </w:t>
      </w:r>
      <w:r>
        <w:rPr>
          <w:rFonts w:ascii="Times New Roman" w:hAnsi="Times New Roman" w:eastAsia="Times New Roman" w:cs="Times New Roman"/>
          <w:sz w:val="24"/>
          <w:szCs w:val="24"/>
          <w:rtl w:val="0"/>
        </w:rPr>
        <w:t>cache frequently requested, rarely changing data (product catalog, session lookups) so most reads never reach the database.</w:t>
      </w:r>
    </w:p>
    <w:p w14:paraId="0000003A">
      <w:pPr>
        <w:numPr>
          <w:ilvl w:val="0"/>
          <w:numId w:val="1"/>
        </w:numPr>
        <w:pBdr>
          <w:top w:val="none" w:color="auto" w:sz="0" w:space="0"/>
          <w:left w:val="none" w:color="auto" w:sz="0" w:space="0"/>
          <w:bottom w:val="none" w:color="auto" w:sz="0" w:space="0"/>
          <w:right w:val="none" w:color="auto" w:sz="0" w:space="0"/>
          <w:between w:val="none" w:color="auto" w:sz="0" w:space="0"/>
        </w:pBdr>
        <w:spacing w:line="240" w:lineRule="auto"/>
        <w:ind w:left="504" w:hanging="288"/>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Database read replicas and sharding: </w:t>
      </w:r>
      <w:r>
        <w:rPr>
          <w:rFonts w:ascii="Times New Roman" w:hAnsi="Times New Roman" w:eastAsia="Times New Roman" w:cs="Times New Roman"/>
          <w:sz w:val="24"/>
          <w:szCs w:val="24"/>
          <w:rtl w:val="0"/>
        </w:rPr>
        <w:t>route read-heavy queries to one or more read replicas while writes go to the primary, and shard the database by a key such as user ID once a single primary can no longer keep up with write volume.</w:t>
      </w:r>
    </w:p>
    <w:p w14:paraId="0000003B">
      <w:pPr>
        <w:numPr>
          <w:ilvl w:val="0"/>
          <w:numId w:val="1"/>
        </w:numPr>
        <w:pBdr>
          <w:top w:val="none" w:color="auto" w:sz="0" w:space="0"/>
          <w:left w:val="none" w:color="auto" w:sz="0" w:space="0"/>
          <w:bottom w:val="none" w:color="auto" w:sz="0" w:space="0"/>
          <w:right w:val="none" w:color="auto" w:sz="0" w:space="0"/>
          <w:between w:val="none" w:color="auto" w:sz="0" w:space="0"/>
        </w:pBdr>
        <w:spacing w:line="240" w:lineRule="auto"/>
        <w:ind w:left="504" w:hanging="288"/>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Asynchronous processing with a message queue: </w:t>
      </w:r>
      <w:r>
        <w:rPr>
          <w:rFonts w:ascii="Times New Roman" w:hAnsi="Times New Roman" w:eastAsia="Times New Roman" w:cs="Times New Roman"/>
          <w:sz w:val="24"/>
          <w:szCs w:val="24"/>
          <w:rtl w:val="0"/>
        </w:rPr>
        <w:t>offload non-time-critical work (sending confirmation emails, generating reports, updating analytics) to a queue (e.g., RabbitMQ/Kafka) processed by background workers, so the API layer responds to the client quickly instead of blocking on slow tasks.</w:t>
      </w:r>
    </w:p>
    <w:p w14:paraId="0000003C">
      <w:pPr>
        <w:numPr>
          <w:ilvl w:val="0"/>
          <w:numId w:val="1"/>
        </w:numPr>
        <w:pBdr>
          <w:top w:val="none" w:color="auto" w:sz="0" w:space="0"/>
          <w:left w:val="none" w:color="auto" w:sz="0" w:space="0"/>
          <w:bottom w:val="none" w:color="auto" w:sz="0" w:space="0"/>
          <w:right w:val="none" w:color="auto" w:sz="0" w:space="0"/>
          <w:between w:val="none" w:color="auto" w:sz="0" w:space="0"/>
        </w:pBdr>
        <w:spacing w:line="240" w:lineRule="auto"/>
        <w:ind w:left="504" w:hanging="288"/>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CDN and edge caching: </w:t>
      </w:r>
      <w:r>
        <w:rPr>
          <w:rFonts w:ascii="Times New Roman" w:hAnsi="Times New Roman" w:eastAsia="Times New Roman" w:cs="Times New Roman"/>
          <w:sz w:val="24"/>
          <w:szCs w:val="24"/>
          <w:rtl w:val="0"/>
        </w:rPr>
        <w:t>serve static assets and cacheable API responses from edge locations close to the user, reducing both latency and load on origin servers.</w:t>
      </w:r>
    </w:p>
    <w:p w14:paraId="0000003D">
      <w:pPr>
        <w:numPr>
          <w:ilvl w:val="0"/>
          <w:numId w:val="1"/>
        </w:numPr>
        <w:pBdr>
          <w:top w:val="none" w:color="auto" w:sz="0" w:space="0"/>
          <w:left w:val="none" w:color="auto" w:sz="0" w:space="0"/>
          <w:bottom w:val="none" w:color="auto" w:sz="0" w:space="0"/>
          <w:right w:val="none" w:color="auto" w:sz="0" w:space="0"/>
          <w:between w:val="none" w:color="auto" w:sz="0" w:space="0"/>
        </w:pBdr>
        <w:spacing w:line="240" w:lineRule="auto"/>
        <w:ind w:left="504" w:hanging="288"/>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Microservices decomposition: </w:t>
      </w:r>
      <w:r>
        <w:rPr>
          <w:rFonts w:ascii="Times New Roman" w:hAnsi="Times New Roman" w:eastAsia="Times New Roman" w:cs="Times New Roman"/>
          <w:sz w:val="24"/>
          <w:szCs w:val="24"/>
          <w:rtl w:val="0"/>
        </w:rPr>
        <w:t>split the monolithic API into independently deployable services (e.g., Catalog Service, Order Service, Payment Service) so each can be scaled independently based on its own traffic pattern, rather than scaling the entire application for one hot endpoint.</w:t>
      </w:r>
    </w:p>
    <w:p w14:paraId="0000003E">
      <w:pPr>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
          <w:iCs/>
          <w:sz w:val="24"/>
          <w:szCs w:val="24"/>
          <w:rtl w:val="0"/>
        </w:rPr>
        <w:t>4. Justification</w:t>
      </w:r>
    </w:p>
    <w:p w14:paraId="0000003F">
      <w:pPr>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This alternative design directly targets the observed bottlenecks: caching and read replicas remove repeated pressure on the primary database, horizontal auto-scaling matches compute capacity to real-time demand instead of a fixed server count, asynchronous queues prevent slow background tasks from consuming request-handling threads, and microservice decomposition allows the single busiest part of the platform (e.g., checkout during a sale) to be scaled independently of quieter parts (e.g., account settings). Together these changes let the platform absorb large simultaneous user loads with predictable latency and controlled infrastructure cost.</w:t>
      </w:r>
    </w:p>
    <w:p w14:paraId="00000040">
      <w:pPr>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sz w:val="24"/>
          <w:szCs w:val="24"/>
        </w:rPr>
      </w:pPr>
    </w:p>
    <w:p w14:paraId="00000041">
      <w:pPr>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color w:val="EE0000"/>
          <w:sz w:val="24"/>
          <w:szCs w:val="24"/>
        </w:rPr>
      </w:pPr>
      <w:r>
        <w:rPr>
          <w:rFonts w:ascii="Times New Roman" w:hAnsi="Times New Roman" w:eastAsia="Times New Roman" w:cs="Times New Roman"/>
          <w:color w:val="EE0000"/>
          <w:sz w:val="24"/>
          <w:szCs w:val="24"/>
          <w:rtl w:val="0"/>
        </w:rPr>
        <w:t xml:space="preserve">3. A banking application requires secure communication between client and server. Analyze available communication protocols and </w:t>
      </w:r>
      <w:r>
        <w:rPr>
          <w:rFonts w:ascii="Times New Roman" w:hAnsi="Times New Roman" w:eastAsia="Times New Roman" w:cs="Times New Roman"/>
          <w:b/>
          <w:bCs/>
          <w:color w:val="EE0000"/>
          <w:sz w:val="24"/>
          <w:szCs w:val="24"/>
          <w:rtl w:val="0"/>
        </w:rPr>
        <w:t>select the most suitable protocol</w:t>
      </w:r>
      <w:r>
        <w:rPr>
          <w:rFonts w:ascii="Times New Roman" w:hAnsi="Times New Roman" w:eastAsia="Times New Roman" w:cs="Times New Roman"/>
          <w:color w:val="EE0000"/>
          <w:sz w:val="24"/>
          <w:szCs w:val="24"/>
          <w:rtl w:val="0"/>
        </w:rPr>
        <w:t xml:space="preserve">. Justify your selection based on security, reliability, and performance. </w:t>
      </w:r>
    </w:p>
    <w:p w14:paraId="00000042">
      <w:pPr>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color w:val="EE0000"/>
          <w:sz w:val="24"/>
          <w:szCs w:val="24"/>
        </w:rPr>
      </w:pPr>
    </w:p>
    <w:p w14:paraId="00000043">
      <w:pPr>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
          <w:iCs/>
          <w:sz w:val="24"/>
          <w:szCs w:val="24"/>
          <w:rtl w:val="0"/>
        </w:rPr>
        <w:t>1. Candidate Protocols Analyzed</w:t>
      </w:r>
    </w:p>
    <w:p w14:paraId="00000044">
      <w:pPr>
        <w:numPr>
          <w:ilvl w:val="0"/>
          <w:numId w:val="1"/>
        </w:numPr>
        <w:pBdr>
          <w:top w:val="none" w:color="auto" w:sz="0" w:space="0"/>
          <w:left w:val="none" w:color="auto" w:sz="0" w:space="0"/>
          <w:bottom w:val="none" w:color="auto" w:sz="0" w:space="0"/>
          <w:right w:val="none" w:color="auto" w:sz="0" w:space="0"/>
          <w:between w:val="none" w:color="auto" w:sz="0" w:space="0"/>
        </w:pBdr>
        <w:spacing w:line="240" w:lineRule="auto"/>
        <w:ind w:left="504" w:hanging="288"/>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Plain HTTP: </w:t>
      </w:r>
      <w:r>
        <w:rPr>
          <w:rFonts w:ascii="Times New Roman" w:hAnsi="Times New Roman" w:eastAsia="Times New Roman" w:cs="Times New Roman"/>
          <w:sz w:val="24"/>
          <w:szCs w:val="24"/>
          <w:rtl w:val="0"/>
        </w:rPr>
        <w:t>simple and fast, but transmits data unencrypted — completely unsuitable for banking data such as account numbers or transaction details.</w:t>
      </w:r>
    </w:p>
    <w:p w14:paraId="00000045">
      <w:pPr>
        <w:numPr>
          <w:ilvl w:val="0"/>
          <w:numId w:val="1"/>
        </w:numPr>
        <w:pBdr>
          <w:top w:val="none" w:color="auto" w:sz="0" w:space="0"/>
          <w:left w:val="none" w:color="auto" w:sz="0" w:space="0"/>
          <w:bottom w:val="none" w:color="auto" w:sz="0" w:space="0"/>
          <w:right w:val="none" w:color="auto" w:sz="0" w:space="0"/>
          <w:between w:val="none" w:color="auto" w:sz="0" w:space="0"/>
        </w:pBdr>
        <w:spacing w:line="240" w:lineRule="auto"/>
        <w:ind w:left="504" w:hanging="288"/>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HTTPS (HTTP over TLS): </w:t>
      </w:r>
      <w:r>
        <w:rPr>
          <w:rFonts w:ascii="Times New Roman" w:hAnsi="Times New Roman" w:eastAsia="Times New Roman" w:cs="Times New Roman"/>
          <w:sz w:val="24"/>
          <w:szCs w:val="24"/>
          <w:rtl w:val="0"/>
        </w:rPr>
        <w:t>encrypts data in transit, authenticates the server via a certificate, and protects against eavesdropping and tampering; it is the current baseline for any application handling sensitive data.</w:t>
      </w:r>
    </w:p>
    <w:p w14:paraId="00000046">
      <w:pPr>
        <w:numPr>
          <w:ilvl w:val="0"/>
          <w:numId w:val="1"/>
        </w:numPr>
        <w:pBdr>
          <w:top w:val="none" w:color="auto" w:sz="0" w:space="0"/>
          <w:left w:val="none" w:color="auto" w:sz="0" w:space="0"/>
          <w:bottom w:val="none" w:color="auto" w:sz="0" w:space="0"/>
          <w:right w:val="none" w:color="auto" w:sz="0" w:space="0"/>
          <w:between w:val="none" w:color="auto" w:sz="0" w:space="0"/>
        </w:pBdr>
        <w:spacing w:line="240" w:lineRule="auto"/>
        <w:ind w:left="504" w:hanging="288"/>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Mutual TLS (mTLS): </w:t>
      </w:r>
      <w:r>
        <w:rPr>
          <w:rFonts w:ascii="Times New Roman" w:hAnsi="Times New Roman" w:eastAsia="Times New Roman" w:cs="Times New Roman"/>
          <w:sz w:val="24"/>
          <w:szCs w:val="24"/>
          <w:rtl w:val="0"/>
        </w:rPr>
        <w:t>extends HTTPS so both the client and the server present certificates, giving strong two-way authentication — commonly used for machine-to-machine banking integrations (e.g., between the bank's app backend and a payment network).</w:t>
      </w:r>
    </w:p>
    <w:p w14:paraId="00000047">
      <w:pPr>
        <w:numPr>
          <w:ilvl w:val="0"/>
          <w:numId w:val="1"/>
        </w:numPr>
        <w:pBdr>
          <w:top w:val="none" w:color="auto" w:sz="0" w:space="0"/>
          <w:left w:val="none" w:color="auto" w:sz="0" w:space="0"/>
          <w:bottom w:val="none" w:color="auto" w:sz="0" w:space="0"/>
          <w:right w:val="none" w:color="auto" w:sz="0" w:space="0"/>
          <w:between w:val="none" w:color="auto" w:sz="0" w:space="0"/>
        </w:pBdr>
        <w:spacing w:line="240" w:lineRule="auto"/>
        <w:ind w:left="504" w:hanging="288"/>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SOAP with WS-Security: </w:t>
      </w:r>
      <w:r>
        <w:rPr>
          <w:rFonts w:ascii="Times New Roman" w:hAnsi="Times New Roman" w:eastAsia="Times New Roman" w:cs="Times New Roman"/>
          <w:sz w:val="24"/>
          <w:szCs w:val="24"/>
          <w:rtl w:val="0"/>
        </w:rPr>
        <w:t>adds message-level encryption/signing on top of any transport, useful when a message must remain secure across multiple intermediaries, not just for a single hop, but adds processing overhead and complexity.</w:t>
      </w:r>
    </w:p>
    <w:p w14:paraId="00000048">
      <w:pPr>
        <w:numPr>
          <w:ilvl w:val="0"/>
          <w:numId w:val="1"/>
        </w:numPr>
        <w:pBdr>
          <w:top w:val="none" w:color="auto" w:sz="0" w:space="0"/>
          <w:left w:val="none" w:color="auto" w:sz="0" w:space="0"/>
          <w:bottom w:val="none" w:color="auto" w:sz="0" w:space="0"/>
          <w:right w:val="none" w:color="auto" w:sz="0" w:space="0"/>
          <w:between w:val="none" w:color="auto" w:sz="0" w:space="0"/>
        </w:pBdr>
        <w:spacing w:line="240" w:lineRule="auto"/>
        <w:ind w:left="504" w:hanging="288"/>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Plain SOAP over HTTP (no TLS): </w:t>
      </w:r>
      <w:r>
        <w:rPr>
          <w:rFonts w:ascii="Times New Roman" w:hAnsi="Times New Roman" w:eastAsia="Times New Roman" w:cs="Times New Roman"/>
          <w:sz w:val="24"/>
          <w:szCs w:val="24"/>
          <w:rtl w:val="0"/>
        </w:rPr>
        <w:t>no confidentiality guarantee by itself; not acceptable on its own for banking traffic.</w:t>
      </w:r>
    </w:p>
    <w:p w14:paraId="00000049">
      <w:pPr>
        <w:numPr>
          <w:ilvl w:val="0"/>
          <w:numId w:val="1"/>
        </w:numPr>
        <w:pBdr>
          <w:top w:val="none" w:color="auto" w:sz="0" w:space="0"/>
          <w:left w:val="none" w:color="auto" w:sz="0" w:space="0"/>
          <w:bottom w:val="none" w:color="auto" w:sz="0" w:space="0"/>
          <w:right w:val="none" w:color="auto" w:sz="0" w:space="0"/>
          <w:between w:val="none" w:color="auto" w:sz="0" w:space="0"/>
        </w:pBdr>
        <w:spacing w:line="240" w:lineRule="auto"/>
        <w:ind w:left="504" w:hanging="288"/>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FTP/plain sockets: </w:t>
      </w:r>
      <w:r>
        <w:rPr>
          <w:rFonts w:ascii="Times New Roman" w:hAnsi="Times New Roman" w:eastAsia="Times New Roman" w:cs="Times New Roman"/>
          <w:sz w:val="24"/>
          <w:szCs w:val="24"/>
          <w:rtl w:val="0"/>
        </w:rPr>
        <w:t>legacy, unencrypted by default; unsuitable for direct client-server banking traffic without an additional security wrapper.</w:t>
      </w:r>
    </w:p>
    <w:p w14:paraId="0000004A">
      <w:pPr>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
          <w:iCs/>
          <w:sz w:val="24"/>
          <w:szCs w:val="24"/>
          <w:rtl w:val="0"/>
        </w:rPr>
        <w:t>2. Selected Protocol: HTTPS (TLS 1.3) with OAuth 2.0 / JWT — Mutual TLS for Backend Integrations</w:t>
      </w:r>
    </w:p>
    <w:p w14:paraId="0000004B">
      <w:pPr>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For the customer-facing banking application (mobile/web client to server), HTTPS using TLS 1.3 is the most suitable protocol, combined with OAuth 2.0/JWT for user authentication and authorization at the application layer. For server-to-server integrations (e.g., connecting to a core banking system or a payment network), Mutual TLS is added so both endpoints authenticate each other with certificates.</w:t>
      </w:r>
    </w:p>
    <w:p w14:paraId="0000004C">
      <w:pPr>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
          <w:iCs/>
          <w:sz w:val="24"/>
          <w:szCs w:val="24"/>
          <w:rtl w:val="0"/>
        </w:rPr>
        <w:t>3. Justification</w:t>
      </w:r>
    </w:p>
    <w:p w14:paraId="0000004D">
      <w:pPr>
        <w:numPr>
          <w:ilvl w:val="0"/>
          <w:numId w:val="1"/>
        </w:numPr>
        <w:pBdr>
          <w:top w:val="none" w:color="auto" w:sz="0" w:space="0"/>
          <w:left w:val="none" w:color="auto" w:sz="0" w:space="0"/>
          <w:bottom w:val="none" w:color="auto" w:sz="0" w:space="0"/>
          <w:right w:val="none" w:color="auto" w:sz="0" w:space="0"/>
          <w:between w:val="none" w:color="auto" w:sz="0" w:space="0"/>
        </w:pBdr>
        <w:spacing w:line="240" w:lineRule="auto"/>
        <w:ind w:left="504" w:hanging="288"/>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Security: </w:t>
      </w:r>
      <w:r>
        <w:rPr>
          <w:rFonts w:ascii="Times New Roman" w:hAnsi="Times New Roman" w:eastAsia="Times New Roman" w:cs="Times New Roman"/>
          <w:sz w:val="24"/>
          <w:szCs w:val="24"/>
          <w:rtl w:val="0"/>
        </w:rPr>
        <w:t>TLS 1.3 provides strong encryption (forward secrecy, modern cipher suites) so intercepted traffic cannot be read or altered; combined with OAuth 2.0/JWT, every request is both encrypted and cryptographically tied to an authenticated, authorized user session, and mutual TLS on backend links prevents an attacker from impersonating either the client or the server system.</w:t>
      </w:r>
    </w:p>
    <w:p w14:paraId="0000004E">
      <w:pPr>
        <w:numPr>
          <w:ilvl w:val="0"/>
          <w:numId w:val="1"/>
        </w:numPr>
        <w:pBdr>
          <w:top w:val="none" w:color="auto" w:sz="0" w:space="0"/>
          <w:left w:val="none" w:color="auto" w:sz="0" w:space="0"/>
          <w:bottom w:val="none" w:color="auto" w:sz="0" w:space="0"/>
          <w:right w:val="none" w:color="auto" w:sz="0" w:space="0"/>
          <w:between w:val="none" w:color="auto" w:sz="0" w:space="0"/>
        </w:pBdr>
        <w:spacing w:line="240" w:lineRule="auto"/>
        <w:ind w:left="504" w:hanging="288"/>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Reliability: </w:t>
      </w:r>
      <w:r>
        <w:rPr>
          <w:rFonts w:ascii="Times New Roman" w:hAnsi="Times New Roman" w:eastAsia="Times New Roman" w:cs="Times New Roman"/>
          <w:sz w:val="24"/>
          <w:szCs w:val="24"/>
          <w:rtl w:val="0"/>
        </w:rPr>
        <w:t>HTTPS runs over TCP, which guarantees ordered, error-checked delivery; TLS session resumption keeps repeated connections efficient, and the protocol is universally supported by browsers, mobile OS networking stacks, and banking infrastructure, minimizing interoperability failures.</w:t>
      </w:r>
    </w:p>
    <w:p w14:paraId="0000004F">
      <w:pPr>
        <w:numPr>
          <w:ilvl w:val="0"/>
          <w:numId w:val="1"/>
        </w:numPr>
        <w:pBdr>
          <w:top w:val="none" w:color="auto" w:sz="0" w:space="0"/>
          <w:left w:val="none" w:color="auto" w:sz="0" w:space="0"/>
          <w:bottom w:val="none" w:color="auto" w:sz="0" w:space="0"/>
          <w:right w:val="none" w:color="auto" w:sz="0" w:space="0"/>
          <w:between w:val="none" w:color="auto" w:sz="0" w:space="0"/>
        </w:pBdr>
        <w:spacing w:line="240" w:lineRule="auto"/>
        <w:ind w:left="504" w:hanging="288"/>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Performance: </w:t>
      </w:r>
      <w:r>
        <w:rPr>
          <w:rFonts w:ascii="Times New Roman" w:hAnsi="Times New Roman" w:eastAsia="Times New Roman" w:cs="Times New Roman"/>
          <w:sz w:val="24"/>
          <w:szCs w:val="24"/>
          <w:rtl w:val="0"/>
        </w:rPr>
        <w:t>TLS 1.3 reduced the handshake to one round trip (down from two in TLS 1.2), which noticeably improves connection setup latency versus older TLS versions or SOAP+WS-Security's heavier XML-based security processing, while still delivering equivalent or stronger security guarantees for this use case.</w:t>
      </w:r>
    </w:p>
    <w:p w14:paraId="00000050">
      <w:pPr>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Overall, HTTPS/TLS 1.3 gives the banking application industry-standard confidentiality and integrity with acceptable performance for interactive use, while mutual TLS is reserved for the higher-trust backend integrations where both parties must be strongly authenticated.</w:t>
      </w:r>
    </w:p>
    <w:p w14:paraId="00000051">
      <w:pPr>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b/>
          <w:bCs/>
          <w:sz w:val="24"/>
          <w:szCs w:val="24"/>
        </w:rPr>
      </w:pPr>
    </w:p>
    <w:p w14:paraId="00000052">
      <w:pPr>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color w:val="EE0000"/>
          <w:sz w:val="24"/>
          <w:szCs w:val="24"/>
        </w:rPr>
      </w:pPr>
      <w:r>
        <w:rPr>
          <w:rFonts w:ascii="Times New Roman" w:hAnsi="Times New Roman" w:eastAsia="Times New Roman" w:cs="Times New Roman"/>
          <w:color w:val="EE0000"/>
          <w:sz w:val="24"/>
          <w:szCs w:val="24"/>
          <w:rtl w:val="0"/>
        </w:rPr>
        <w:t xml:space="preserve">4.An application needs to integrate with third-party services such as payment gateways or maps. Design an </w:t>
      </w:r>
      <w:r>
        <w:rPr>
          <w:rFonts w:ascii="Times New Roman" w:hAnsi="Times New Roman" w:eastAsia="Times New Roman" w:cs="Times New Roman"/>
          <w:b/>
          <w:bCs/>
          <w:color w:val="EE0000"/>
          <w:sz w:val="24"/>
          <w:szCs w:val="24"/>
          <w:rtl w:val="0"/>
        </w:rPr>
        <w:t>API integration strategy</w:t>
      </w:r>
      <w:r>
        <w:rPr>
          <w:rFonts w:ascii="Times New Roman" w:hAnsi="Times New Roman" w:eastAsia="Times New Roman" w:cs="Times New Roman"/>
          <w:color w:val="EE0000"/>
          <w:sz w:val="24"/>
          <w:szCs w:val="24"/>
          <w:rtl w:val="0"/>
        </w:rPr>
        <w:t xml:space="preserve">, including request handling, authentication, and response processing. Suggest an alternative approach to improve efficiency or reliability. </w:t>
      </w:r>
    </w:p>
    <w:p w14:paraId="00000053">
      <w:pPr>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color w:val="EE0000"/>
          <w:sz w:val="24"/>
          <w:szCs w:val="24"/>
        </w:rPr>
      </w:pPr>
    </w:p>
    <w:p w14:paraId="00000054">
      <w:pPr>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
          <w:iCs/>
          <w:sz w:val="24"/>
          <w:szCs w:val="24"/>
          <w:rtl w:val="0"/>
        </w:rPr>
        <w:t>1. Integration Strategy Overview</w:t>
      </w:r>
    </w:p>
    <w:p w14:paraId="00000055">
      <w:pPr>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application does not call the third-party service directly from client code. Instead, an Integration/Gateway Layer inside the application's own backend mediates every call to external services such as a payment gateway or a maps API, so credentials, retries, and formatting differences are centralized in one place rather than scattered across the codebase.</w:t>
      </w:r>
    </w:p>
    <w:p w14:paraId="00000056">
      <w:pPr>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
          <w:iCs/>
          <w:sz w:val="24"/>
          <w:szCs w:val="24"/>
          <w:rtl w:val="0"/>
        </w:rPr>
        <w:t>2. Request Handling</w:t>
      </w:r>
    </w:p>
    <w:p w14:paraId="00000057">
      <w:pPr>
        <w:numPr>
          <w:ilvl w:val="0"/>
          <w:numId w:val="1"/>
        </w:numPr>
        <w:pBdr>
          <w:top w:val="none" w:color="auto" w:sz="0" w:space="0"/>
          <w:left w:val="none" w:color="auto" w:sz="0" w:space="0"/>
          <w:bottom w:val="none" w:color="auto" w:sz="0" w:space="0"/>
          <w:right w:val="none" w:color="auto" w:sz="0" w:space="0"/>
          <w:between w:val="none" w:color="auto" w:sz="0" w:space="0"/>
        </w:pBdr>
        <w:spacing w:line="240" w:lineRule="auto"/>
        <w:ind w:left="504" w:hanging="288"/>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Adapter pattern per provider: </w:t>
      </w:r>
      <w:r>
        <w:rPr>
          <w:rFonts w:ascii="Times New Roman" w:hAnsi="Times New Roman" w:eastAsia="Times New Roman" w:cs="Times New Roman"/>
          <w:sz w:val="24"/>
          <w:szCs w:val="24"/>
          <w:rtl w:val="0"/>
        </w:rPr>
        <w:t>implement a thin adapter class for each third-party service (e.g., PaymentGatewayAdapter, MapsAdapter) that translates the application's internal request model into the exact format the provider expects, isolating provider-specific quirks from the rest of the codebase.</w:t>
      </w:r>
    </w:p>
    <w:p w14:paraId="00000058">
      <w:pPr>
        <w:numPr>
          <w:ilvl w:val="0"/>
          <w:numId w:val="1"/>
        </w:numPr>
        <w:pBdr>
          <w:top w:val="none" w:color="auto" w:sz="0" w:space="0"/>
          <w:left w:val="none" w:color="auto" w:sz="0" w:space="0"/>
          <w:bottom w:val="none" w:color="auto" w:sz="0" w:space="0"/>
          <w:right w:val="none" w:color="auto" w:sz="0" w:space="0"/>
          <w:between w:val="none" w:color="auto" w:sz="0" w:space="0"/>
        </w:pBdr>
        <w:spacing w:line="240" w:lineRule="auto"/>
        <w:ind w:left="504" w:hanging="288"/>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Timeouts and retries: </w:t>
      </w:r>
      <w:r>
        <w:rPr>
          <w:rFonts w:ascii="Times New Roman" w:hAnsi="Times New Roman" w:eastAsia="Times New Roman" w:cs="Times New Roman"/>
          <w:sz w:val="24"/>
          <w:szCs w:val="24"/>
          <w:rtl w:val="0"/>
        </w:rPr>
        <w:t>every outbound call sets an explicit timeout and a bounded retry policy with exponential backoff, so a slow third-party response cannot hang the application indefinitely.</w:t>
      </w:r>
    </w:p>
    <w:p w14:paraId="00000059">
      <w:pPr>
        <w:numPr>
          <w:ilvl w:val="0"/>
          <w:numId w:val="1"/>
        </w:numPr>
        <w:pBdr>
          <w:top w:val="none" w:color="auto" w:sz="0" w:space="0"/>
          <w:left w:val="none" w:color="auto" w:sz="0" w:space="0"/>
          <w:bottom w:val="none" w:color="auto" w:sz="0" w:space="0"/>
          <w:right w:val="none" w:color="auto" w:sz="0" w:space="0"/>
          <w:between w:val="none" w:color="auto" w:sz="0" w:space="0"/>
        </w:pBdr>
        <w:spacing w:line="240" w:lineRule="auto"/>
        <w:ind w:left="504" w:hanging="288"/>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Idempotency keys: </w:t>
      </w:r>
      <w:r>
        <w:rPr>
          <w:rFonts w:ascii="Times New Roman" w:hAnsi="Times New Roman" w:eastAsia="Times New Roman" w:cs="Times New Roman"/>
          <w:sz w:val="24"/>
          <w:szCs w:val="24"/>
          <w:rtl w:val="0"/>
        </w:rPr>
        <w:t>for payment requests specifically, attach a unique idempotency key to each transaction so that a retried request after a network failure cannot accidentally charge the customer twice.</w:t>
      </w:r>
    </w:p>
    <w:p w14:paraId="0000005A">
      <w:pPr>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
          <w:iCs/>
          <w:sz w:val="24"/>
          <w:szCs w:val="24"/>
          <w:rtl w:val="0"/>
        </w:rPr>
        <w:t>3. Authentication</w:t>
      </w:r>
    </w:p>
    <w:p w14:paraId="0000005B">
      <w:pPr>
        <w:numPr>
          <w:ilvl w:val="0"/>
          <w:numId w:val="1"/>
        </w:numPr>
        <w:pBdr>
          <w:top w:val="none" w:color="auto" w:sz="0" w:space="0"/>
          <w:left w:val="none" w:color="auto" w:sz="0" w:space="0"/>
          <w:bottom w:val="none" w:color="auto" w:sz="0" w:space="0"/>
          <w:right w:val="none" w:color="auto" w:sz="0" w:space="0"/>
          <w:between w:val="none" w:color="auto" w:sz="0" w:space="0"/>
        </w:pBdr>
        <w:spacing w:line="240" w:lineRule="auto"/>
        <w:ind w:left="504" w:hanging="288"/>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API keys / OAuth 2.0 client credentials: </w:t>
      </w:r>
      <w:r>
        <w:rPr>
          <w:rFonts w:ascii="Times New Roman" w:hAnsi="Times New Roman" w:eastAsia="Times New Roman" w:cs="Times New Roman"/>
          <w:sz w:val="24"/>
          <w:szCs w:val="24"/>
          <w:rtl w:val="0"/>
        </w:rPr>
        <w:t>store the third-party API key or OAuth client secret securely (e.g., in a secrets manager, never in client-side code), and obtain short-lived access tokens for providers that support OAuth 2.0.</w:t>
      </w:r>
    </w:p>
    <w:p w14:paraId="0000005C">
      <w:pPr>
        <w:numPr>
          <w:ilvl w:val="0"/>
          <w:numId w:val="1"/>
        </w:numPr>
        <w:pBdr>
          <w:top w:val="none" w:color="auto" w:sz="0" w:space="0"/>
          <w:left w:val="none" w:color="auto" w:sz="0" w:space="0"/>
          <w:bottom w:val="none" w:color="auto" w:sz="0" w:space="0"/>
          <w:right w:val="none" w:color="auto" w:sz="0" w:space="0"/>
          <w:between w:val="none" w:color="auto" w:sz="0" w:space="0"/>
        </w:pBdr>
        <w:spacing w:line="240" w:lineRule="auto"/>
        <w:ind w:left="504" w:hanging="288"/>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Server-side only: </w:t>
      </w:r>
      <w:r>
        <w:rPr>
          <w:rFonts w:ascii="Times New Roman" w:hAnsi="Times New Roman" w:eastAsia="Times New Roman" w:cs="Times New Roman"/>
          <w:sz w:val="24"/>
          <w:szCs w:val="24"/>
          <w:rtl w:val="0"/>
        </w:rPr>
        <w:t>all authentication with the third-party provider happens from the backend integration layer, never from the mobile/web client, so credentials are never exposed to end users or intercepted from a device.</w:t>
      </w:r>
    </w:p>
    <w:p w14:paraId="0000005D">
      <w:pPr>
        <w:numPr>
          <w:ilvl w:val="0"/>
          <w:numId w:val="1"/>
        </w:numPr>
        <w:pBdr>
          <w:top w:val="none" w:color="auto" w:sz="0" w:space="0"/>
          <w:left w:val="none" w:color="auto" w:sz="0" w:space="0"/>
          <w:bottom w:val="none" w:color="auto" w:sz="0" w:space="0"/>
          <w:right w:val="none" w:color="auto" w:sz="0" w:space="0"/>
          <w:between w:val="none" w:color="auto" w:sz="0" w:space="0"/>
        </w:pBdr>
        <w:spacing w:line="240" w:lineRule="auto"/>
        <w:ind w:left="504" w:hanging="288"/>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Token refresh handling: </w:t>
      </w:r>
      <w:r>
        <w:rPr>
          <w:rFonts w:ascii="Times New Roman" w:hAnsi="Times New Roman" w:eastAsia="Times New Roman" w:cs="Times New Roman"/>
          <w:sz w:val="24"/>
          <w:szCs w:val="24"/>
          <w:rtl w:val="0"/>
        </w:rPr>
        <w:t>the integration layer automatically refreshes expiring OAuth tokens ahead of expiry so in-flight user requests are never rejected due to an expired token.</w:t>
      </w:r>
    </w:p>
    <w:p w14:paraId="0000005E">
      <w:pPr>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
          <w:iCs/>
          <w:sz w:val="24"/>
          <w:szCs w:val="24"/>
          <w:rtl w:val="0"/>
        </w:rPr>
        <w:t>4. Response Processing</w:t>
      </w:r>
    </w:p>
    <w:p w14:paraId="0000005F">
      <w:pPr>
        <w:numPr>
          <w:ilvl w:val="0"/>
          <w:numId w:val="1"/>
        </w:numPr>
        <w:pBdr>
          <w:top w:val="none" w:color="auto" w:sz="0" w:space="0"/>
          <w:left w:val="none" w:color="auto" w:sz="0" w:space="0"/>
          <w:bottom w:val="none" w:color="auto" w:sz="0" w:space="0"/>
          <w:right w:val="none" w:color="auto" w:sz="0" w:space="0"/>
          <w:between w:val="none" w:color="auto" w:sz="0" w:space="0"/>
        </w:pBdr>
        <w:spacing w:line="240" w:lineRule="auto"/>
        <w:ind w:left="504" w:hanging="288"/>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Normalization: </w:t>
      </w:r>
      <w:r>
        <w:rPr>
          <w:rFonts w:ascii="Times New Roman" w:hAnsi="Times New Roman" w:eastAsia="Times New Roman" w:cs="Times New Roman"/>
          <w:sz w:val="24"/>
          <w:szCs w:val="24"/>
          <w:rtl w:val="0"/>
        </w:rPr>
        <w:t>map the third-party's response format into the application's own internal data model, so if the maps provider or payment gateway is ever swapped, only the adapter changes — not the rest of the application.</w:t>
      </w:r>
    </w:p>
    <w:p w14:paraId="00000060">
      <w:pPr>
        <w:numPr>
          <w:ilvl w:val="0"/>
          <w:numId w:val="1"/>
        </w:numPr>
        <w:pBdr>
          <w:top w:val="none" w:color="auto" w:sz="0" w:space="0"/>
          <w:left w:val="none" w:color="auto" w:sz="0" w:space="0"/>
          <w:bottom w:val="none" w:color="auto" w:sz="0" w:space="0"/>
          <w:right w:val="none" w:color="auto" w:sz="0" w:space="0"/>
          <w:between w:val="none" w:color="auto" w:sz="0" w:space="0"/>
        </w:pBdr>
        <w:spacing w:line="240" w:lineRule="auto"/>
        <w:ind w:left="504" w:hanging="288"/>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Error classification: </w:t>
      </w:r>
      <w:r>
        <w:rPr>
          <w:rFonts w:ascii="Times New Roman" w:hAnsi="Times New Roman" w:eastAsia="Times New Roman" w:cs="Times New Roman"/>
          <w:sz w:val="24"/>
          <w:szCs w:val="24"/>
          <w:rtl w:val="0"/>
        </w:rPr>
        <w:t>distinguish between retryable errors (timeouts, 5xx server errors) and non-retryable errors (invalid card, declined transaction) and handle each differently — retrying the former, surfacing a clear message to the user for the latter.</w:t>
      </w:r>
    </w:p>
    <w:p w14:paraId="00000061">
      <w:pPr>
        <w:numPr>
          <w:ilvl w:val="0"/>
          <w:numId w:val="1"/>
        </w:numPr>
        <w:pBdr>
          <w:top w:val="none" w:color="auto" w:sz="0" w:space="0"/>
          <w:left w:val="none" w:color="auto" w:sz="0" w:space="0"/>
          <w:bottom w:val="none" w:color="auto" w:sz="0" w:space="0"/>
          <w:right w:val="none" w:color="auto" w:sz="0" w:space="0"/>
          <w:between w:val="none" w:color="auto" w:sz="0" w:space="0"/>
        </w:pBdr>
        <w:spacing w:line="240" w:lineRule="auto"/>
        <w:ind w:left="504" w:hanging="288"/>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Logging and auditing: </w:t>
      </w:r>
      <w:r>
        <w:rPr>
          <w:rFonts w:ascii="Times New Roman" w:hAnsi="Times New Roman" w:eastAsia="Times New Roman" w:cs="Times New Roman"/>
          <w:sz w:val="24"/>
          <w:szCs w:val="24"/>
          <w:rtl w:val="0"/>
        </w:rPr>
        <w:t>log every third-party request/response (excluding sensitive fields such as full card numbers) with a correlation ID, which is essential for reconciling payment disputes later.</w:t>
      </w:r>
    </w:p>
    <w:p w14:paraId="00000062">
      <w:pPr>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
          <w:iCs/>
          <w:sz w:val="24"/>
          <w:szCs w:val="24"/>
          <w:rtl w:val="0"/>
        </w:rPr>
        <w:t>5. Alternative Approach to Improve Efficiency and Reliability</w:t>
      </w:r>
    </w:p>
    <w:p w14:paraId="00000063">
      <w:pPr>
        <w:numPr>
          <w:ilvl w:val="0"/>
          <w:numId w:val="1"/>
        </w:numPr>
        <w:pBdr>
          <w:top w:val="none" w:color="auto" w:sz="0" w:space="0"/>
          <w:left w:val="none" w:color="auto" w:sz="0" w:space="0"/>
          <w:bottom w:val="none" w:color="auto" w:sz="0" w:space="0"/>
          <w:right w:val="none" w:color="auto" w:sz="0" w:space="0"/>
          <w:between w:val="none" w:color="auto" w:sz="0" w:space="0"/>
        </w:pBdr>
        <w:spacing w:line="240" w:lineRule="auto"/>
        <w:ind w:left="504" w:hanging="288"/>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Asynchronous, event-driven integration: </w:t>
      </w:r>
      <w:r>
        <w:rPr>
          <w:rFonts w:ascii="Times New Roman" w:hAnsi="Times New Roman" w:eastAsia="Times New Roman" w:cs="Times New Roman"/>
          <w:sz w:val="24"/>
          <w:szCs w:val="24"/>
          <w:rtl w:val="0"/>
        </w:rPr>
        <w:t>instead of the client waiting synchronously on a slow third-party call, the backend accepts the request immediately, queues it for processing, and notifies the client via webhook/websocket/push notification once the third-party responds — improving perceived responsiveness and decoupling the app from third-party latency spikes.</w:t>
      </w:r>
    </w:p>
    <w:p w14:paraId="00000064">
      <w:pPr>
        <w:numPr>
          <w:ilvl w:val="0"/>
          <w:numId w:val="1"/>
        </w:numPr>
        <w:pBdr>
          <w:top w:val="none" w:color="auto" w:sz="0" w:space="0"/>
          <w:left w:val="none" w:color="auto" w:sz="0" w:space="0"/>
          <w:bottom w:val="none" w:color="auto" w:sz="0" w:space="0"/>
          <w:right w:val="none" w:color="auto" w:sz="0" w:space="0"/>
          <w:between w:val="none" w:color="auto" w:sz="0" w:space="0"/>
        </w:pBdr>
        <w:spacing w:line="240" w:lineRule="auto"/>
        <w:ind w:left="504" w:hanging="288"/>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Circuit breaker pattern: </w:t>
      </w:r>
      <w:r>
        <w:rPr>
          <w:rFonts w:ascii="Times New Roman" w:hAnsi="Times New Roman" w:eastAsia="Times New Roman" w:cs="Times New Roman"/>
          <w:sz w:val="24"/>
          <w:szCs w:val="24"/>
          <w:rtl w:val="0"/>
        </w:rPr>
        <w:t>if a third-party service starts failing repeatedly, a circuit breaker temporarily stops sending it requests and fails fast (or falls back to a cached/alternate provider) instead of letting every user request wait out a timeout against a service that is already down.</w:t>
      </w:r>
    </w:p>
    <w:p w14:paraId="00000065">
      <w:pPr>
        <w:numPr>
          <w:ilvl w:val="0"/>
          <w:numId w:val="1"/>
        </w:numPr>
        <w:pBdr>
          <w:top w:val="none" w:color="auto" w:sz="0" w:space="0"/>
          <w:left w:val="none" w:color="auto" w:sz="0" w:space="0"/>
          <w:bottom w:val="none" w:color="auto" w:sz="0" w:space="0"/>
          <w:right w:val="none" w:color="auto" w:sz="0" w:space="0"/>
          <w:between w:val="none" w:color="auto" w:sz="0" w:space="0"/>
        </w:pBdr>
        <w:spacing w:line="240" w:lineRule="auto"/>
        <w:ind w:left="504" w:hanging="288"/>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Caching non-sensitive responses: </w:t>
      </w:r>
      <w:r>
        <w:rPr>
          <w:rFonts w:ascii="Times New Roman" w:hAnsi="Times New Roman" w:eastAsia="Times New Roman" w:cs="Times New Roman"/>
          <w:sz w:val="24"/>
          <w:szCs w:val="24"/>
          <w:rtl w:val="0"/>
        </w:rPr>
        <w:t>for services like maps (e.g., geocoding a fixed address), cache responses that don't change often, cutting the number of external calls and improving response time for repeat lookups.</w:t>
      </w:r>
    </w:p>
    <w:p w14:paraId="00000066">
      <w:pPr>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Together, centralizing integration logic behind adapters, securing authentication server-side, and adding asynchronous processing with a circuit breaker make the integration both more efficient (fewer redundant calls, faster perceived response) and more reliable (graceful handling of third-party outages instead of cascading failures into the main application).</w:t>
      </w:r>
    </w:p>
    <w:p w14:paraId="00000067">
      <w:pPr>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sz w:val="24"/>
          <w:szCs w:val="24"/>
        </w:rPr>
      </w:pPr>
    </w:p>
    <w:p w14:paraId="00000068">
      <w:pPr>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color w:val="EE0000"/>
          <w:sz w:val="24"/>
          <w:szCs w:val="24"/>
        </w:rPr>
      </w:pPr>
      <w:r>
        <w:rPr>
          <w:rFonts w:ascii="Times New Roman" w:hAnsi="Times New Roman" w:eastAsia="Times New Roman" w:cs="Times New Roman"/>
          <w:color w:val="EE0000"/>
          <w:sz w:val="24"/>
          <w:szCs w:val="24"/>
          <w:rtl w:val="0"/>
        </w:rPr>
        <w:t xml:space="preserve">5.A web service frequently encounters errors during client requests. Design an </w:t>
      </w:r>
      <w:r>
        <w:rPr>
          <w:rFonts w:ascii="Times New Roman" w:hAnsi="Times New Roman" w:eastAsia="Times New Roman" w:cs="Times New Roman"/>
          <w:b/>
          <w:bCs/>
          <w:color w:val="EE0000"/>
          <w:sz w:val="24"/>
          <w:szCs w:val="24"/>
          <w:rtl w:val="0"/>
        </w:rPr>
        <w:t>error handling and fault tolerance mechanism</w:t>
      </w:r>
      <w:r>
        <w:rPr>
          <w:rFonts w:ascii="Times New Roman" w:hAnsi="Times New Roman" w:eastAsia="Times New Roman" w:cs="Times New Roman"/>
          <w:color w:val="EE0000"/>
          <w:sz w:val="24"/>
          <w:szCs w:val="24"/>
          <w:rtl w:val="0"/>
        </w:rPr>
        <w:t xml:space="preserve">. Propose alternative strategies to improve system reliability and ensure smooth user experience. </w:t>
      </w:r>
    </w:p>
    <w:p w14:paraId="00000069"/>
    <w:p w14:paraId="0000006A">
      <w:r>
        <w:rPr>
          <w:b/>
          <w:bCs/>
          <w:i/>
          <w:iCs/>
          <w:rtl w:val="0"/>
        </w:rPr>
        <w:t>1. Categorizing the Errors</w:t>
      </w:r>
    </w:p>
    <w:p w14:paraId="0000006B">
      <w:r>
        <w:rPr>
          <w:rtl w:val="0"/>
        </w:rPr>
        <w:t>Before designing a fix, errors are grouped by cause, since the correct response differs for each:</w:t>
      </w:r>
    </w:p>
    <w:p w14:paraId="0000006C">
      <w:pPr>
        <w:numPr>
          <w:ilvl w:val="0"/>
          <w:numId w:val="1"/>
        </w:numPr>
        <w:ind w:left="504" w:hanging="288"/>
      </w:pPr>
      <w:r>
        <w:rPr>
          <w:b/>
          <w:bCs/>
          <w:rtl w:val="0"/>
        </w:rPr>
        <w:t xml:space="preserve">Client errors (4xx): </w:t>
      </w:r>
      <w:r>
        <w:rPr>
          <w:rtl w:val="0"/>
        </w:rPr>
        <w:t>invalid input, missing authentication, requesting a resource that doesn't exist — these should never be retried automatically and must be reported back with a clear, actionable message.</w:t>
      </w:r>
    </w:p>
    <w:p w14:paraId="0000006D">
      <w:pPr>
        <w:numPr>
          <w:ilvl w:val="0"/>
          <w:numId w:val="1"/>
        </w:numPr>
        <w:ind w:left="504" w:hanging="288"/>
      </w:pPr>
      <w:r>
        <w:rPr>
          <w:b/>
          <w:bCs/>
          <w:rtl w:val="0"/>
        </w:rPr>
        <w:t xml:space="preserve">Server errors (5xx): </w:t>
      </w:r>
      <w:r>
        <w:rPr>
          <w:rtl w:val="0"/>
        </w:rPr>
        <w:t>unhandled exceptions, database timeouts, downstream service failures — these are candidates for retry and for triggering fault-tolerance mechanisms.</w:t>
      </w:r>
    </w:p>
    <w:p w14:paraId="0000006E">
      <w:pPr>
        <w:numPr>
          <w:ilvl w:val="0"/>
          <w:numId w:val="1"/>
        </w:numPr>
        <w:ind w:left="504" w:hanging="288"/>
      </w:pPr>
      <w:r>
        <w:rPr>
          <w:b/>
          <w:bCs/>
          <w:rtl w:val="0"/>
        </w:rPr>
        <w:t xml:space="preserve">Network/transient errors: </w:t>
      </w:r>
      <w:r>
        <w:rPr>
          <w:rtl w:val="0"/>
        </w:rPr>
        <w:t>connection drops, DNS resolution failures, brief spikes in latency — usually resolve themselves and are the best candidates for automatic retry.</w:t>
      </w:r>
    </w:p>
    <w:p w14:paraId="0000006F">
      <w:r>
        <w:rPr>
          <w:b/>
          <w:bCs/>
          <w:i/>
          <w:iCs/>
          <w:rtl w:val="0"/>
        </w:rPr>
        <w:t>2. Error Handling Mechanism</w:t>
      </w:r>
    </w:p>
    <w:p w14:paraId="00000070">
      <w:pPr>
        <w:numPr>
          <w:ilvl w:val="0"/>
          <w:numId w:val="1"/>
        </w:numPr>
        <w:ind w:left="504" w:hanging="288"/>
      </w:pPr>
      <w:r>
        <w:rPr>
          <w:b/>
          <w:bCs/>
          <w:rtl w:val="0"/>
        </w:rPr>
        <w:t xml:space="preserve">Centralized exception handling: </w:t>
      </w:r>
      <w:r>
        <w:rPr>
          <w:rtl w:val="0"/>
        </w:rPr>
        <w:t>a single global error handler (e.g., a middleware/filter layer) intercepts all unhandled exceptions, converts them into a consistent JSON error response (errorCode, message, correlationId), and prevents raw stack traces from ever reaching the client.</w:t>
      </w:r>
    </w:p>
    <w:p w14:paraId="00000071">
      <w:pPr>
        <w:numPr>
          <w:ilvl w:val="0"/>
          <w:numId w:val="1"/>
        </w:numPr>
        <w:ind w:left="504" w:hanging="288"/>
      </w:pPr>
      <w:r>
        <w:rPr>
          <w:b/>
          <w:bCs/>
          <w:rtl w:val="0"/>
        </w:rPr>
        <w:t xml:space="preserve">Input validation at the boundary: </w:t>
      </w:r>
      <w:r>
        <w:rPr>
          <w:rtl w:val="0"/>
        </w:rPr>
        <w:t>validate all incoming requests against a schema before business logic runs, so malformed requests are rejected immediately with a precise 400-level error instead of causing a deeper, harder-to-diagnose failure.</w:t>
      </w:r>
    </w:p>
    <w:p w14:paraId="00000072">
      <w:pPr>
        <w:numPr>
          <w:ilvl w:val="0"/>
          <w:numId w:val="1"/>
        </w:numPr>
        <w:ind w:left="504" w:hanging="288"/>
      </w:pPr>
      <w:r>
        <w:rPr>
          <w:b/>
          <w:bCs/>
          <w:rtl w:val="0"/>
        </w:rPr>
        <w:t xml:space="preserve">Structured logging with correlation IDs: </w:t>
      </w:r>
      <w:r>
        <w:rPr>
          <w:rtl w:val="0"/>
        </w:rPr>
        <w:t>every request is tagged with a unique ID that is included in logs and in the error response, so a user-reported issue can be traced through every service it touched.</w:t>
      </w:r>
    </w:p>
    <w:p w14:paraId="00000073">
      <w:r>
        <w:rPr>
          <w:b/>
          <w:bCs/>
          <w:i/>
          <w:iCs/>
          <w:rtl w:val="0"/>
        </w:rPr>
        <w:t>3. Fault Tolerance Mechanisms</w:t>
      </w:r>
    </w:p>
    <w:p w14:paraId="00000074">
      <w:pPr>
        <w:numPr>
          <w:ilvl w:val="0"/>
          <w:numId w:val="1"/>
        </w:numPr>
        <w:ind w:left="504" w:hanging="288"/>
      </w:pPr>
      <w:r>
        <w:rPr>
          <w:b/>
          <w:bCs/>
          <w:rtl w:val="0"/>
        </w:rPr>
        <w:t xml:space="preserve">Retry with exponential backoff: </w:t>
      </w:r>
      <w:r>
        <w:rPr>
          <w:rtl w:val="0"/>
        </w:rPr>
        <w:t>for transient/network errors, automatically retry the operation a bounded number of times with increasing delay between attempts, avoiding both premature failure and overwhelming a struggling downstream service.</w:t>
      </w:r>
    </w:p>
    <w:p w14:paraId="00000075">
      <w:pPr>
        <w:numPr>
          <w:ilvl w:val="0"/>
          <w:numId w:val="1"/>
        </w:numPr>
        <w:ind w:left="504" w:hanging="288"/>
      </w:pPr>
      <w:r>
        <w:rPr>
          <w:b/>
          <w:bCs/>
          <w:rtl w:val="0"/>
        </w:rPr>
        <w:t xml:space="preserve">Circuit breaker: </w:t>
      </w:r>
      <w:r>
        <w:rPr>
          <w:rtl w:val="0"/>
        </w:rPr>
        <w:t>if a dependency (e.g., a database or another microservice) fails repeatedly within a time window, the circuit 'opens' and further calls fail fast immediately (or use a fallback) for a cooldown period, protecting the rest of the system from cascading failure.</w:t>
      </w:r>
    </w:p>
    <w:p w14:paraId="00000076">
      <w:pPr>
        <w:numPr>
          <w:ilvl w:val="0"/>
          <w:numId w:val="1"/>
        </w:numPr>
        <w:ind w:left="504" w:hanging="288"/>
      </w:pPr>
      <w:r>
        <w:rPr>
          <w:b/>
          <w:bCs/>
          <w:rtl w:val="0"/>
        </w:rPr>
        <w:t xml:space="preserve">Fallback responses: </w:t>
      </w:r>
      <w:r>
        <w:rPr>
          <w:rtl w:val="0"/>
        </w:rPr>
        <w:t>when a non-critical dependency is unavailable (e.g., a recommendation service), return a sensible default or cached result instead of failing the entire request outright.</w:t>
      </w:r>
    </w:p>
    <w:p w14:paraId="00000077">
      <w:pPr>
        <w:numPr>
          <w:ilvl w:val="0"/>
          <w:numId w:val="1"/>
        </w:numPr>
        <w:ind w:left="504" w:hanging="288"/>
      </w:pPr>
      <w:r>
        <w:rPr>
          <w:b/>
          <w:bCs/>
          <w:rtl w:val="0"/>
        </w:rPr>
        <w:t xml:space="preserve">Timeouts on every external call: </w:t>
      </w:r>
      <w:r>
        <w:rPr>
          <w:rtl w:val="0"/>
        </w:rPr>
        <w:t>no request is allowed to wait indefinitely; a bounded timeout ensures a slow dependency degrades gracefully rather than exhausting server resources.</w:t>
      </w:r>
    </w:p>
    <w:p w14:paraId="00000078">
      <w:pPr>
        <w:numPr>
          <w:ilvl w:val="0"/>
          <w:numId w:val="1"/>
        </w:numPr>
        <w:ind w:left="504" w:hanging="288"/>
      </w:pPr>
      <w:r>
        <w:rPr>
          <w:b/>
          <w:bCs/>
          <w:rtl w:val="0"/>
        </w:rPr>
        <w:t xml:space="preserve">Bulkheading: </w:t>
      </w:r>
      <w:r>
        <w:rPr>
          <w:rtl w:val="0"/>
        </w:rPr>
        <w:t>isolate resources (thread pools/connection pools) per dependency, so a failure or slowdown in one downstream service cannot exhaust resources needed to serve requests that don't depend on it.</w:t>
      </w:r>
    </w:p>
    <w:p w14:paraId="00000079">
      <w:r>
        <w:rPr>
          <w:b/>
          <w:bCs/>
          <w:i/>
          <w:iCs/>
          <w:rtl w:val="0"/>
        </w:rPr>
        <w:t>4. Alternative Strategies to Improve Reliability and User Experience</w:t>
      </w:r>
    </w:p>
    <w:p w14:paraId="0000007A">
      <w:pPr>
        <w:numPr>
          <w:ilvl w:val="0"/>
          <w:numId w:val="1"/>
        </w:numPr>
        <w:ind w:left="504" w:hanging="288"/>
      </w:pPr>
      <w:r>
        <w:rPr>
          <w:b/>
          <w:bCs/>
          <w:rtl w:val="0"/>
        </w:rPr>
        <w:t xml:space="preserve">Graceful degradation: </w:t>
      </w:r>
      <w:r>
        <w:rPr>
          <w:rtl w:val="0"/>
        </w:rPr>
        <w:t>design the UI/API to still return a partial, useful response (e.g., show cached prices if the live pricing service is down) rather than a hard failure, so the user experience degrades smoothly instead of breaking entirely.</w:t>
      </w:r>
    </w:p>
    <w:p w14:paraId="0000007B">
      <w:pPr>
        <w:numPr>
          <w:ilvl w:val="0"/>
          <w:numId w:val="1"/>
        </w:numPr>
        <w:ind w:left="504" w:hanging="288"/>
      </w:pPr>
      <w:r>
        <w:rPr>
          <w:b/>
          <w:bCs/>
          <w:rtl w:val="0"/>
        </w:rPr>
        <w:t xml:space="preserve">Health checks and automated failover: </w:t>
      </w:r>
      <w:r>
        <w:rPr>
          <w:rtl w:val="0"/>
        </w:rPr>
        <w:t>run continuous health checks against each service instance; the load balancer automatically routes traffic away from unhealthy instances and, in multi-region deployments, can fail over to a healthy region.</w:t>
      </w:r>
    </w:p>
    <w:p w14:paraId="0000007C">
      <w:pPr>
        <w:numPr>
          <w:ilvl w:val="0"/>
          <w:numId w:val="1"/>
        </w:numPr>
        <w:ind w:left="504" w:hanging="288"/>
      </w:pPr>
      <w:r>
        <w:rPr>
          <w:b/>
          <w:bCs/>
          <w:rtl w:val="0"/>
        </w:rPr>
        <w:t xml:space="preserve">Chaos/fault-injection testing: </w:t>
      </w:r>
      <w:r>
        <w:rPr>
          <w:rtl w:val="0"/>
        </w:rPr>
        <w:t>deliberately inject failures (kill an instance, add latency) in a staging environment to verify that the retry, circuit breaker, and fallback logic actually behave as designed before a real outage occurs.</w:t>
      </w:r>
    </w:p>
    <w:p w14:paraId="0000007D">
      <w:pPr>
        <w:numPr>
          <w:ilvl w:val="0"/>
          <w:numId w:val="1"/>
        </w:numPr>
        <w:ind w:left="504" w:hanging="288"/>
      </w:pPr>
      <w:r>
        <w:rPr>
          <w:b/>
          <w:bCs/>
          <w:rtl w:val="0"/>
        </w:rPr>
        <w:t xml:space="preserve">Client-side resilience: </w:t>
      </w:r>
      <w:r>
        <w:rPr>
          <w:rtl w:val="0"/>
        </w:rPr>
        <w:t>the client itself (web/mobile) implements its own retry/backoff and shows clear, friendly error messages with a manual retry option, rather than a generic failure screen, keeping the user informed and in control.</w:t>
      </w:r>
    </w:p>
    <w:p w14:paraId="0000007E">
      <w:r>
        <w:rPr>
          <w:rtl w:val="0"/>
        </w:rPr>
        <w:t>Combining centralized, consistent error handling with retries, circuit breakers, fallbacks, and proactive health-based failover ensures that individual failures stay isolated and recoverable, while graceful degradation and clear client-side messaging keep the experience smooth for the end user even when part of the system is under stress.</w:t>
      </w:r>
    </w:p>
    <w:p w14:paraId="0000007F"/>
    <w:p w14:paraId="00000080"/>
    <w:p w14:paraId="00000081">
      <w:pPr>
        <w:rPr>
          <w:b/>
          <w:bCs/>
          <w:i/>
          <w:iCs/>
          <w:sz w:val="24"/>
          <w:szCs w:val="24"/>
        </w:rPr>
      </w:pPr>
      <w:r>
        <w:rPr>
          <w:b/>
          <w:bCs/>
          <w:i/>
          <w:iCs/>
          <w:sz w:val="24"/>
          <w:szCs w:val="24"/>
          <w:rtl w:val="0"/>
        </w:rPr>
        <w:t>Code of Conduct:</w:t>
      </w:r>
    </w:p>
    <w:p w14:paraId="00000082">
      <w:pPr>
        <w:rPr>
          <w:i/>
          <w:iCs/>
          <w:sz w:val="24"/>
          <w:szCs w:val="24"/>
        </w:rPr>
      </w:pPr>
    </w:p>
    <w:p w14:paraId="00000083">
      <w:pPr>
        <w:rPr>
          <w:i/>
          <w:iCs/>
          <w:sz w:val="24"/>
          <w:szCs w:val="24"/>
        </w:rPr>
      </w:pPr>
      <w:r>
        <w:rPr>
          <w:i/>
          <w:iCs/>
          <w:sz w:val="24"/>
          <w:szCs w:val="24"/>
          <w:rtl w:val="0"/>
        </w:rPr>
        <w:t xml:space="preserve">I </w:t>
      </w:r>
      <w:r>
        <w:rPr>
          <w:b/>
          <w:bCs/>
          <w:color w:val="EE0000"/>
          <w:sz w:val="24"/>
          <w:szCs w:val="24"/>
          <w:rtl w:val="0"/>
        </w:rPr>
        <w:t>T. Naga Hruday Deepak 192372297</w:t>
      </w:r>
      <w:r>
        <w:rPr>
          <w:i/>
          <w:iCs/>
          <w:sz w:val="24"/>
          <w:szCs w:val="24"/>
          <w:rtl w:val="0"/>
        </w:rPr>
        <w:t>certify that this submission is my original work and that I have adhered to the guidelines specified for this assessment.</w:t>
      </w:r>
    </w:p>
    <w:p w14:paraId="00000084">
      <w:pPr>
        <w:jc w:val="both"/>
        <w:rPr>
          <w:i/>
          <w:iCs/>
          <w:sz w:val="24"/>
          <w:szCs w:val="24"/>
        </w:rPr>
      </w:pPr>
      <w:r>
        <w:rPr>
          <w:i/>
          <w:iCs/>
          <w:sz w:val="24"/>
          <w:szCs w:val="24"/>
          <w:rtl w:val="0"/>
        </w:rPr>
        <w:t>I understand that any violation of academic integrity rules will result in disciplinary action.</w:t>
      </w:r>
    </w:p>
    <w:p w14:paraId="00000085">
      <w:pPr>
        <w:rPr>
          <w:i/>
          <w:iCs/>
          <w:sz w:val="24"/>
          <w:szCs w:val="24"/>
        </w:rPr>
      </w:pPr>
    </w:p>
    <w:p w14:paraId="00000086">
      <w:pPr>
        <w:rPr>
          <w:b/>
          <w:bCs/>
          <w:i/>
          <w:iCs/>
          <w:sz w:val="24"/>
          <w:szCs w:val="24"/>
        </w:rPr>
      </w:pPr>
      <w:r>
        <w:rPr>
          <w:b/>
          <w:bCs/>
          <w:i/>
          <w:iCs/>
          <w:sz w:val="24"/>
          <w:szCs w:val="24"/>
          <w:rtl w:val="0"/>
        </w:rPr>
        <w:t>Signature of the student:</w:t>
      </w:r>
    </w:p>
    <w:p w14:paraId="00000087">
      <w:pPr>
        <w:rPr>
          <w:sz w:val="24"/>
          <w:szCs w:val="24"/>
        </w:rPr>
      </w:pPr>
      <w:r>
        <w:rPr>
          <w:rFonts w:ascii="Times New Roman" w:hAnsi="Times New Roman" w:eastAsia="Times New Roman" w:cs="Times New Roman"/>
          <w:i/>
          <w:iCs/>
          <w:color w:val="EE0000"/>
          <w:sz w:val="24"/>
          <w:szCs w:val="24"/>
          <w:rtl w:val="0"/>
        </w:rPr>
        <w:t>Hruday Deepak</w:t>
      </w:r>
    </w:p>
    <w:p w14:paraId="00000088">
      <w:pPr>
        <w:rPr>
          <w:i/>
          <w:iCs/>
          <w:sz w:val="24"/>
          <w:szCs w:val="24"/>
        </w:rPr>
      </w:pPr>
    </w:p>
    <w:p w14:paraId="00000089">
      <w:pPr>
        <w:rPr>
          <w:i/>
          <w:iCs/>
          <w:sz w:val="24"/>
          <w:szCs w:val="24"/>
        </w:rPr>
      </w:pPr>
    </w:p>
    <w:p w14:paraId="0000008A">
      <w:pPr>
        <w:rPr>
          <w:i/>
          <w:iCs/>
          <w:sz w:val="24"/>
          <w:szCs w:val="24"/>
        </w:rPr>
      </w:pPr>
    </w:p>
    <w:p w14:paraId="0000008B">
      <w:pPr>
        <w:rPr>
          <w:i/>
          <w:iCs/>
          <w:sz w:val="24"/>
          <w:szCs w:val="24"/>
        </w:rPr>
      </w:pPr>
    </w:p>
    <w:p w14:paraId="0000008C">
      <w:pPr>
        <w:rPr>
          <w:i/>
          <w:iCs/>
          <w:sz w:val="24"/>
          <w:szCs w:val="24"/>
        </w:rPr>
      </w:pPr>
    </w:p>
    <w:p w14:paraId="0000008D">
      <w:pPr>
        <w:rPr>
          <w:i/>
          <w:iCs/>
          <w:sz w:val="24"/>
          <w:szCs w:val="24"/>
        </w:rPr>
      </w:pPr>
    </w:p>
    <w:p w14:paraId="0000008E">
      <w:pPr>
        <w:rPr>
          <w:i/>
          <w:iCs/>
          <w:sz w:val="24"/>
          <w:szCs w:val="24"/>
        </w:rPr>
      </w:pPr>
    </w:p>
    <w:p w14:paraId="0000008F">
      <w:pPr>
        <w:rPr>
          <w:i/>
          <w:iCs/>
          <w:sz w:val="24"/>
          <w:szCs w:val="24"/>
        </w:rPr>
      </w:pPr>
    </w:p>
    <w:p w14:paraId="00000090">
      <w:pPr>
        <w:rPr>
          <w:i/>
          <w:iCs/>
          <w:sz w:val="24"/>
          <w:szCs w:val="24"/>
        </w:rPr>
      </w:pPr>
    </w:p>
    <w:p w14:paraId="00000091">
      <w:pPr>
        <w:rPr>
          <w:i/>
          <w:iCs/>
          <w:sz w:val="24"/>
          <w:szCs w:val="24"/>
        </w:rPr>
      </w:pPr>
    </w:p>
    <w:p w14:paraId="00000092">
      <w:pPr>
        <w:rPr>
          <w:b/>
          <w:bCs/>
          <w:sz w:val="24"/>
          <w:szCs w:val="24"/>
        </w:rPr>
      </w:pPr>
      <w:r>
        <w:rPr>
          <w:b/>
          <w:bCs/>
          <w:sz w:val="24"/>
          <w:szCs w:val="24"/>
          <w:rtl w:val="0"/>
        </w:rPr>
        <w:t>RUBRICS FOR CALCULATION:</w:t>
      </w:r>
    </w:p>
    <w:p w14:paraId="00000093">
      <w:pPr>
        <w:rPr>
          <w:b/>
          <w:bCs/>
          <w:sz w:val="24"/>
          <w:szCs w:val="24"/>
        </w:rPr>
      </w:pPr>
    </w:p>
    <w:tbl>
      <w:tblPr>
        <w:tblStyle w:val="13"/>
        <w:tblW w:w="9512" w:type="dxa"/>
        <w:tblInd w:w="0" w:type="dxa"/>
        <w:tblLayout w:type="fixed"/>
        <w:tblCellMar>
          <w:top w:w="0" w:type="dxa"/>
          <w:left w:w="115" w:type="dxa"/>
          <w:bottom w:w="0" w:type="dxa"/>
          <w:right w:w="115" w:type="dxa"/>
        </w:tblCellMar>
      </w:tblPr>
      <w:tblGrid>
        <w:gridCol w:w="1555"/>
        <w:gridCol w:w="992"/>
        <w:gridCol w:w="2126"/>
        <w:gridCol w:w="1902"/>
        <w:gridCol w:w="1666"/>
        <w:gridCol w:w="1271"/>
      </w:tblGrid>
      <w:tr w14:paraId="738345CF">
        <w:tblPrEx>
          <w:tblCellMar>
            <w:top w:w="0" w:type="dxa"/>
            <w:left w:w="115" w:type="dxa"/>
            <w:bottom w:w="0" w:type="dxa"/>
            <w:right w:w="115" w:type="dxa"/>
          </w:tblCellMar>
        </w:tblPrEx>
        <w:trPr>
          <w:trHeight w:val="1215" w:hRule="atLeast"/>
        </w:trPr>
        <w:tc>
          <w:tcPr>
            <w:tcBorders>
              <w:top w:val="single" w:color="000000" w:sz="4" w:space="0"/>
              <w:left w:val="single" w:color="000000" w:sz="4" w:space="0"/>
              <w:bottom w:val="single" w:color="000000" w:sz="4" w:space="0"/>
              <w:right w:val="single" w:color="000000" w:sz="4" w:space="0"/>
            </w:tcBorders>
            <w:vAlign w:val="center"/>
          </w:tcPr>
          <w:p w14:paraId="00000094">
            <w:pPr>
              <w:spacing w:line="240" w:lineRule="auto"/>
              <w:jc w:val="center"/>
              <w:rPr>
                <w:b/>
                <w:bCs/>
                <w:color w:val="000000"/>
                <w:sz w:val="20"/>
                <w:szCs w:val="20"/>
              </w:rPr>
            </w:pPr>
            <w:bookmarkStart w:id="0" w:name="_gvrr6mnq365" w:colFirst="0" w:colLast="0"/>
            <w:bookmarkEnd w:id="0"/>
            <w:r>
              <w:rPr>
                <w:b/>
                <w:bCs/>
                <w:color w:val="000000"/>
                <w:sz w:val="20"/>
                <w:szCs w:val="20"/>
                <w:rtl w:val="0"/>
              </w:rPr>
              <w:t>Criteria</w:t>
            </w:r>
          </w:p>
        </w:tc>
        <w:tc>
          <w:tcPr>
            <w:tcBorders>
              <w:top w:val="single" w:color="000000" w:sz="4" w:space="0"/>
              <w:left w:val="nil"/>
              <w:bottom w:val="single" w:color="000000" w:sz="4" w:space="0"/>
              <w:right w:val="single" w:color="000000" w:sz="4" w:space="0"/>
            </w:tcBorders>
            <w:vAlign w:val="center"/>
          </w:tcPr>
          <w:p w14:paraId="00000095">
            <w:pPr>
              <w:spacing w:line="240" w:lineRule="auto"/>
              <w:jc w:val="center"/>
              <w:rPr>
                <w:b/>
                <w:bCs/>
                <w:color w:val="000000"/>
                <w:sz w:val="20"/>
                <w:szCs w:val="20"/>
              </w:rPr>
            </w:pPr>
            <w:r>
              <w:rPr>
                <w:b/>
                <w:bCs/>
                <w:color w:val="000000"/>
                <w:sz w:val="20"/>
                <w:szCs w:val="20"/>
                <w:rtl w:val="0"/>
              </w:rPr>
              <w:t>Weightage (%)</w:t>
            </w:r>
          </w:p>
        </w:tc>
        <w:tc>
          <w:tcPr>
            <w:tcBorders>
              <w:top w:val="single" w:color="000000" w:sz="4" w:space="0"/>
              <w:left w:val="nil"/>
              <w:bottom w:val="single" w:color="000000" w:sz="4" w:space="0"/>
              <w:right w:val="single" w:color="000000" w:sz="4" w:space="0"/>
            </w:tcBorders>
            <w:vAlign w:val="center"/>
          </w:tcPr>
          <w:p w14:paraId="00000096">
            <w:pPr>
              <w:spacing w:line="240" w:lineRule="auto"/>
              <w:jc w:val="center"/>
              <w:rPr>
                <w:b/>
                <w:bCs/>
                <w:color w:val="000000"/>
                <w:sz w:val="20"/>
                <w:szCs w:val="20"/>
              </w:rPr>
            </w:pPr>
            <w:r>
              <w:rPr>
                <w:b/>
                <w:bCs/>
                <w:color w:val="000000"/>
                <w:sz w:val="20"/>
                <w:szCs w:val="20"/>
                <w:rtl w:val="0"/>
              </w:rPr>
              <w:t>Level 4 (Exemplary)</w:t>
            </w:r>
          </w:p>
        </w:tc>
        <w:tc>
          <w:tcPr>
            <w:tcBorders>
              <w:top w:val="single" w:color="000000" w:sz="4" w:space="0"/>
              <w:left w:val="nil"/>
              <w:bottom w:val="single" w:color="000000" w:sz="4" w:space="0"/>
              <w:right w:val="single" w:color="000000" w:sz="4" w:space="0"/>
            </w:tcBorders>
            <w:vAlign w:val="center"/>
          </w:tcPr>
          <w:p w14:paraId="00000097">
            <w:pPr>
              <w:spacing w:line="240" w:lineRule="auto"/>
              <w:jc w:val="center"/>
              <w:rPr>
                <w:b/>
                <w:bCs/>
                <w:color w:val="000000"/>
                <w:sz w:val="20"/>
                <w:szCs w:val="20"/>
              </w:rPr>
            </w:pPr>
            <w:r>
              <w:rPr>
                <w:b/>
                <w:bCs/>
                <w:color w:val="000000"/>
                <w:sz w:val="20"/>
                <w:szCs w:val="20"/>
                <w:rtl w:val="0"/>
              </w:rPr>
              <w:t>Level 3 (Proficient)</w:t>
            </w:r>
          </w:p>
        </w:tc>
        <w:tc>
          <w:tcPr>
            <w:tcBorders>
              <w:top w:val="single" w:color="000000" w:sz="4" w:space="0"/>
              <w:left w:val="nil"/>
              <w:bottom w:val="single" w:color="000000" w:sz="4" w:space="0"/>
              <w:right w:val="single" w:color="000000" w:sz="4" w:space="0"/>
            </w:tcBorders>
            <w:vAlign w:val="center"/>
          </w:tcPr>
          <w:p w14:paraId="00000098">
            <w:pPr>
              <w:spacing w:line="240" w:lineRule="auto"/>
              <w:jc w:val="center"/>
              <w:rPr>
                <w:b/>
                <w:bCs/>
                <w:color w:val="000000"/>
                <w:sz w:val="20"/>
                <w:szCs w:val="20"/>
              </w:rPr>
            </w:pPr>
            <w:r>
              <w:rPr>
                <w:b/>
                <w:bCs/>
                <w:color w:val="000000"/>
                <w:sz w:val="20"/>
                <w:szCs w:val="20"/>
                <w:rtl w:val="0"/>
              </w:rPr>
              <w:t>Level 2 (Developing)</w:t>
            </w:r>
          </w:p>
        </w:tc>
        <w:tc>
          <w:tcPr>
            <w:tcBorders>
              <w:top w:val="single" w:color="000000" w:sz="4" w:space="0"/>
              <w:left w:val="nil"/>
              <w:bottom w:val="single" w:color="000000" w:sz="4" w:space="0"/>
              <w:right w:val="single" w:color="000000" w:sz="4" w:space="0"/>
            </w:tcBorders>
            <w:vAlign w:val="center"/>
          </w:tcPr>
          <w:p w14:paraId="00000099">
            <w:pPr>
              <w:spacing w:line="240" w:lineRule="auto"/>
              <w:jc w:val="center"/>
              <w:rPr>
                <w:b/>
                <w:bCs/>
                <w:color w:val="000000"/>
                <w:sz w:val="20"/>
                <w:szCs w:val="20"/>
              </w:rPr>
            </w:pPr>
            <w:r>
              <w:rPr>
                <w:b/>
                <w:bCs/>
                <w:color w:val="000000"/>
                <w:sz w:val="20"/>
                <w:szCs w:val="20"/>
                <w:rtl w:val="0"/>
              </w:rPr>
              <w:t>Level 1 (Beginning)</w:t>
            </w:r>
          </w:p>
        </w:tc>
      </w:tr>
      <w:tr w14:paraId="0F9D57E6">
        <w:tblPrEx>
          <w:tblCellMar>
            <w:top w:w="0" w:type="dxa"/>
            <w:left w:w="115" w:type="dxa"/>
            <w:bottom w:w="0" w:type="dxa"/>
            <w:right w:w="115" w:type="dxa"/>
          </w:tblCellMar>
        </w:tblPrEx>
        <w:trPr>
          <w:trHeight w:val="1215" w:hRule="atLeast"/>
        </w:trPr>
        <w:tc>
          <w:tcPr>
            <w:tcBorders>
              <w:top w:val="nil"/>
              <w:left w:val="single" w:color="000000" w:sz="4" w:space="0"/>
              <w:bottom w:val="single" w:color="000000" w:sz="4" w:space="0"/>
              <w:right w:val="single" w:color="000000" w:sz="4" w:space="0"/>
            </w:tcBorders>
            <w:vAlign w:val="center"/>
          </w:tcPr>
          <w:p w14:paraId="0000009A">
            <w:pPr>
              <w:spacing w:line="240" w:lineRule="auto"/>
              <w:jc w:val="center"/>
              <w:rPr>
                <w:color w:val="000000"/>
                <w:sz w:val="20"/>
                <w:szCs w:val="20"/>
              </w:rPr>
            </w:pPr>
            <w:r>
              <w:rPr>
                <w:color w:val="000000"/>
                <w:sz w:val="20"/>
                <w:szCs w:val="20"/>
                <w:rtl w:val="0"/>
              </w:rPr>
              <w:t>Problem Understanding</w:t>
            </w:r>
          </w:p>
        </w:tc>
        <w:tc>
          <w:tcPr>
            <w:tcBorders>
              <w:top w:val="nil"/>
              <w:left w:val="nil"/>
              <w:bottom w:val="single" w:color="000000" w:sz="4" w:space="0"/>
              <w:right w:val="single" w:color="000000" w:sz="4" w:space="0"/>
            </w:tcBorders>
            <w:vAlign w:val="center"/>
          </w:tcPr>
          <w:p w14:paraId="0000009B">
            <w:pPr>
              <w:spacing w:line="240" w:lineRule="auto"/>
              <w:jc w:val="center"/>
              <w:rPr>
                <w:color w:val="000000"/>
                <w:sz w:val="20"/>
                <w:szCs w:val="20"/>
              </w:rPr>
            </w:pPr>
            <w:r>
              <w:rPr>
                <w:color w:val="000000"/>
                <w:sz w:val="20"/>
                <w:szCs w:val="20"/>
                <w:rtl w:val="0"/>
              </w:rPr>
              <w:t>20%</w:t>
            </w:r>
          </w:p>
        </w:tc>
        <w:tc>
          <w:tcPr>
            <w:tcBorders>
              <w:top w:val="nil"/>
              <w:left w:val="nil"/>
              <w:bottom w:val="single" w:color="000000" w:sz="4" w:space="0"/>
              <w:right w:val="single" w:color="000000" w:sz="4" w:space="0"/>
            </w:tcBorders>
            <w:vAlign w:val="center"/>
          </w:tcPr>
          <w:p w14:paraId="0000009C">
            <w:pPr>
              <w:spacing w:line="240" w:lineRule="auto"/>
              <w:jc w:val="center"/>
              <w:rPr>
                <w:color w:val="000000"/>
                <w:sz w:val="20"/>
                <w:szCs w:val="20"/>
              </w:rPr>
            </w:pPr>
            <w:r>
              <w:rPr>
                <w:color w:val="000000"/>
                <w:sz w:val="20"/>
                <w:szCs w:val="20"/>
                <w:rtl w:val="0"/>
              </w:rPr>
              <w:t>Clearly defines problem, objectives, and all requirements accurately</w:t>
            </w:r>
          </w:p>
        </w:tc>
        <w:tc>
          <w:tcPr>
            <w:tcBorders>
              <w:top w:val="nil"/>
              <w:left w:val="nil"/>
              <w:bottom w:val="single" w:color="000000" w:sz="4" w:space="0"/>
              <w:right w:val="single" w:color="000000" w:sz="4" w:space="0"/>
            </w:tcBorders>
            <w:vAlign w:val="center"/>
          </w:tcPr>
          <w:p w14:paraId="0000009D">
            <w:pPr>
              <w:spacing w:line="240" w:lineRule="auto"/>
              <w:jc w:val="center"/>
              <w:rPr>
                <w:color w:val="000000"/>
                <w:sz w:val="20"/>
                <w:szCs w:val="20"/>
              </w:rPr>
            </w:pPr>
            <w:r>
              <w:rPr>
                <w:color w:val="000000"/>
                <w:sz w:val="20"/>
                <w:szCs w:val="20"/>
                <w:rtl w:val="0"/>
              </w:rPr>
              <w:t>Understands problem with minor gaps</w:t>
            </w:r>
          </w:p>
        </w:tc>
        <w:tc>
          <w:tcPr>
            <w:tcBorders>
              <w:top w:val="nil"/>
              <w:left w:val="nil"/>
              <w:bottom w:val="single" w:color="000000" w:sz="4" w:space="0"/>
              <w:right w:val="single" w:color="000000" w:sz="4" w:space="0"/>
            </w:tcBorders>
            <w:vAlign w:val="center"/>
          </w:tcPr>
          <w:p w14:paraId="0000009E">
            <w:pPr>
              <w:spacing w:line="240" w:lineRule="auto"/>
              <w:jc w:val="center"/>
              <w:rPr>
                <w:color w:val="000000"/>
                <w:sz w:val="20"/>
                <w:szCs w:val="20"/>
              </w:rPr>
            </w:pPr>
            <w:r>
              <w:rPr>
                <w:color w:val="000000"/>
                <w:sz w:val="20"/>
                <w:szCs w:val="20"/>
                <w:rtl w:val="0"/>
              </w:rPr>
              <w:t>Partial understanding; misses key requirements</w:t>
            </w:r>
          </w:p>
        </w:tc>
        <w:tc>
          <w:tcPr>
            <w:tcBorders>
              <w:top w:val="nil"/>
              <w:left w:val="nil"/>
              <w:bottom w:val="single" w:color="000000" w:sz="4" w:space="0"/>
              <w:right w:val="single" w:color="000000" w:sz="4" w:space="0"/>
            </w:tcBorders>
            <w:vAlign w:val="center"/>
          </w:tcPr>
          <w:p w14:paraId="0000009F">
            <w:pPr>
              <w:spacing w:line="240" w:lineRule="auto"/>
              <w:jc w:val="center"/>
              <w:rPr>
                <w:color w:val="000000"/>
                <w:sz w:val="20"/>
                <w:szCs w:val="20"/>
              </w:rPr>
            </w:pPr>
            <w:r>
              <w:rPr>
                <w:color w:val="000000"/>
                <w:sz w:val="20"/>
                <w:szCs w:val="20"/>
                <w:rtl w:val="0"/>
              </w:rPr>
              <w:t>Misinterprets or fails to understand problem</w:t>
            </w:r>
          </w:p>
        </w:tc>
      </w:tr>
      <w:tr w14:paraId="114473A1">
        <w:tblPrEx>
          <w:tblCellMar>
            <w:top w:w="0" w:type="dxa"/>
            <w:left w:w="115" w:type="dxa"/>
            <w:bottom w:w="0" w:type="dxa"/>
            <w:right w:w="115" w:type="dxa"/>
          </w:tblCellMar>
        </w:tblPrEx>
        <w:trPr>
          <w:trHeight w:val="1215" w:hRule="atLeast"/>
        </w:trPr>
        <w:tc>
          <w:tcPr>
            <w:tcBorders>
              <w:top w:val="nil"/>
              <w:left w:val="single" w:color="000000" w:sz="4" w:space="0"/>
              <w:bottom w:val="single" w:color="000000" w:sz="4" w:space="0"/>
              <w:right w:val="single" w:color="000000" w:sz="4" w:space="0"/>
            </w:tcBorders>
            <w:vAlign w:val="center"/>
          </w:tcPr>
          <w:p w14:paraId="000000A0">
            <w:pPr>
              <w:spacing w:line="240" w:lineRule="auto"/>
              <w:jc w:val="center"/>
              <w:rPr>
                <w:color w:val="000000"/>
                <w:sz w:val="20"/>
                <w:szCs w:val="20"/>
              </w:rPr>
            </w:pPr>
            <w:r>
              <w:rPr>
                <w:color w:val="000000"/>
                <w:sz w:val="20"/>
                <w:szCs w:val="20"/>
                <w:rtl w:val="0"/>
              </w:rPr>
              <w:t>Generation of Solutions</w:t>
            </w:r>
          </w:p>
        </w:tc>
        <w:tc>
          <w:tcPr>
            <w:tcBorders>
              <w:top w:val="nil"/>
              <w:left w:val="nil"/>
              <w:bottom w:val="single" w:color="000000" w:sz="4" w:space="0"/>
              <w:right w:val="single" w:color="000000" w:sz="4" w:space="0"/>
            </w:tcBorders>
            <w:vAlign w:val="center"/>
          </w:tcPr>
          <w:p w14:paraId="000000A1">
            <w:pPr>
              <w:spacing w:line="240" w:lineRule="auto"/>
              <w:jc w:val="center"/>
              <w:rPr>
                <w:color w:val="000000"/>
                <w:sz w:val="20"/>
                <w:szCs w:val="20"/>
              </w:rPr>
            </w:pPr>
            <w:r>
              <w:rPr>
                <w:color w:val="000000"/>
                <w:sz w:val="20"/>
                <w:szCs w:val="20"/>
                <w:rtl w:val="0"/>
              </w:rPr>
              <w:t>25%</w:t>
            </w:r>
          </w:p>
        </w:tc>
        <w:tc>
          <w:tcPr>
            <w:tcBorders>
              <w:top w:val="nil"/>
              <w:left w:val="nil"/>
              <w:bottom w:val="single" w:color="000000" w:sz="4" w:space="0"/>
              <w:right w:val="single" w:color="000000" w:sz="4" w:space="0"/>
            </w:tcBorders>
            <w:vAlign w:val="center"/>
          </w:tcPr>
          <w:p w14:paraId="000000A2">
            <w:pPr>
              <w:spacing w:line="240" w:lineRule="auto"/>
              <w:jc w:val="center"/>
              <w:rPr>
                <w:color w:val="000000"/>
                <w:sz w:val="20"/>
                <w:szCs w:val="20"/>
              </w:rPr>
            </w:pPr>
            <w:r>
              <w:rPr>
                <w:color w:val="000000"/>
                <w:sz w:val="20"/>
                <w:szCs w:val="20"/>
                <w:rtl w:val="0"/>
              </w:rPr>
              <w:t>Develops multiple innovative and feasible alternatives with clear differentiation</w:t>
            </w:r>
          </w:p>
        </w:tc>
        <w:tc>
          <w:tcPr>
            <w:tcBorders>
              <w:top w:val="nil"/>
              <w:left w:val="nil"/>
              <w:bottom w:val="single" w:color="000000" w:sz="4" w:space="0"/>
              <w:right w:val="single" w:color="000000" w:sz="4" w:space="0"/>
            </w:tcBorders>
            <w:vAlign w:val="center"/>
          </w:tcPr>
          <w:p w14:paraId="000000A3">
            <w:pPr>
              <w:spacing w:line="240" w:lineRule="auto"/>
              <w:jc w:val="center"/>
              <w:rPr>
                <w:color w:val="000000"/>
                <w:sz w:val="20"/>
                <w:szCs w:val="20"/>
              </w:rPr>
            </w:pPr>
            <w:r>
              <w:rPr>
                <w:color w:val="000000"/>
                <w:sz w:val="20"/>
                <w:szCs w:val="20"/>
                <w:rtl w:val="0"/>
              </w:rPr>
              <w:t>Generates relevant alternatives with minor limitations</w:t>
            </w:r>
          </w:p>
        </w:tc>
        <w:tc>
          <w:tcPr>
            <w:tcBorders>
              <w:top w:val="nil"/>
              <w:left w:val="nil"/>
              <w:bottom w:val="single" w:color="000000" w:sz="4" w:space="0"/>
              <w:right w:val="single" w:color="000000" w:sz="4" w:space="0"/>
            </w:tcBorders>
            <w:vAlign w:val="center"/>
          </w:tcPr>
          <w:p w14:paraId="000000A4">
            <w:pPr>
              <w:spacing w:line="240" w:lineRule="auto"/>
              <w:jc w:val="center"/>
              <w:rPr>
                <w:color w:val="000000"/>
                <w:sz w:val="20"/>
                <w:szCs w:val="20"/>
              </w:rPr>
            </w:pPr>
            <w:r>
              <w:rPr>
                <w:color w:val="000000"/>
                <w:sz w:val="20"/>
                <w:szCs w:val="20"/>
                <w:rtl w:val="0"/>
              </w:rPr>
              <w:t>Limited or repetitive alternatives</w:t>
            </w:r>
          </w:p>
        </w:tc>
        <w:tc>
          <w:tcPr>
            <w:tcBorders>
              <w:top w:val="nil"/>
              <w:left w:val="nil"/>
              <w:bottom w:val="single" w:color="000000" w:sz="4" w:space="0"/>
              <w:right w:val="single" w:color="000000" w:sz="4" w:space="0"/>
            </w:tcBorders>
            <w:vAlign w:val="center"/>
          </w:tcPr>
          <w:p w14:paraId="000000A5">
            <w:pPr>
              <w:spacing w:line="240" w:lineRule="auto"/>
              <w:jc w:val="center"/>
              <w:rPr>
                <w:color w:val="000000"/>
                <w:sz w:val="20"/>
                <w:szCs w:val="20"/>
              </w:rPr>
            </w:pPr>
            <w:r>
              <w:rPr>
                <w:color w:val="000000"/>
                <w:sz w:val="20"/>
                <w:szCs w:val="20"/>
                <w:rtl w:val="0"/>
              </w:rPr>
              <w:t>Fails to generate meaningful alternatives</w:t>
            </w:r>
          </w:p>
        </w:tc>
      </w:tr>
      <w:tr w14:paraId="5DB2C8DD">
        <w:tblPrEx>
          <w:tblCellMar>
            <w:top w:w="0" w:type="dxa"/>
            <w:left w:w="115" w:type="dxa"/>
            <w:bottom w:w="0" w:type="dxa"/>
            <w:right w:w="115" w:type="dxa"/>
          </w:tblCellMar>
        </w:tblPrEx>
        <w:trPr>
          <w:trHeight w:val="1215" w:hRule="atLeast"/>
        </w:trPr>
        <w:tc>
          <w:tcPr>
            <w:tcBorders>
              <w:top w:val="nil"/>
              <w:left w:val="single" w:color="000000" w:sz="4" w:space="0"/>
              <w:bottom w:val="single" w:color="000000" w:sz="4" w:space="0"/>
              <w:right w:val="single" w:color="000000" w:sz="4" w:space="0"/>
            </w:tcBorders>
            <w:vAlign w:val="center"/>
          </w:tcPr>
          <w:p w14:paraId="000000A6">
            <w:pPr>
              <w:spacing w:line="240" w:lineRule="auto"/>
              <w:jc w:val="center"/>
              <w:rPr>
                <w:color w:val="000000"/>
                <w:sz w:val="20"/>
                <w:szCs w:val="20"/>
              </w:rPr>
            </w:pPr>
            <w:r>
              <w:rPr>
                <w:color w:val="000000"/>
                <w:sz w:val="20"/>
                <w:szCs w:val="20"/>
                <w:rtl w:val="0"/>
              </w:rPr>
              <w:t>Evaluation of Alternatives</w:t>
            </w:r>
          </w:p>
        </w:tc>
        <w:tc>
          <w:tcPr>
            <w:tcBorders>
              <w:top w:val="nil"/>
              <w:left w:val="nil"/>
              <w:bottom w:val="single" w:color="000000" w:sz="4" w:space="0"/>
              <w:right w:val="single" w:color="000000" w:sz="4" w:space="0"/>
            </w:tcBorders>
            <w:vAlign w:val="center"/>
          </w:tcPr>
          <w:p w14:paraId="000000A7">
            <w:pPr>
              <w:spacing w:line="240" w:lineRule="auto"/>
              <w:jc w:val="center"/>
              <w:rPr>
                <w:color w:val="000000"/>
                <w:sz w:val="20"/>
                <w:szCs w:val="20"/>
              </w:rPr>
            </w:pPr>
            <w:r>
              <w:rPr>
                <w:color w:val="000000"/>
                <w:sz w:val="20"/>
                <w:szCs w:val="20"/>
                <w:rtl w:val="0"/>
              </w:rPr>
              <w:t>25%</w:t>
            </w:r>
          </w:p>
        </w:tc>
        <w:tc>
          <w:tcPr>
            <w:tcBorders>
              <w:top w:val="nil"/>
              <w:left w:val="nil"/>
              <w:bottom w:val="single" w:color="000000" w:sz="4" w:space="0"/>
              <w:right w:val="single" w:color="000000" w:sz="4" w:space="0"/>
            </w:tcBorders>
            <w:vAlign w:val="center"/>
          </w:tcPr>
          <w:p w14:paraId="000000A8">
            <w:pPr>
              <w:spacing w:line="240" w:lineRule="auto"/>
              <w:jc w:val="center"/>
              <w:rPr>
                <w:color w:val="000000"/>
                <w:sz w:val="20"/>
                <w:szCs w:val="20"/>
              </w:rPr>
            </w:pPr>
            <w:r>
              <w:rPr>
                <w:color w:val="000000"/>
                <w:sz w:val="20"/>
                <w:szCs w:val="20"/>
                <w:rtl w:val="0"/>
              </w:rPr>
              <w:t>Critically compares alternatives using appropriate criteria and metrics</w:t>
            </w:r>
          </w:p>
        </w:tc>
        <w:tc>
          <w:tcPr>
            <w:tcBorders>
              <w:top w:val="nil"/>
              <w:left w:val="nil"/>
              <w:bottom w:val="single" w:color="000000" w:sz="4" w:space="0"/>
              <w:right w:val="single" w:color="000000" w:sz="4" w:space="0"/>
            </w:tcBorders>
            <w:vAlign w:val="center"/>
          </w:tcPr>
          <w:p w14:paraId="000000A9">
            <w:pPr>
              <w:spacing w:line="240" w:lineRule="auto"/>
              <w:jc w:val="center"/>
              <w:rPr>
                <w:color w:val="000000"/>
                <w:sz w:val="20"/>
                <w:szCs w:val="20"/>
              </w:rPr>
            </w:pPr>
            <w:r>
              <w:rPr>
                <w:color w:val="000000"/>
                <w:sz w:val="20"/>
                <w:szCs w:val="20"/>
                <w:rtl w:val="0"/>
              </w:rPr>
              <w:t>Compares alternatives with some justification</w:t>
            </w:r>
          </w:p>
        </w:tc>
        <w:tc>
          <w:tcPr>
            <w:tcBorders>
              <w:top w:val="nil"/>
              <w:left w:val="nil"/>
              <w:bottom w:val="single" w:color="000000" w:sz="4" w:space="0"/>
              <w:right w:val="single" w:color="000000" w:sz="4" w:space="0"/>
            </w:tcBorders>
            <w:vAlign w:val="center"/>
          </w:tcPr>
          <w:p w14:paraId="000000AA">
            <w:pPr>
              <w:spacing w:line="240" w:lineRule="auto"/>
              <w:jc w:val="center"/>
              <w:rPr>
                <w:color w:val="000000"/>
                <w:sz w:val="20"/>
                <w:szCs w:val="20"/>
              </w:rPr>
            </w:pPr>
            <w:r>
              <w:rPr>
                <w:color w:val="000000"/>
                <w:sz w:val="20"/>
                <w:szCs w:val="20"/>
                <w:rtl w:val="0"/>
              </w:rPr>
              <w:t>Basic or superficial comparison</w:t>
            </w:r>
          </w:p>
        </w:tc>
        <w:tc>
          <w:tcPr>
            <w:tcBorders>
              <w:top w:val="nil"/>
              <w:left w:val="nil"/>
              <w:bottom w:val="single" w:color="000000" w:sz="4" w:space="0"/>
              <w:right w:val="single" w:color="000000" w:sz="4" w:space="0"/>
            </w:tcBorders>
            <w:vAlign w:val="center"/>
          </w:tcPr>
          <w:p w14:paraId="000000AB">
            <w:pPr>
              <w:spacing w:line="240" w:lineRule="auto"/>
              <w:jc w:val="center"/>
              <w:rPr>
                <w:color w:val="000000"/>
                <w:sz w:val="20"/>
                <w:szCs w:val="20"/>
              </w:rPr>
            </w:pPr>
            <w:r>
              <w:rPr>
                <w:color w:val="000000"/>
                <w:sz w:val="20"/>
                <w:szCs w:val="20"/>
                <w:rtl w:val="0"/>
              </w:rPr>
              <w:t>No proper comparison conducted</w:t>
            </w:r>
          </w:p>
        </w:tc>
      </w:tr>
      <w:tr w14:paraId="74B4A6F0">
        <w:tblPrEx>
          <w:tblCellMar>
            <w:top w:w="0" w:type="dxa"/>
            <w:left w:w="115" w:type="dxa"/>
            <w:bottom w:w="0" w:type="dxa"/>
            <w:right w:w="115" w:type="dxa"/>
          </w:tblCellMar>
        </w:tblPrEx>
        <w:trPr>
          <w:trHeight w:val="1215" w:hRule="atLeast"/>
        </w:trPr>
        <w:tc>
          <w:tcPr>
            <w:tcBorders>
              <w:top w:val="nil"/>
              <w:left w:val="single" w:color="000000" w:sz="4" w:space="0"/>
              <w:bottom w:val="single" w:color="000000" w:sz="4" w:space="0"/>
              <w:right w:val="single" w:color="000000" w:sz="4" w:space="0"/>
            </w:tcBorders>
            <w:vAlign w:val="center"/>
          </w:tcPr>
          <w:p w14:paraId="000000AC">
            <w:pPr>
              <w:spacing w:line="240" w:lineRule="auto"/>
              <w:jc w:val="center"/>
              <w:rPr>
                <w:color w:val="000000"/>
                <w:sz w:val="20"/>
                <w:szCs w:val="20"/>
              </w:rPr>
            </w:pPr>
            <w:r>
              <w:rPr>
                <w:color w:val="000000"/>
                <w:sz w:val="20"/>
                <w:szCs w:val="20"/>
                <w:rtl w:val="0"/>
              </w:rPr>
              <w:t>Solution Selection</w:t>
            </w:r>
          </w:p>
        </w:tc>
        <w:tc>
          <w:tcPr>
            <w:tcBorders>
              <w:top w:val="nil"/>
              <w:left w:val="nil"/>
              <w:bottom w:val="single" w:color="000000" w:sz="4" w:space="0"/>
              <w:right w:val="single" w:color="000000" w:sz="4" w:space="0"/>
            </w:tcBorders>
            <w:vAlign w:val="center"/>
          </w:tcPr>
          <w:p w14:paraId="000000AD">
            <w:pPr>
              <w:spacing w:line="240" w:lineRule="auto"/>
              <w:jc w:val="center"/>
              <w:rPr>
                <w:color w:val="000000"/>
                <w:sz w:val="20"/>
                <w:szCs w:val="20"/>
              </w:rPr>
            </w:pPr>
            <w:r>
              <w:rPr>
                <w:color w:val="000000"/>
                <w:sz w:val="20"/>
                <w:szCs w:val="20"/>
                <w:rtl w:val="0"/>
              </w:rPr>
              <w:t>20%</w:t>
            </w:r>
          </w:p>
        </w:tc>
        <w:tc>
          <w:tcPr>
            <w:tcBorders>
              <w:top w:val="nil"/>
              <w:left w:val="nil"/>
              <w:bottom w:val="single" w:color="000000" w:sz="4" w:space="0"/>
              <w:right w:val="single" w:color="000000" w:sz="4" w:space="0"/>
            </w:tcBorders>
            <w:vAlign w:val="center"/>
          </w:tcPr>
          <w:p w14:paraId="000000AE">
            <w:pPr>
              <w:spacing w:line="240" w:lineRule="auto"/>
              <w:jc w:val="center"/>
              <w:rPr>
                <w:color w:val="000000"/>
                <w:sz w:val="20"/>
                <w:szCs w:val="20"/>
              </w:rPr>
            </w:pPr>
            <w:r>
              <w:rPr>
                <w:color w:val="000000"/>
                <w:sz w:val="20"/>
                <w:szCs w:val="20"/>
                <w:rtl w:val="0"/>
              </w:rPr>
              <w:t>Selects best solution with strong justification and decision rationale</w:t>
            </w:r>
          </w:p>
        </w:tc>
        <w:tc>
          <w:tcPr>
            <w:tcBorders>
              <w:top w:val="nil"/>
              <w:left w:val="nil"/>
              <w:bottom w:val="single" w:color="000000" w:sz="4" w:space="0"/>
              <w:right w:val="single" w:color="000000" w:sz="4" w:space="0"/>
            </w:tcBorders>
            <w:vAlign w:val="center"/>
          </w:tcPr>
          <w:p w14:paraId="000000AF">
            <w:pPr>
              <w:spacing w:line="240" w:lineRule="auto"/>
              <w:jc w:val="center"/>
              <w:rPr>
                <w:color w:val="000000"/>
                <w:sz w:val="20"/>
                <w:szCs w:val="20"/>
              </w:rPr>
            </w:pPr>
            <w:r>
              <w:rPr>
                <w:color w:val="000000"/>
                <w:sz w:val="20"/>
                <w:szCs w:val="20"/>
                <w:rtl w:val="0"/>
              </w:rPr>
              <w:t>Selects suitable solution with moderate justification</w:t>
            </w:r>
          </w:p>
        </w:tc>
        <w:tc>
          <w:tcPr>
            <w:tcBorders>
              <w:top w:val="nil"/>
              <w:left w:val="nil"/>
              <w:bottom w:val="single" w:color="000000" w:sz="4" w:space="0"/>
              <w:right w:val="single" w:color="000000" w:sz="4" w:space="0"/>
            </w:tcBorders>
            <w:vAlign w:val="center"/>
          </w:tcPr>
          <w:p w14:paraId="000000B0">
            <w:pPr>
              <w:spacing w:line="240" w:lineRule="auto"/>
              <w:jc w:val="center"/>
              <w:rPr>
                <w:color w:val="000000"/>
                <w:sz w:val="20"/>
                <w:szCs w:val="20"/>
              </w:rPr>
            </w:pPr>
            <w:r>
              <w:rPr>
                <w:color w:val="000000"/>
                <w:sz w:val="20"/>
                <w:szCs w:val="20"/>
                <w:rtl w:val="0"/>
              </w:rPr>
              <w:t>Selection is weakly justified</w:t>
            </w:r>
          </w:p>
        </w:tc>
        <w:tc>
          <w:tcPr>
            <w:tcBorders>
              <w:top w:val="nil"/>
              <w:left w:val="nil"/>
              <w:bottom w:val="single" w:color="000000" w:sz="4" w:space="0"/>
              <w:right w:val="single" w:color="000000" w:sz="4" w:space="0"/>
            </w:tcBorders>
            <w:vAlign w:val="center"/>
          </w:tcPr>
          <w:p w14:paraId="000000B1">
            <w:pPr>
              <w:spacing w:line="240" w:lineRule="auto"/>
              <w:jc w:val="center"/>
              <w:rPr>
                <w:color w:val="000000"/>
                <w:sz w:val="20"/>
                <w:szCs w:val="20"/>
              </w:rPr>
            </w:pPr>
            <w:r>
              <w:rPr>
                <w:color w:val="000000"/>
                <w:sz w:val="20"/>
                <w:szCs w:val="20"/>
                <w:rtl w:val="0"/>
              </w:rPr>
              <w:t>No clear or justified selection</w:t>
            </w:r>
          </w:p>
        </w:tc>
      </w:tr>
      <w:tr w14:paraId="05B19B14">
        <w:tblPrEx>
          <w:tblCellMar>
            <w:top w:w="0" w:type="dxa"/>
            <w:left w:w="115" w:type="dxa"/>
            <w:bottom w:w="0" w:type="dxa"/>
            <w:right w:w="115" w:type="dxa"/>
          </w:tblCellMar>
        </w:tblPrEx>
        <w:trPr>
          <w:trHeight w:val="1215" w:hRule="atLeast"/>
        </w:trPr>
        <w:tc>
          <w:tcPr>
            <w:tcBorders>
              <w:top w:val="nil"/>
              <w:left w:val="single" w:color="000000" w:sz="4" w:space="0"/>
              <w:bottom w:val="single" w:color="000000" w:sz="4" w:space="0"/>
              <w:right w:val="single" w:color="000000" w:sz="4" w:space="0"/>
            </w:tcBorders>
            <w:vAlign w:val="center"/>
          </w:tcPr>
          <w:p w14:paraId="000000B2">
            <w:pPr>
              <w:spacing w:line="240" w:lineRule="auto"/>
              <w:jc w:val="center"/>
              <w:rPr>
                <w:color w:val="000000"/>
                <w:sz w:val="20"/>
                <w:szCs w:val="20"/>
              </w:rPr>
            </w:pPr>
            <w:r>
              <w:rPr>
                <w:color w:val="000000"/>
                <w:sz w:val="20"/>
                <w:szCs w:val="20"/>
                <w:rtl w:val="0"/>
              </w:rPr>
              <w:t>Feasibility</w:t>
            </w:r>
          </w:p>
        </w:tc>
        <w:tc>
          <w:tcPr>
            <w:tcBorders>
              <w:top w:val="nil"/>
              <w:left w:val="nil"/>
              <w:bottom w:val="single" w:color="000000" w:sz="4" w:space="0"/>
              <w:right w:val="single" w:color="000000" w:sz="4" w:space="0"/>
            </w:tcBorders>
            <w:vAlign w:val="center"/>
          </w:tcPr>
          <w:p w14:paraId="000000B3">
            <w:pPr>
              <w:spacing w:line="240" w:lineRule="auto"/>
              <w:jc w:val="center"/>
              <w:rPr>
                <w:color w:val="000000"/>
                <w:sz w:val="20"/>
                <w:szCs w:val="20"/>
              </w:rPr>
            </w:pPr>
            <w:r>
              <w:rPr>
                <w:color w:val="000000"/>
                <w:sz w:val="20"/>
                <w:szCs w:val="20"/>
                <w:rtl w:val="0"/>
              </w:rPr>
              <w:t>10%</w:t>
            </w:r>
          </w:p>
        </w:tc>
        <w:tc>
          <w:tcPr>
            <w:tcBorders>
              <w:top w:val="nil"/>
              <w:left w:val="nil"/>
              <w:bottom w:val="single" w:color="000000" w:sz="4" w:space="0"/>
              <w:right w:val="single" w:color="000000" w:sz="4" w:space="0"/>
            </w:tcBorders>
            <w:vAlign w:val="center"/>
          </w:tcPr>
          <w:p w14:paraId="000000B4">
            <w:pPr>
              <w:spacing w:line="240" w:lineRule="auto"/>
              <w:jc w:val="center"/>
              <w:rPr>
                <w:color w:val="000000"/>
                <w:sz w:val="20"/>
                <w:szCs w:val="20"/>
              </w:rPr>
            </w:pPr>
            <w:r>
              <w:rPr>
                <w:color w:val="000000"/>
                <w:sz w:val="20"/>
                <w:szCs w:val="20"/>
                <w:rtl w:val="0"/>
              </w:rPr>
              <w:t>Applies relevant concepts ensuring high feasibility and practicality</w:t>
            </w:r>
          </w:p>
        </w:tc>
        <w:tc>
          <w:tcPr>
            <w:tcBorders>
              <w:top w:val="nil"/>
              <w:left w:val="nil"/>
              <w:bottom w:val="single" w:color="000000" w:sz="4" w:space="0"/>
              <w:right w:val="single" w:color="000000" w:sz="4" w:space="0"/>
            </w:tcBorders>
            <w:vAlign w:val="center"/>
          </w:tcPr>
          <w:p w14:paraId="000000B5">
            <w:pPr>
              <w:spacing w:line="240" w:lineRule="auto"/>
              <w:jc w:val="center"/>
              <w:rPr>
                <w:color w:val="000000"/>
                <w:sz w:val="20"/>
                <w:szCs w:val="20"/>
              </w:rPr>
            </w:pPr>
            <w:r>
              <w:rPr>
                <w:color w:val="000000"/>
                <w:sz w:val="20"/>
                <w:szCs w:val="20"/>
                <w:rtl w:val="0"/>
              </w:rPr>
              <w:t>Applies concepts with minor issues</w:t>
            </w:r>
          </w:p>
        </w:tc>
        <w:tc>
          <w:tcPr>
            <w:tcBorders>
              <w:top w:val="nil"/>
              <w:left w:val="nil"/>
              <w:bottom w:val="single" w:color="000000" w:sz="4" w:space="0"/>
              <w:right w:val="single" w:color="000000" w:sz="4" w:space="0"/>
            </w:tcBorders>
            <w:vAlign w:val="center"/>
          </w:tcPr>
          <w:p w14:paraId="000000B6">
            <w:pPr>
              <w:spacing w:line="240" w:lineRule="auto"/>
              <w:jc w:val="center"/>
              <w:rPr>
                <w:color w:val="000000"/>
                <w:sz w:val="20"/>
                <w:szCs w:val="20"/>
              </w:rPr>
            </w:pPr>
            <w:r>
              <w:rPr>
                <w:color w:val="000000"/>
                <w:sz w:val="20"/>
                <w:szCs w:val="20"/>
                <w:rtl w:val="0"/>
              </w:rPr>
              <w:t>Limited feasibility or incorrect application</w:t>
            </w:r>
          </w:p>
        </w:tc>
        <w:tc>
          <w:tcPr>
            <w:tcBorders>
              <w:top w:val="nil"/>
              <w:left w:val="nil"/>
              <w:bottom w:val="single" w:color="000000" w:sz="4" w:space="0"/>
              <w:right w:val="single" w:color="000000" w:sz="4" w:space="0"/>
            </w:tcBorders>
            <w:vAlign w:val="center"/>
          </w:tcPr>
          <w:p w14:paraId="000000B7">
            <w:pPr>
              <w:spacing w:line="240" w:lineRule="auto"/>
              <w:jc w:val="center"/>
              <w:rPr>
                <w:color w:val="000000"/>
                <w:sz w:val="20"/>
                <w:szCs w:val="20"/>
              </w:rPr>
            </w:pPr>
            <w:r>
              <w:rPr>
                <w:color w:val="000000"/>
                <w:sz w:val="20"/>
                <w:szCs w:val="20"/>
                <w:rtl w:val="0"/>
              </w:rPr>
              <w:t>Solution is impractical or conceptually incorrect</w:t>
            </w:r>
          </w:p>
        </w:tc>
      </w:tr>
    </w:tbl>
    <w:p w14:paraId="000000B8">
      <w:pPr>
        <w:rPr>
          <w:b/>
          <w:bCs/>
          <w:sz w:val="24"/>
          <w:szCs w:val="24"/>
        </w:rPr>
      </w:pP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B5658048-85D6-4760-938E-D3DBA1666529}"/>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7D6E5443-2AFD-4F86-BED5-10A02EE1B975}"/>
  </w:font>
  <w:font w:name="Wingdings">
    <w:panose1 w:val="05000000000000000000"/>
    <w:charset w:val="02"/>
    <w:family w:val="auto"/>
    <w:pitch w:val="default"/>
    <w:sig w:usb0="00000000" w:usb1="00000000" w:usb2="00000000" w:usb3="00000000" w:csb0="80000000" w:csb1="00000000"/>
    <w:embedRegular r:id="rId3" w:fontKey="{1016052F-E66E-471D-8C9E-4765B7E486AB}"/>
  </w:font>
  <w:font w:name="Calibri">
    <w:panose1 w:val="020F0502020204030204"/>
    <w:charset w:val="00"/>
    <w:family w:val="swiss"/>
    <w:pitch w:val="default"/>
    <w:sig w:usb0="E4002EFF" w:usb1="C200247B" w:usb2="00000009" w:usb3="00000000" w:csb0="200001FF" w:csb1="00000000"/>
    <w:embedRegular r:id="rId4" w:fontKey="{C0EEF75D-6C59-4BCF-BF9C-9ADCAFB7A364}"/>
  </w:font>
  <w:font w:name="等线">
    <w:altName w:val="Microsoft YaHei"/>
    <w:panose1 w:val="00000000000000000000"/>
    <w:charset w:val="86"/>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lvlText w:val="%1."/>
      <w:lvlJc w:val="left"/>
      <w:pPr>
        <w:ind w:left="504" w:hanging="360"/>
      </w:p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1">
    <w:nsid w:val="0053208E"/>
    <w:multiLevelType w:val="multilevel"/>
    <w:tmpl w:val="0053208E"/>
    <w:lvl w:ilvl="0" w:tentative="0">
      <w:start w:val="1"/>
      <w:numFmt w:val="bullet"/>
      <w:lvlText w:val="•"/>
      <w:lvlJc w:val="left"/>
      <w:pPr>
        <w:ind w:left="504" w:hanging="288"/>
      </w:p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65CE1EF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IN"/>
    </w:rPr>
  </w:style>
  <w:style w:type="paragraph" w:styleId="2">
    <w:name w:val="heading 1"/>
    <w:basedOn w:val="1"/>
    <w:next w:val="1"/>
    <w:qFormat/>
    <w:uiPriority w:val="0"/>
    <w:pPr>
      <w:keepNext/>
      <w:keepLines/>
      <w:spacing w:before="400" w:after="120"/>
    </w:pPr>
    <w:rPr>
      <w:sz w:val="40"/>
      <w:szCs w:val="40"/>
    </w:rPr>
  </w:style>
  <w:style w:type="paragraph" w:styleId="3">
    <w:name w:val="heading 2"/>
    <w:basedOn w:val="1"/>
    <w:next w:val="1"/>
    <w:qFormat/>
    <w:uiPriority w:val="0"/>
    <w:pPr>
      <w:keepNext/>
      <w:keepLines/>
      <w:spacing w:before="360" w:after="120"/>
    </w:pPr>
    <w:rPr>
      <w:sz w:val="32"/>
      <w:szCs w:val="32"/>
    </w:rPr>
  </w:style>
  <w:style w:type="paragraph" w:styleId="4">
    <w:name w:val="heading 3"/>
    <w:basedOn w:val="1"/>
    <w:next w:val="1"/>
    <w:qFormat/>
    <w:uiPriority w:val="0"/>
    <w:pPr>
      <w:keepNext/>
      <w:keepLines/>
      <w:spacing w:before="320" w:after="80"/>
    </w:pPr>
    <w:rPr>
      <w:color w:val="434343"/>
      <w:sz w:val="28"/>
      <w:szCs w:val="28"/>
    </w:rPr>
  </w:style>
  <w:style w:type="paragraph" w:styleId="5">
    <w:name w:val="heading 4"/>
    <w:basedOn w:val="1"/>
    <w:next w:val="1"/>
    <w:qFormat/>
    <w:uiPriority w:val="0"/>
    <w:pPr>
      <w:keepNext/>
      <w:keepLines/>
      <w:spacing w:before="280" w:after="80"/>
    </w:pPr>
    <w:rPr>
      <w:color w:val="666666"/>
      <w:sz w:val="24"/>
      <w:szCs w:val="24"/>
    </w:rPr>
  </w:style>
  <w:style w:type="paragraph" w:styleId="6">
    <w:name w:val="heading 5"/>
    <w:basedOn w:val="1"/>
    <w:next w:val="1"/>
    <w:qFormat/>
    <w:uiPriority w:val="0"/>
    <w:pPr>
      <w:keepNext/>
      <w:keepLines/>
      <w:spacing w:before="240" w:after="80"/>
    </w:pPr>
    <w:rPr>
      <w:color w:val="666666"/>
    </w:rPr>
  </w:style>
  <w:style w:type="paragraph" w:styleId="7">
    <w:name w:val="heading 6"/>
    <w:basedOn w:val="1"/>
    <w:next w:val="1"/>
    <w:qFormat/>
    <w:uiPriority w:val="0"/>
    <w:pPr>
      <w:keepNext/>
      <w:keepLines/>
      <w:spacing w:before="240" w:after="80"/>
    </w:pPr>
    <w:rPr>
      <w:i/>
      <w:iCs/>
      <w:color w:val="666666"/>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spacing w:after="320"/>
    </w:pPr>
    <w:rPr>
      <w:color w:val="666666"/>
      <w:sz w:val="30"/>
      <w:szCs w:val="30"/>
    </w:rPr>
  </w:style>
  <w:style w:type="paragraph" w:styleId="11">
    <w:name w:val="Title"/>
    <w:basedOn w:val="1"/>
    <w:next w:val="1"/>
    <w:qFormat/>
    <w:uiPriority w:val="0"/>
    <w:pPr>
      <w:keepNext/>
      <w:keepLines/>
      <w:spacing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8</Pages>
  <Words>2284</Words>
  <Characters>13662</Characters>
  <TotalTime>0</TotalTime>
  <ScaleCrop>false</ScaleCrop>
  <LinksUpToDate>false</LinksUpToDate>
  <CharactersWithSpaces>15894</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2026-09-03T05:09:24Z</dcterms:created>
  <dc:creator>saira</dc:creator>
  <cp:lastModifiedBy>Sairaj C</cp:lastModifiedBy>
  <dcterms:modified xsi:type="dcterms:W3CDTF">2026-09-03T05:09:46Z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8FE0D16D17B24C2BBE15502E049771AC_13</vt:lpwstr>
  </property>
</Properties>
</file>