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15 February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LTVIP2026TMIDS70003</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Weather-Based Prediction of Wind Turbine Energy </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
                <a:graphic>
                  <a:graphicData uri="http://schemas.microsoft.com/office/word/2010/wordprocessingShape">
                    <wps:wsp>
                      <wps:cNvSpPr/>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1C500E" w:rsidDel="00000000" w:rsidP="00000000" w:rsidRDefault="001C500E" w:rsidRPr="00000000" w14:paraId="2F2A29E8" w14:textId="77777777">
                            <w:pPr>
                              <w:spacing w:line="258" w:lineRule="auto"/>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8">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CA08AE" w:rsidDel="00000000" w:rsidP="00000000" w:rsidRDefault="00CA08AE" w:rsidRPr="00000000" w14:paraId="47B62189"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4" name="image4.png"/>
            <a:graphic>
              <a:graphicData uri="http://schemas.openxmlformats.org/drawingml/2006/picture">
                <pic:pic>
                  <pic:nvPicPr>
                    <pic:cNvPr descr="Diagram, timeline&#10;&#10;Description automatically generated" id="0" name="image4.png"/>
                    <pic:cNvPicPr preferRelativeResize="0"/>
                  </pic:nvPicPr>
                  <pic:blipFill>
                    <a:blip r:embed="rId10"/>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