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LTVIP2026TMIDS70003</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Weather-Based Prediction of Wind Turbine Energy</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color w:val="2a2a2a"/>
          <w:sz w:val="24"/>
          <w:szCs w:val="24"/>
          <w:rtl w:val="0"/>
        </w:rPr>
        <w:t xml:space="preserve">An empathy map is a simple, easy-to-digest visual that captures knowledge about a user’s behaviours and attitudes.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color w:val="2a2a2a"/>
          <w:sz w:val="24"/>
          <w:szCs w:val="24"/>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1" name="image1.png"/>
            <a:graphic>
              <a:graphicData uri="http://schemas.openxmlformats.org/drawingml/2006/picture">
                <pic:pic>
                  <pic:nvPicPr>
                    <pic:cNvPr descr="Diagram&#10;&#10;Description automatically generated" id="0" name="image1.png"/>
                    <pic:cNvPicPr preferRelativeResize="0"/>
                  </pic:nvPicPr>
                  <pic:blipFill>
                    <a:blip r:embed="rId6"/>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2" name="image2.png"/>
            <a:graphic>
              <a:graphicData uri="http://schemas.openxmlformats.org/drawingml/2006/picture">
                <pic:pic>
                  <pic:nvPicPr>
                    <pic:cNvPr descr="Diagram&#10;&#10;Description automatically generated" id="0" name="image2.png"/>
                    <pic:cNvPicPr preferRelativeResize="0"/>
                  </pic:nvPicPr>
                  <pic:blipFill>
                    <a:blip r:embed="rId8"/>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ural.co/templates/empathy-map-canva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