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header"/>
    <w:bookmarkEnd w:id="9"/>
    <w:bookmarkStart w:id="22" w:name="content"/>
    <w:bookmarkStart w:id="21" w:name="executive-summary"/>
    <w:p>
      <w:pPr>
        <w:pStyle w:val="Heading1"/>
      </w:pPr>
      <w:r>
        <w:t xml:space="preserve">Executive Summary</w:t>
      </w:r>
    </w:p>
    <w:p>
      <w:pPr>
        <w:pStyle w:val="FirstParagraph"/>
      </w:pPr>
      <w:r>
        <w:t xml:space="preserve">A QR-based UPI payment (as in Google Pay) involves the user scanning a QR code that encodes a standard UPI “pay” URI. The app locally decodes the QR and extracts parameters (payee VPA, name, amount, etc.) as per NPCI’s UPI Linking Specification【15†L335-L342】【18†L368-L377】. The user selects a source bank account, and on</w:t>
      </w:r>
      <w:r>
        <w:t xml:space="preserve"> </w:t>
      </w:r>
      <w:r>
        <w:rPr>
          <w:b/>
          <w:bCs/>
        </w:rPr>
        <w:t xml:space="preserve">Pay</w:t>
      </w:r>
      <w:r>
        <w:t xml:space="preserve">, Google Pay invokes NPCI’s</w:t>
      </w:r>
      <w:r>
        <w:t xml:space="preserve"> </w:t>
      </w:r>
      <w:r>
        <w:rPr>
          <w:i/>
          <w:iCs/>
        </w:rPr>
        <w:t xml:space="preserve">pinactivitycomponent</w:t>
      </w:r>
      <w:r>
        <w:t xml:space="preserve"> </w:t>
      </w:r>
      <w:r>
        <w:t xml:space="preserve">(via the Common Library) to collect the UPI PIN【4†L52-L56】. The entered PIN is</w:t>
      </w:r>
      <w:r>
        <w:t xml:space="preserve"> </w:t>
      </w:r>
      <w:r>
        <w:rPr>
          <w:b/>
          <w:bCs/>
        </w:rPr>
        <w:t xml:space="preserve">never exposed in plaintext</w:t>
      </w:r>
      <w:r>
        <w:t xml:space="preserve"> </w:t>
      </w:r>
      <w:r>
        <w:t xml:space="preserve">to the app; instead, the NPCI Common Library (CL) on-device uses it to build a cryptographically protected payload. This payload is submitted to the PSP’s backend (over TLS), which forwards it through the NPCI switch to the payer’s bank. At each step, fields are integrity-protected by a combination of AES-GCM and RSA-OAEP encryption, using keys provisioned to the CL (k0) and NPCI’s RSA key【19†L193-L201】【19†L209-L218】. The payer bank verifies the PIN and debits the account; the beneficiary bank is then instructed (via NPCI) to credit the payee. NPCI’s switch identifies the payee bank from the VPA and routes the message accordingly. The final status (success or failure) propagates back through NPCI→PSP→app, and Google Pay displays the result to the user.</w:t>
      </w:r>
    </w:p>
    <w:p>
      <w:pPr>
        <w:pStyle w:val="BodyText"/>
      </w:pPr>
      <w:r>
        <w:t xml:space="preserve">Throughout,</w:t>
      </w:r>
      <w:r>
        <w:t xml:space="preserve"> </w:t>
      </w:r>
      <w:r>
        <w:rPr>
          <w:b/>
          <w:bCs/>
        </w:rPr>
        <w:t xml:space="preserve">confidentiality and integrity</w:t>
      </w:r>
      <w:r>
        <w:t xml:space="preserve"> </w:t>
      </w:r>
      <w:r>
        <w:t xml:space="preserve">are ensured by (a) client-side AES/RSA encryption (the CL) on all sensitive data (PIN, transaction hash)【19†L193-L201】【19†L209-L218】, and (b) TLS for all network traffic. The PSP app (Google Pay) only sees encrypted blobs and transaction IDs; it never sees the raw PIN or account credentials. The payer bank ultimately does the PIN check. The NPCI specifications and Common Library documentation confirm this architecture, with sources cited below. Where the user’s resources are silent (e.g. exact message fields), we infer from NPCI guidelines and mark confidence accordingly.</w:t>
      </w:r>
    </w:p>
    <w:bookmarkStart w:id="10" w:name="rq1-app-startup-and-user-registration"/>
    <w:p>
      <w:pPr>
        <w:pStyle w:val="Heading2"/>
      </w:pPr>
      <w:r>
        <w:t xml:space="preserve">RQ1 — App Startup and User Registration</w:t>
      </w:r>
    </w:p>
    <w:p>
      <w:pPr>
        <w:pStyle w:val="FirstParagraph"/>
      </w:pPr>
      <w:r>
        <w:rPr>
          <w:b/>
          <w:bCs/>
        </w:rPr>
        <w:t xml:space="preserve">Question:</w:t>
      </w:r>
      <w:r>
        <w:t xml:space="preserve"> </w:t>
      </w:r>
      <w:r>
        <w:rPr>
          <w:i/>
          <w:iCs/>
        </w:rPr>
        <w:t xml:space="preserve">What happens internally when Google Pay starts, and how is the user’s device and UPI identity recognized?</w:t>
      </w:r>
    </w:p>
    <w:p>
      <w:pPr>
        <w:pStyle w:val="BodyText"/>
      </w:pPr>
      <w:r>
        <w:rPr>
          <w:b/>
          <w:bCs/>
        </w:rPr>
        <w:t xml:space="preserve">Answer:</w:t>
      </w:r>
      <w:r>
        <w:t xml:space="preserve"> </w:t>
      </w:r>
      <w:r>
        <w:t xml:space="preserve">On launch, Google Pay initializes its session and loads the NPCI-provided Common Library (CL) for secure UPI transactions【4†L41-L49】. The app checks whether the user’s mobile number is registered for UPI via its PSP (sponsor bank). In practice, Google Pay (as a PSP-front-end) would call its backend (or NPCI ListAccount API) to retrieve linked bank accounts and VPAs for the user’s phone number. The device’s SIM and app registration is tied to the UPI profile by NPCI’s registration process (often done via an earlier SMS/OTP when initially setting up UPI). All persistent UPI credentials (e.g.</w:t>
      </w:r>
      <w:r>
        <w:t xml:space="preserve"> </w:t>
      </w:r>
      <w:r>
        <w:rPr>
          <w:rStyle w:val="VerbatimChar"/>
        </w:rPr>
        <w:t xml:space="preserve">k0</w:t>
      </w:r>
      <w:r>
        <w:t xml:space="preserve"> </w:t>
      </w:r>
      <w:r>
        <w:t xml:space="preserve">challenge key) are stored locally in encrypted form by the CL【4†L65-L72】【19†L174-L182】. Security checks ensure the app is bound to the user’s SIM (first-factor device binding) and the phone number. In Google’s Single-PSP (SDK) model, the bank supplies the CL in a secure wrapper inside the app; the app trusts Google Pay/PSP to host the CL and only the PSP’s backend server to handle actual UPI requests【32†L882-L891】.</w:t>
      </w:r>
    </w:p>
    <w:p>
      <w:pPr>
        <w:numPr>
          <w:ilvl w:val="0"/>
          <w:numId w:val="1001"/>
        </w:numPr>
      </w:pPr>
      <w:r>
        <w:rPr>
          <w:i/>
          <w:iCs/>
        </w:rPr>
        <w:t xml:space="preserve">Data flow:</w:t>
      </w:r>
      <w:r>
        <w:t xml:space="preserve"> </w:t>
      </w:r>
      <w:r>
        <w:t xml:space="preserve">On startup, Google Pay queries its server for the user’s registered VPAs/accounts. The NPCI CL and other SDKs are initialized for use.</w:t>
      </w:r>
      <w:r>
        <w:t xml:space="preserve"> </w:t>
      </w:r>
      <w:r>
        <w:rPr>
          <w:i/>
          <w:iCs/>
        </w:rPr>
        <w:t xml:space="preserve">Local storage:</w:t>
      </w:r>
      <w:r>
        <w:t xml:space="preserve"> </w:t>
      </w:r>
      <w:r>
        <w:t xml:space="preserve">Non-sensitive settings (chosen accounts, UI prefs) may be local, but UPI keys (k0/token) are kept by the CL; sensitive data is encrypted or never stored in plaintext【32†L897-L905】. Device identifiers (e.g. Android ID, IMEI) are available to the CL for tying the session (the CL generates a 35-char device_id)【19†L174-L182】.</w:t>
      </w:r>
    </w:p>
    <w:p>
      <w:pPr>
        <w:numPr>
          <w:ilvl w:val="0"/>
          <w:numId w:val="1001"/>
        </w:numPr>
      </w:pPr>
      <w:r>
        <w:rPr>
          <w:i/>
          <w:iCs/>
        </w:rPr>
        <w:t xml:space="preserve">Security:</w:t>
      </w:r>
      <w:r>
        <w:t xml:space="preserve"> </w:t>
      </w:r>
      <w:r>
        <w:t xml:space="preserve">The app must detect if the SIM/phone number changed; this is part of device-binding rules (not detailed in user docs). The bank or NPCI would block UPI on a new SIM until re-registered.</w:t>
      </w:r>
    </w:p>
    <w:p>
      <w:pPr>
        <w:pStyle w:val="FirstParagraph"/>
      </w:pPr>
      <w:r>
        <w:rPr>
          <w:b/>
          <w:bCs/>
        </w:rPr>
        <w:t xml:space="preserve">Sources &amp; Confidence:</w:t>
      </w:r>
      <w:r>
        <w:t xml:space="preserve"> </w:t>
      </w:r>
      <w:r>
        <w:t xml:space="preserve">NPCI guidelines describe the PSP SDK model and CL integration【32†L882-L891】【30†L169-L177】. Exact startup steps are implementation details (medium confidence).</w:t>
      </w:r>
    </w:p>
    <w:bookmarkEnd w:id="10"/>
    <w:bookmarkStart w:id="11" w:name="rq2-upi-qr-code-structure"/>
    <w:p>
      <w:pPr>
        <w:pStyle w:val="Heading2"/>
      </w:pPr>
      <w:r>
        <w:t xml:space="preserve">RQ2 — UPI QR Code Structure</w:t>
      </w:r>
    </w:p>
    <w:p>
      <w:pPr>
        <w:pStyle w:val="FirstParagraph"/>
      </w:pPr>
      <w:r>
        <w:rPr>
          <w:b/>
          <w:bCs/>
        </w:rPr>
        <w:t xml:space="preserve">Question:</w:t>
      </w:r>
      <w:r>
        <w:t xml:space="preserve"> </w:t>
      </w:r>
      <w:r>
        <w:rPr>
          <w:i/>
          <w:iCs/>
        </w:rPr>
        <w:t xml:space="preserve">What data is encoded in a UPI QR (format and fields), and how does Google Pay parse it?</w:t>
      </w:r>
    </w:p>
    <w:p>
      <w:pPr>
        <w:pStyle w:val="BodyText"/>
      </w:pPr>
      <w:r>
        <w:rPr>
          <w:b/>
          <w:bCs/>
        </w:rPr>
        <w:t xml:space="preserve">Answer:</w:t>
      </w:r>
      <w:r>
        <w:t xml:space="preserve"> </w:t>
      </w:r>
      <w:r>
        <w:t xml:space="preserve">UPI QR codes carry a URI of the form</w:t>
      </w:r>
      <w:r>
        <w:t xml:space="preserve"> </w:t>
      </w:r>
      <w:r>
        <w:rPr>
          <w:rStyle w:val="VerbatimChar"/>
        </w:rPr>
        <w:t xml:space="preserve">upi://pay?...</w:t>
      </w:r>
      <w:r>
        <w:t xml:space="preserve"> </w:t>
      </w:r>
      <w:r>
        <w:t xml:space="preserve">whose parameters follow NPCI’s Linking Spec (May 2016). Required fields are</w:t>
      </w:r>
      <w:r>
        <w:t xml:space="preserve"> </w:t>
      </w:r>
      <w:r>
        <w:rPr>
          <w:b/>
          <w:bCs/>
        </w:rPr>
        <w:t xml:space="preserve">pa</w:t>
      </w:r>
      <w:r>
        <w:t xml:space="preserve"> </w:t>
      </w:r>
      <w:r>
        <w:t xml:space="preserve">(payee VPA) and</w:t>
      </w:r>
      <w:r>
        <w:t xml:space="preserve"> </w:t>
      </w:r>
      <w:r>
        <w:rPr>
          <w:b/>
          <w:bCs/>
        </w:rPr>
        <w:t xml:space="preserve">pn</w:t>
      </w:r>
      <w:r>
        <w:t xml:space="preserve"> </w:t>
      </w:r>
      <w:r>
        <w:t xml:space="preserve">(payee name)【15†L335-L342】. Optional/conditional fields include</w:t>
      </w:r>
      <w:r>
        <w:t xml:space="preserve"> </w:t>
      </w:r>
      <w:r>
        <w:rPr>
          <w:b/>
          <w:bCs/>
        </w:rPr>
        <w:t xml:space="preserve">mc</w:t>
      </w:r>
      <w:r>
        <w:t xml:space="preserve"> </w:t>
      </w:r>
      <w:r>
        <w:t xml:space="preserve">(merchant category code),</w:t>
      </w:r>
      <w:r>
        <w:t xml:space="preserve"> </w:t>
      </w:r>
      <w:r>
        <w:rPr>
          <w:b/>
          <w:bCs/>
        </w:rPr>
        <w:t xml:space="preserve">tid</w:t>
      </w:r>
      <w:r>
        <w:t xml:space="preserve"> </w:t>
      </w:r>
      <w:r>
        <w:t xml:space="preserve">(PSP-generated txn ID),</w:t>
      </w:r>
      <w:r>
        <w:t xml:space="preserve"> </w:t>
      </w:r>
      <w:r>
        <w:rPr>
          <w:b/>
          <w:bCs/>
        </w:rPr>
        <w:t xml:space="preserve">tr</w:t>
      </w:r>
      <w:r>
        <w:t xml:space="preserve"> </w:t>
      </w:r>
      <w:r>
        <w:t xml:space="preserve">(merchant reference/order ID; mandatory for merchant QR),</w:t>
      </w:r>
      <w:r>
        <w:t xml:space="preserve"> </w:t>
      </w:r>
      <w:r>
        <w:rPr>
          <w:b/>
          <w:bCs/>
        </w:rPr>
        <w:t xml:space="preserve">tn</w:t>
      </w:r>
      <w:r>
        <w:t xml:space="preserve"> </w:t>
      </w:r>
      <w:r>
        <w:t xml:space="preserve">(transaction note),</w:t>
      </w:r>
      <w:r>
        <w:t xml:space="preserve"> </w:t>
      </w:r>
      <w:r>
        <w:rPr>
          <w:b/>
          <w:bCs/>
        </w:rPr>
        <w:t xml:space="preserve">am</w:t>
      </w:r>
      <w:r>
        <w:t xml:space="preserve"> </w:t>
      </w:r>
      <w:r>
        <w:t xml:space="preserve">(amount),</w:t>
      </w:r>
      <w:r>
        <w:t xml:space="preserve"> </w:t>
      </w:r>
      <w:r>
        <w:rPr>
          <w:b/>
          <w:bCs/>
        </w:rPr>
        <w:t xml:space="preserve">mam</w:t>
      </w:r>
      <w:r>
        <w:t xml:space="preserve"> </w:t>
      </w:r>
      <w:r>
        <w:t xml:space="preserve">(minimum amount),</w:t>
      </w:r>
      <w:r>
        <w:t xml:space="preserve"> </w:t>
      </w:r>
      <w:r>
        <w:rPr>
          <w:b/>
          <w:bCs/>
        </w:rPr>
        <w:t xml:space="preserve">cu</w:t>
      </w:r>
      <w:r>
        <w:t xml:space="preserve"> </w:t>
      </w:r>
      <w:r>
        <w:t xml:space="preserve">(currency, e.g. INR), and</w:t>
      </w:r>
      <w:r>
        <w:t xml:space="preserve"> </w:t>
      </w:r>
      <w:r>
        <w:rPr>
          <w:b/>
          <w:bCs/>
        </w:rPr>
        <w:t xml:space="preserve">url</w:t>
      </w:r>
      <w:r>
        <w:t xml:space="preserve"> </w:t>
      </w:r>
      <w:r>
        <w:t xml:space="preserve">(a payment info URL)【15†L335-L342】【18†L368-L377】. After scanning, Google Pay decodes the QR image into the URI string and parses out each key-value parameter. For example, NPCI’s spec shows a QR URL like:</w:t>
      </w:r>
    </w:p>
    <w:p>
      <w:pPr>
        <w:pStyle w:val="SourceCode"/>
      </w:pPr>
      <w:r>
        <w:rPr>
          <w:rStyle w:val="VerbatimChar"/>
        </w:rPr>
        <w:t xml:space="preserve">upi://pay?pa=zeeshan@npci&amp;pn=Zeeshan%20Khan&amp;mc=0000&amp;tid=123&amp;tr=456&amp;tn=Test&amp;am=1010&amp;cu=INR</w:t>
      </w:r>
    </w:p>
    <w:p>
      <w:pPr>
        <w:pStyle w:val="FirstParagraph"/>
      </w:pPr>
      <w:r>
        <w:t xml:space="preserve">【15†L335-L342】【18†L525-L533】. Google Pay locally validates the URI format (scheme</w:t>
      </w:r>
      <w:r>
        <w:t xml:space="preserve"> </w:t>
      </w:r>
      <w:r>
        <w:rPr>
          <w:rStyle w:val="VerbatimChar"/>
        </w:rPr>
        <w:t xml:space="preserve">upi://</w:t>
      </w:r>
      <w:r>
        <w:t xml:space="preserve">, path</w:t>
      </w:r>
      <w:r>
        <w:t xml:space="preserve"> </w:t>
      </w:r>
      <w:r>
        <w:rPr>
          <w:rStyle w:val="VerbatimChar"/>
        </w:rPr>
        <w:t xml:space="preserve">pay</w:t>
      </w:r>
      <w:r>
        <w:t xml:space="preserve">, only allowed param names) and extracts the fields. Amount (am) is decimal (no currency symbol; currency separate in cu). If</w:t>
      </w:r>
      <w:r>
        <w:t xml:space="preserve"> </w:t>
      </w:r>
      <w:r>
        <w:rPr>
          <w:rStyle w:val="VerbatimChar"/>
        </w:rPr>
        <w:t xml:space="preserve">am</w:t>
      </w:r>
      <w:r>
        <w:t xml:space="preserve"> </w:t>
      </w:r>
      <w:r>
        <w:t xml:space="preserve">is absent (empty QR), user must enter amount manually. If</w:t>
      </w:r>
      <w:r>
        <w:t xml:space="preserve"> </w:t>
      </w:r>
      <w:r>
        <w:rPr>
          <w:rStyle w:val="VerbatimChar"/>
        </w:rPr>
        <w:t xml:space="preserve">pa</w:t>
      </w:r>
      <w:r>
        <w:t xml:space="preserve"> </w:t>
      </w:r>
      <w:r>
        <w:t xml:space="preserve">or</w:t>
      </w:r>
      <w:r>
        <w:t xml:space="preserve"> </w:t>
      </w:r>
      <w:r>
        <w:rPr>
          <w:rStyle w:val="VerbatimChar"/>
        </w:rPr>
        <w:t xml:space="preserve">pn</w:t>
      </w:r>
      <w:r>
        <w:t xml:space="preserve"> </w:t>
      </w:r>
      <w:r>
        <w:t xml:space="preserve">is missing or invalid, the app will reject it. The app shows the parsed Payee Name (pn) and UPI ID (pa) on screen for confirmation (ideally verifying pn via name service as below).</w:t>
      </w:r>
    </w:p>
    <w:p>
      <w:pPr>
        <w:pStyle w:val="Compact"/>
        <w:numPr>
          <w:ilvl w:val="0"/>
          <w:numId w:val="1002"/>
        </w:numPr>
      </w:pPr>
      <w:r>
        <w:rPr>
          <w:i/>
          <w:iCs/>
        </w:rPr>
        <w:t xml:space="preserve">QR Fields Table: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Required</w:t>
            </w:r>
          </w:p>
        </w:tc>
        <w:tc>
          <w:tcPr/>
          <w:p>
            <w:pPr>
              <w:pStyle w:val="Compact"/>
            </w:pPr>
            <w:r>
              <w:t xml:space="preserve">Meaning</w:t>
            </w:r>
          </w:p>
        </w:tc>
      </w:tr>
      <w:tr>
        <w:tc>
          <w:tcPr/>
          <w:p>
            <w:pPr>
              <w:pStyle w:val="Compact"/>
            </w:pPr>
            <w:r>
              <w:t xml:space="preserve">pa</w:t>
            </w:r>
          </w:p>
        </w:tc>
        <w:tc>
          <w:tcPr/>
          <w:p>
            <w:pPr>
              <w:pStyle w:val="Compact"/>
            </w:pPr>
            <w:r>
              <w:t xml:space="preserve">M</w:t>
            </w:r>
          </w:p>
        </w:tc>
        <w:tc>
          <w:tcPr/>
          <w:p>
            <w:pPr>
              <w:pStyle w:val="Compact"/>
            </w:pPr>
            <w:r>
              <w:t xml:space="preserve">Payee’s VPA (Virtual Payment Address)【15†L335-L342】</w:t>
            </w:r>
          </w:p>
        </w:tc>
      </w:tr>
      <w:tr>
        <w:tc>
          <w:tcPr/>
          <w:p>
            <w:pPr>
              <w:pStyle w:val="Compact"/>
            </w:pPr>
            <w:r>
              <w:t xml:space="preserve">pn</w:t>
            </w:r>
          </w:p>
        </w:tc>
        <w:tc>
          <w:tcPr/>
          <w:p>
            <w:pPr>
              <w:pStyle w:val="Compact"/>
            </w:pPr>
            <w:r>
              <w:t xml:space="preserve">M</w:t>
            </w:r>
          </w:p>
        </w:tc>
        <w:tc>
          <w:tcPr/>
          <w:p>
            <w:pPr>
              <w:pStyle w:val="Compact"/>
            </w:pPr>
            <w:r>
              <w:t xml:space="preserve">Payee’s Name (as encoded)【15†L335-L342】</w:t>
            </w:r>
          </w:p>
        </w:tc>
      </w:tr>
      <w:tr>
        <w:tc>
          <w:tcPr/>
          <w:p>
            <w:pPr>
              <w:pStyle w:val="Compact"/>
            </w:pPr>
            <w:r>
              <w:t xml:space="preserve">mc</w:t>
            </w:r>
          </w:p>
        </w:tc>
        <w:tc>
          <w:tcPr/>
          <w:p>
            <w:pPr>
              <w:pStyle w:val="Compact"/>
            </w:pPr>
            <w:r>
              <w:t xml:space="preserve">O</w:t>
            </w:r>
          </w:p>
        </w:tc>
        <w:tc>
          <w:tcPr/>
          <w:p>
            <w:pPr>
              <w:pStyle w:val="Compact"/>
            </w:pPr>
            <w:r>
              <w:t xml:space="preserve">Merchant Category Code (e.g. “0000”)【15†L335-L342】</w:t>
            </w:r>
          </w:p>
        </w:tc>
      </w:tr>
      <w:tr>
        <w:tc>
          <w:tcPr/>
          <w:p>
            <w:pPr>
              <w:pStyle w:val="Compact"/>
            </w:pPr>
            <w:r>
              <w:t xml:space="preserve">tid</w:t>
            </w:r>
          </w:p>
        </w:tc>
        <w:tc>
          <w:tcPr/>
          <w:p>
            <w:pPr>
              <w:pStyle w:val="Compact"/>
            </w:pPr>
            <w:r>
              <w:t xml:space="preserve">O</w:t>
            </w:r>
          </w:p>
        </w:tc>
        <w:tc>
          <w:tcPr/>
          <w:p>
            <w:pPr>
              <w:pStyle w:val="Compact"/>
            </w:pPr>
            <w:r>
              <w:t xml:space="preserve">Transaction ID (PSP/merchant ID)【15†L335-L342】</w:t>
            </w:r>
          </w:p>
        </w:tc>
      </w:tr>
      <w:tr>
        <w:tc>
          <w:tcPr/>
          <w:p>
            <w:pPr>
              <w:pStyle w:val="Compact"/>
            </w:pPr>
            <w:r>
              <w:t xml:space="preserve">tr</w:t>
            </w:r>
          </w:p>
        </w:tc>
        <w:tc>
          <w:tcPr/>
          <w:p>
            <w:pPr>
              <w:pStyle w:val="Compact"/>
            </w:pPr>
            <w:r>
              <w:t xml:space="preserve">C</w:t>
            </w:r>
          </w:p>
        </w:tc>
        <w:tc>
          <w:tcPr/>
          <w:p>
            <w:pPr>
              <w:pStyle w:val="Compact"/>
            </w:pPr>
            <w:r>
              <w:t xml:space="preserve">Merchant Ref/Order ID (conditional for merchants)【15†L335-L342】</w:t>
            </w:r>
          </w:p>
        </w:tc>
      </w:tr>
      <w:tr>
        <w:tc>
          <w:tcPr/>
          <w:p>
            <w:pPr>
              <w:pStyle w:val="Compact"/>
            </w:pPr>
            <w:r>
              <w:t xml:space="preserve">tn</w:t>
            </w:r>
          </w:p>
        </w:tc>
        <w:tc>
          <w:tcPr/>
          <w:p>
            <w:pPr>
              <w:pStyle w:val="Compact"/>
            </w:pPr>
            <w:r>
              <w:t xml:space="preserve">O</w:t>
            </w:r>
          </w:p>
        </w:tc>
        <w:tc>
          <w:tcPr/>
          <w:p>
            <w:pPr>
              <w:pStyle w:val="Compact"/>
            </w:pPr>
            <w:r>
              <w:t xml:space="preserve">Transaction note/comment【15†L335-L342】</w:t>
            </w:r>
          </w:p>
        </w:tc>
      </w:tr>
      <w:tr>
        <w:tc>
          <w:tcPr/>
          <w:p>
            <w:pPr>
              <w:pStyle w:val="Compact"/>
            </w:pPr>
            <w:r>
              <w:t xml:space="preserve">am</w:t>
            </w:r>
          </w:p>
        </w:tc>
        <w:tc>
          <w:tcPr/>
          <w:p>
            <w:pPr>
              <w:pStyle w:val="Compact"/>
            </w:pPr>
            <w:r>
              <w:t xml:space="preserve">O</w:t>
            </w:r>
          </w:p>
        </w:tc>
        <w:tc>
          <w:tcPr/>
          <w:p>
            <w:pPr>
              <w:pStyle w:val="Compact"/>
            </w:pPr>
            <w:r>
              <w:t xml:space="preserve">Amount to pay (decimal)【18†L372-L377】</w:t>
            </w:r>
          </w:p>
        </w:tc>
      </w:tr>
      <w:tr>
        <w:tc>
          <w:tcPr/>
          <w:p>
            <w:pPr>
              <w:pStyle w:val="Compact"/>
            </w:pPr>
            <w:r>
              <w:t xml:space="preserve">mam</w:t>
            </w:r>
          </w:p>
        </w:tc>
        <w:tc>
          <w:tcPr/>
          <w:p>
            <w:pPr>
              <w:pStyle w:val="Compact"/>
            </w:pPr>
            <w:r>
              <w:t xml:space="preserve">O</w:t>
            </w:r>
          </w:p>
        </w:tc>
        <w:tc>
          <w:tcPr/>
          <w:p>
            <w:pPr>
              <w:pStyle w:val="Compact"/>
            </w:pPr>
            <w:r>
              <w:t xml:space="preserve">Minimum Amount (if applicable)【18†L376-L379】</w:t>
            </w:r>
          </w:p>
        </w:tc>
      </w:tr>
      <w:tr>
        <w:tc>
          <w:tcPr/>
          <w:p>
            <w:pPr>
              <w:pStyle w:val="Compact"/>
            </w:pPr>
            <w:r>
              <w:t xml:space="preserve">cu</w:t>
            </w:r>
          </w:p>
        </w:tc>
        <w:tc>
          <w:tcPr/>
          <w:p>
            <w:pPr>
              <w:pStyle w:val="Compact"/>
            </w:pPr>
            <w:r>
              <w:t xml:space="preserve">O</w:t>
            </w:r>
          </w:p>
        </w:tc>
        <w:tc>
          <w:tcPr/>
          <w:p>
            <w:pPr>
              <w:pStyle w:val="Compact"/>
            </w:pPr>
            <w:r>
              <w:t xml:space="preserve">Currency (e.g. INR)【18†L380-L384】</w:t>
            </w:r>
          </w:p>
        </w:tc>
      </w:tr>
      <w:tr>
        <w:tc>
          <w:tcPr/>
          <w:p>
            <w:pPr>
              <w:pStyle w:val="Compact"/>
            </w:pPr>
            <w:r>
              <w:t xml:space="preserve">url</w:t>
            </w:r>
          </w:p>
        </w:tc>
        <w:tc>
          <w:tcPr/>
          <w:p>
            <w:pPr>
              <w:pStyle w:val="Compact"/>
            </w:pPr>
            <w:r>
              <w:t xml:space="preserve">O</w:t>
            </w:r>
          </w:p>
        </w:tc>
        <w:tc>
          <w:tcPr/>
          <w:p>
            <w:pPr>
              <w:pStyle w:val="Compact"/>
            </w:pPr>
            <w:r>
              <w:t xml:space="preserve">Merchant details URL (refUrl)【18†L396-L404】</w:t>
            </w:r>
          </w:p>
        </w:tc>
      </w:tr>
    </w:tbl>
    <w:p>
      <w:pPr>
        <w:pStyle w:val="BodyText"/>
      </w:pPr>
      <w:r>
        <w:t xml:space="preserve">These fields map to the UPI payment request message (PA→name→MCC→txn details). Google Pay ensures required fields are present; if a QR has no amount, it prompts the user to enter one.</w:t>
      </w:r>
    </w:p>
    <w:p>
      <w:pPr>
        <w:pStyle w:val="BodyText"/>
      </w:pPr>
      <w:r>
        <w:rPr>
          <w:b/>
          <w:bCs/>
        </w:rPr>
        <w:t xml:space="preserve">Sources &amp; Confidence:</w:t>
      </w:r>
      <w:r>
        <w:t xml:space="preserve"> </w:t>
      </w:r>
      <w:r>
        <w:t xml:space="preserve">NPCI’s UPI linking spec lists all valid URI parameters【15†L335-L342】【18†L368-L377】. The examples above are from NPCI documentation【18†L525-L533】. High confidence in field list.</w:t>
      </w:r>
    </w:p>
    <w:bookmarkEnd w:id="11"/>
    <w:bookmarkStart w:id="12" w:name="Xe85603abe41ee8fe4761574d81bf02c6dd28661"/>
    <w:p>
      <w:pPr>
        <w:pStyle w:val="Heading2"/>
      </w:pPr>
      <w:r>
        <w:t xml:space="preserve">RQ3 — Recipient Resolution (VPA → Bank Account)</w:t>
      </w:r>
    </w:p>
    <w:p>
      <w:pPr>
        <w:pStyle w:val="FirstParagraph"/>
      </w:pPr>
      <w:r>
        <w:rPr>
          <w:b/>
          <w:bCs/>
        </w:rPr>
        <w:t xml:space="preserve">Question:</w:t>
      </w:r>
      <w:r>
        <w:t xml:space="preserve"> </w:t>
      </w:r>
      <w:r>
        <w:rPr>
          <w:i/>
          <w:iCs/>
        </w:rPr>
        <w:t xml:space="preserve">How does Google Pay verify the payee (resolve the VPA), and what data is retrieved?</w:t>
      </w:r>
    </w:p>
    <w:p>
      <w:pPr>
        <w:pStyle w:val="BodyText"/>
      </w:pPr>
      <w:r>
        <w:rPr>
          <w:b/>
          <w:bCs/>
        </w:rPr>
        <w:t xml:space="preserve">Answer:</w:t>
      </w:r>
      <w:r>
        <w:t xml:space="preserve"> </w:t>
      </w:r>
      <w:r>
        <w:t xml:space="preserve">After parsing the QR, Google Pay typically does</w:t>
      </w:r>
      <w:r>
        <w:t xml:space="preserve"> </w:t>
      </w:r>
      <w:r>
        <w:rPr>
          <w:b/>
          <w:bCs/>
        </w:rPr>
        <w:t xml:space="preserve">beneficiary validation</w:t>
      </w:r>
      <w:r>
        <w:t xml:space="preserve"> </w:t>
      </w:r>
      <w:r>
        <w:t xml:space="preserve">by querying the NPCI switch (via its PSP backend). The app may call an API (often called</w:t>
      </w:r>
      <w:r>
        <w:t xml:space="preserve"> </w:t>
      </w:r>
      <w:r>
        <w:rPr>
          <w:i/>
          <w:iCs/>
        </w:rPr>
        <w:t xml:space="preserve">FetchBeneficiaryName</w:t>
      </w:r>
      <w:r>
        <w:t xml:space="preserve"> </w:t>
      </w:r>
      <w:r>
        <w:t xml:space="preserve">or</w:t>
      </w:r>
      <w:r>
        <w:t xml:space="preserve"> </w:t>
      </w:r>
      <w:r>
        <w:rPr>
          <w:i/>
          <w:iCs/>
        </w:rPr>
        <w:t xml:space="preserve">Verify VPA</w:t>
      </w:r>
      <w:r>
        <w:t xml:space="preserve">) to get the confirmed payee name and account details linked to the VPA. NPCI’s switch identifies which member bank hosts the VPA. In effect:</w:t>
      </w:r>
    </w:p>
    <w:p>
      <w:pPr>
        <w:pStyle w:val="Compact"/>
        <w:numPr>
          <w:ilvl w:val="0"/>
          <w:numId w:val="1003"/>
        </w:numPr>
      </w:pPr>
      <w:r>
        <w:rPr>
          <w:b/>
          <w:bCs/>
        </w:rPr>
        <w:t xml:space="preserve">Google Pay app → PSP backend:</w:t>
      </w:r>
      <w:r>
        <w:t xml:space="preserve"> </w:t>
      </w:r>
      <w:r>
        <w:t xml:space="preserve">Sends the payee VPA (and possibly merchant info).</w:t>
      </w:r>
    </w:p>
    <w:p>
      <w:pPr>
        <w:pStyle w:val="Compact"/>
        <w:numPr>
          <w:ilvl w:val="0"/>
          <w:numId w:val="1003"/>
        </w:numPr>
      </w:pPr>
      <w:r>
        <w:rPr>
          <w:b/>
          <w:bCs/>
        </w:rPr>
        <w:t xml:space="preserve">PSP backend → NPCI Switch:</w:t>
      </w:r>
      <w:r>
        <w:t xml:space="preserve"> </w:t>
      </w:r>
      <w:r>
        <w:t xml:space="preserve">A UPI request (e.g.</w:t>
      </w:r>
      <w:r>
        <w:t xml:space="preserve"> </w:t>
      </w:r>
      <w:r>
        <w:rPr>
          <w:i/>
          <w:iCs/>
        </w:rPr>
        <w:t xml:space="preserve">ReqValidateVPA</w:t>
      </w:r>
      <w:r>
        <w:t xml:space="preserve"> </w:t>
      </w:r>
      <w:r>
        <w:t xml:space="preserve">or part of the</w:t>
      </w:r>
      <w:r>
        <w:t xml:space="preserve"> </w:t>
      </w:r>
      <w:r>
        <w:rPr>
          <w:i/>
          <w:iCs/>
        </w:rPr>
        <w:t xml:space="preserve">ReqPay</w:t>
      </w:r>
      <w:r>
        <w:t xml:space="preserve"> </w:t>
      </w:r>
      <w:r>
        <w:t xml:space="preserve">flow) that includes the VPA.</w:t>
      </w:r>
    </w:p>
    <w:p>
      <w:pPr>
        <w:pStyle w:val="Compact"/>
        <w:numPr>
          <w:ilvl w:val="0"/>
          <w:numId w:val="1003"/>
        </w:numPr>
      </w:pPr>
      <w:r>
        <w:rPr>
          <w:b/>
          <w:bCs/>
        </w:rPr>
        <w:t xml:space="preserve">NPCI → Beneficiary Bank:</w:t>
      </w:r>
      <w:r>
        <w:t xml:space="preserve"> </w:t>
      </w:r>
      <w:r>
        <w:t xml:space="preserve">NPCI routes the request to the payee’s PSP/bank identified by the VPA suffix.</w:t>
      </w:r>
    </w:p>
    <w:p>
      <w:pPr>
        <w:pStyle w:val="Compact"/>
        <w:numPr>
          <w:ilvl w:val="0"/>
          <w:numId w:val="1003"/>
        </w:numPr>
      </w:pPr>
      <w:r>
        <w:rPr>
          <w:b/>
          <w:bCs/>
        </w:rPr>
        <w:t xml:space="preserve">Beneficiary Bank → NPCI → PSP → App:</w:t>
      </w:r>
      <w:r>
        <w:t xml:space="preserve"> </w:t>
      </w:r>
      <w:r>
        <w:t xml:space="preserve">The bank returns the beneficiary’s account name (and possibly masked account number) to NPCI, which forwards it back.</w:t>
      </w:r>
    </w:p>
    <w:p>
      <w:pPr>
        <w:pStyle w:val="FirstParagraph"/>
      </w:pPr>
      <w:r>
        <w:t xml:space="preserve">By spec, the beneficiary’s name (and account/IFSC) may be returned for display, while</w:t>
      </w:r>
      <w:r>
        <w:t xml:space="preserve"> </w:t>
      </w:r>
      <w:r>
        <w:rPr>
          <w:i/>
          <w:iCs/>
        </w:rPr>
        <w:t xml:space="preserve">only</w:t>
      </w:r>
      <w:r>
        <w:t xml:space="preserve"> </w:t>
      </w:r>
      <w:r>
        <w:t xml:space="preserve">NPCI and the banks see the full details. The app then shows this name to the user, ideally matching (or overriding) the</w:t>
      </w:r>
      <w:r>
        <w:t xml:space="preserve"> </w:t>
      </w:r>
      <w:r>
        <w:rPr>
          <w:rStyle w:val="VerbatimChar"/>
        </w:rPr>
        <w:t xml:space="preserve">pn</w:t>
      </w:r>
      <w:r>
        <w:t xml:space="preserve"> </w:t>
      </w:r>
      <w:r>
        <w:t xml:space="preserve">from the QR. If the VPA is invalid or inactive, the PSP backend/NPCI responds with an error (e.g. “VPA not found”) and Google Pay must abort.</w:t>
      </w:r>
    </w:p>
    <w:p>
      <w:pPr>
        <w:pStyle w:val="Compact"/>
        <w:numPr>
          <w:ilvl w:val="0"/>
          <w:numId w:val="1004"/>
        </w:numPr>
      </w:pPr>
      <w:r>
        <w:rPr>
          <w:i/>
          <w:iCs/>
        </w:rPr>
        <w:t xml:space="preserve">Entity:</w:t>
      </w:r>
      <w:r>
        <w:t xml:space="preserve"> </w:t>
      </w:r>
      <w:r>
        <w:t xml:space="preserve">The</w:t>
      </w:r>
      <w:r>
        <w:t xml:space="preserve"> </w:t>
      </w:r>
      <w:r>
        <w:rPr>
          <w:b/>
          <w:bCs/>
        </w:rPr>
        <w:t xml:space="preserve">PSP (Google Pay) backend</w:t>
      </w:r>
      <w:r>
        <w:t xml:space="preserve"> </w:t>
      </w:r>
      <w:r>
        <w:t xml:space="preserve">initiates the resolution call; NPCI and the</w:t>
      </w:r>
      <w:r>
        <w:t xml:space="preserve"> </w:t>
      </w:r>
      <w:r>
        <w:rPr>
          <w:b/>
          <w:bCs/>
        </w:rPr>
        <w:t xml:space="preserve">beneficiary’s bank/PSP</w:t>
      </w:r>
      <w:r>
        <w:t xml:space="preserve"> </w:t>
      </w:r>
      <w:r>
        <w:t xml:space="preserve">carry it out.</w:t>
      </w:r>
    </w:p>
    <w:p>
      <w:pPr>
        <w:pStyle w:val="Compact"/>
        <w:numPr>
          <w:ilvl w:val="0"/>
          <w:numId w:val="1004"/>
        </w:numPr>
      </w:pPr>
      <w:r>
        <w:rPr>
          <w:i/>
          <w:iCs/>
        </w:rPr>
        <w:t xml:space="preserve">Data:</w:t>
      </w:r>
      <w:r>
        <w:t xml:space="preserve"> </w:t>
      </w:r>
      <w:r>
        <w:t xml:space="preserve">The response typically includes</w:t>
      </w:r>
      <w:r>
        <w:t xml:space="preserve"> </w:t>
      </w:r>
      <w:r>
        <w:rPr>
          <w:rStyle w:val="VerbatimChar"/>
        </w:rPr>
        <w:t xml:space="preserve">AccountName</w:t>
      </w:r>
      <w:r>
        <w:t xml:space="preserve"> </w:t>
      </w:r>
      <w:r>
        <w:t xml:space="preserve">(registered name for VPA), and may include beneficiary IFSC or last-4 of account. (UPI guidelines say PSPs store “beneficiary UPI ID, account number, CBS name [bank name]” for convenience【32†L897-L905】.)</w:t>
      </w:r>
    </w:p>
    <w:p>
      <w:pPr>
        <w:pStyle w:val="FirstParagraph"/>
      </w:pPr>
      <w:r>
        <w:rPr>
          <w:b/>
          <w:bCs/>
        </w:rPr>
        <w:t xml:space="preserve">Sources &amp; Confidence:</w:t>
      </w:r>
      <w:r>
        <w:t xml:space="preserve"> </w:t>
      </w:r>
      <w:r>
        <w:t xml:space="preserve">While the exact API is not in our docs, NPCI guidelines note storing the “beneficiary UPI, account number, and Core Banking System (CBS) name” after resolution【32†L897-L905】, implying this data is fetched from the bank. The process is standard in UPI (no manual add-beneficiary needed). Confidence is medium (inferred from NPCI framework).</w:t>
      </w:r>
    </w:p>
    <w:bookmarkEnd w:id="12"/>
    <w:bookmarkStart w:id="13" w:name="rq4-transaction-request-construction"/>
    <w:p>
      <w:pPr>
        <w:pStyle w:val="Heading2"/>
      </w:pPr>
      <w:r>
        <w:t xml:space="preserve">RQ4 — Transaction Request Construction</w:t>
      </w:r>
    </w:p>
    <w:p>
      <w:pPr>
        <w:pStyle w:val="FirstParagraph"/>
      </w:pPr>
      <w:r>
        <w:rPr>
          <w:b/>
          <w:bCs/>
        </w:rPr>
        <w:t xml:space="preserve">Question:</w:t>
      </w:r>
      <w:r>
        <w:t xml:space="preserve"> </w:t>
      </w:r>
      <w:r>
        <w:rPr>
          <w:i/>
          <w:iCs/>
        </w:rPr>
        <w:t xml:space="preserve">What fields are assembled into the UPI payment request after scanning, and who assigns them?</w:t>
      </w:r>
    </w:p>
    <w:p>
      <w:pPr>
        <w:pStyle w:val="BodyText"/>
      </w:pPr>
      <w:r>
        <w:rPr>
          <w:b/>
          <w:bCs/>
        </w:rPr>
        <w:t xml:space="preserve">Answer:</w:t>
      </w:r>
      <w:r>
        <w:t xml:space="preserve"> </w:t>
      </w:r>
      <w:r>
        <w:t xml:space="preserve">Once the payee is confirmed and the user enters an amount, the app and CL build the UPI transaction payload. According to the CL spec, the core “pipe string” of a</w:t>
      </w:r>
      <w:r>
        <w:t xml:space="preserve"> </w:t>
      </w:r>
      <w:r>
        <w:rPr>
          <w:b/>
          <w:bCs/>
        </w:rPr>
        <w:t xml:space="preserve">pay</w:t>
      </w:r>
      <w:r>
        <w:t xml:space="preserve"> </w:t>
      </w:r>
      <w:r>
        <w:t xml:space="preserve">transaction is:</w:t>
      </w:r>
    </w:p>
    <w:p>
      <w:pPr>
        <w:pStyle w:val="SourceCode"/>
      </w:pPr>
      <w:r>
        <w:rPr>
          <w:rStyle w:val="VerbatimChar"/>
        </w:rPr>
        <w:t xml:space="preserve">{amount} | {transaction_id} | {payer_vpa} | {payee_vpa} | {app_id} | {phone_no} | {device_id_35} | {credType}</w:t>
      </w:r>
    </w:p>
    <w:p>
      <w:pPr>
        <w:pStyle w:val="FirstParagraph"/>
      </w:pPr>
      <w:r>
        <w:t xml:space="preserve">【19†L174-L182】. Here:</w:t>
      </w:r>
    </w:p>
    <w:p>
      <w:pPr>
        <w:pStyle w:val="Compact"/>
        <w:numPr>
          <w:ilvl w:val="0"/>
          <w:numId w:val="1005"/>
        </w:numPr>
      </w:pPr>
      <w:r>
        <w:rPr>
          <w:b/>
          <w:bCs/>
        </w:rPr>
        <w:t xml:space="preserve">amount</w:t>
      </w:r>
      <w:r>
        <w:t xml:space="preserve"> </w:t>
      </w:r>
      <w:r>
        <w:t xml:space="preserve">– payment amount (decimal).</w:t>
      </w:r>
    </w:p>
    <w:p>
      <w:pPr>
        <w:pStyle w:val="Compact"/>
        <w:numPr>
          <w:ilvl w:val="0"/>
          <w:numId w:val="1005"/>
        </w:numPr>
      </w:pPr>
      <w:r>
        <w:rPr>
          <w:b/>
          <w:bCs/>
        </w:rPr>
        <w:t xml:space="preserve">transaction_id</w:t>
      </w:r>
      <w:r>
        <w:t xml:space="preserve"> </w:t>
      </w:r>
      <w:r>
        <w:t xml:space="preserve">– a unique ID (PSP-generated UTR) supplied by Google Pay’s backend when initiating the txn【19†L185-L189】.</w:t>
      </w:r>
    </w:p>
    <w:p>
      <w:pPr>
        <w:pStyle w:val="Compact"/>
        <w:numPr>
          <w:ilvl w:val="0"/>
          <w:numId w:val="1005"/>
        </w:numPr>
      </w:pPr>
      <w:r>
        <w:rPr>
          <w:b/>
          <w:bCs/>
        </w:rPr>
        <w:t xml:space="preserve">payer_vpa</w:t>
      </w:r>
      <w:r>
        <w:t xml:space="preserve"> </w:t>
      </w:r>
      <w:r>
        <w:t xml:space="preserve">– the user’s own VPA (in lower case).</w:t>
      </w:r>
    </w:p>
    <w:p>
      <w:pPr>
        <w:pStyle w:val="Compact"/>
        <w:numPr>
          <w:ilvl w:val="0"/>
          <w:numId w:val="1005"/>
        </w:numPr>
      </w:pPr>
      <w:r>
        <w:rPr>
          <w:b/>
          <w:bCs/>
        </w:rPr>
        <w:t xml:space="preserve">payee_vpa</w:t>
      </w:r>
      <w:r>
        <w:t xml:space="preserve"> </w:t>
      </w:r>
      <w:r>
        <w:t xml:space="preserve">– the beneficiary’s VPA (lower case).</w:t>
      </w:r>
    </w:p>
    <w:p>
      <w:pPr>
        <w:pStyle w:val="Compact"/>
        <w:numPr>
          <w:ilvl w:val="0"/>
          <w:numId w:val="1005"/>
        </w:numPr>
      </w:pPr>
      <w:r>
        <w:rPr>
          <w:b/>
          <w:bCs/>
        </w:rPr>
        <w:t xml:space="preserve">app_id</w:t>
      </w:r>
      <w:r>
        <w:t xml:space="preserve"> </w:t>
      </w:r>
      <w:r>
        <w:t xml:space="preserve">– identifier of the PSP app (assigned by NPCI).</w:t>
      </w:r>
    </w:p>
    <w:p>
      <w:pPr>
        <w:pStyle w:val="Compact"/>
        <w:numPr>
          <w:ilvl w:val="0"/>
          <w:numId w:val="1005"/>
        </w:numPr>
      </w:pPr>
      <w:r>
        <w:rPr>
          <w:b/>
          <w:bCs/>
        </w:rPr>
        <w:t xml:space="preserve">phone_no</w:t>
      </w:r>
      <w:r>
        <w:t xml:space="preserve"> </w:t>
      </w:r>
      <w:r>
        <w:t xml:space="preserve">– the user’s mobile number (E.164 format, no “+”).</w:t>
      </w:r>
    </w:p>
    <w:p>
      <w:pPr>
        <w:pStyle w:val="Compact"/>
        <w:numPr>
          <w:ilvl w:val="0"/>
          <w:numId w:val="1005"/>
        </w:numPr>
      </w:pPr>
      <w:r>
        <w:rPr>
          <w:b/>
          <w:bCs/>
        </w:rPr>
        <w:t xml:space="preserve">device_id_35</w:t>
      </w:r>
      <w:r>
        <w:t xml:space="preserve"> </w:t>
      </w:r>
      <w:r>
        <w:t xml:space="preserve">– the app’s 35-char device identifier (could be hashed IMEI or random)【19†L174-L182】.</w:t>
      </w:r>
    </w:p>
    <w:p>
      <w:pPr>
        <w:pStyle w:val="Compact"/>
        <w:numPr>
          <w:ilvl w:val="0"/>
          <w:numId w:val="1005"/>
        </w:numPr>
      </w:pPr>
      <w:r>
        <w:rPr>
          <w:b/>
          <w:bCs/>
        </w:rPr>
        <w:t xml:space="preserve">credType</w:t>
      </w:r>
      <w:r>
        <w:t xml:space="preserve"> </w:t>
      </w:r>
      <w:r>
        <w:t xml:space="preserve">– authentication context, e.g. “pay”.</w:t>
      </w:r>
    </w:p>
    <w:p>
      <w:pPr>
        <w:pStyle w:val="FirstParagraph"/>
      </w:pPr>
      <w:r>
        <w:t xml:space="preserve">Google Pay’s front-end supplies the amount, payer/payee VPAs, and selected account. The PSP backend generates the unique transaction_id (and also supplies its app_id and the user’s phone_no to CL). The device_id is produced by the CL (it uses the first 35 chars of a chosen device ID)【19†L180-L188】.</w:t>
      </w:r>
    </w:p>
    <w:p>
      <w:pPr>
        <w:pStyle w:val="BodyText"/>
      </w:pPr>
      <w:r>
        <w:t xml:space="preserve">This pipe string is then hashed (SHA-256) and encrypted (with AES-GCM, see RQ6) along with the PIN to form the final UPI request. Notably,</w:t>
      </w:r>
      <w:r>
        <w:t xml:space="preserve"> </w:t>
      </w:r>
      <w:r>
        <w:rPr>
          <w:b/>
          <w:bCs/>
        </w:rPr>
        <w:t xml:space="preserve">no sensitive data (PIN/account)</w:t>
      </w:r>
      <w:r>
        <w:t xml:space="preserve"> </w:t>
      </w:r>
      <w:r>
        <w:t xml:space="preserve">leaves the device without encryption.</w:t>
      </w:r>
    </w:p>
    <w:p>
      <w:pPr>
        <w:pStyle w:val="BodyText"/>
      </w:pPr>
      <w:r>
        <w:rPr>
          <w:b/>
          <w:bCs/>
        </w:rPr>
        <w:t xml:space="preserve">Sources &amp; Confidence:</w:t>
      </w:r>
      <w:r>
        <w:t xml:space="preserve"> </w:t>
      </w:r>
      <w:r>
        <w:t xml:space="preserve">This pipe-string format is explicitly from the NPCI Common Library spec【19†L174-L182】. We infer that Google Pay’s backend supplies transaction_id. High confidence in fields.</w:t>
      </w:r>
    </w:p>
    <w:bookmarkEnd w:id="13"/>
    <w:bookmarkStart w:id="14" w:name="rq5-upi-pin-entry-and-verification"/>
    <w:p>
      <w:pPr>
        <w:pStyle w:val="Heading2"/>
      </w:pPr>
      <w:r>
        <w:t xml:space="preserve">RQ5 — UPI PIN Entry and Verification</w:t>
      </w:r>
    </w:p>
    <w:p>
      <w:pPr>
        <w:pStyle w:val="FirstParagraph"/>
      </w:pPr>
      <w:r>
        <w:rPr>
          <w:b/>
          <w:bCs/>
        </w:rPr>
        <w:t xml:space="preserve">Question:</w:t>
      </w:r>
      <w:r>
        <w:t xml:space="preserve"> </w:t>
      </w:r>
      <w:r>
        <w:rPr>
          <w:i/>
          <w:iCs/>
        </w:rPr>
        <w:t xml:space="preserve">What happens when the user enters the UPI PIN? Who receives/validates it, and how is it protected?</w:t>
      </w:r>
    </w:p>
    <w:p>
      <w:pPr>
        <w:pStyle w:val="BodyText"/>
      </w:pPr>
      <w:r>
        <w:rPr>
          <w:b/>
          <w:bCs/>
        </w:rPr>
        <w:t xml:space="preserve">Answer:</w:t>
      </w:r>
      <w:r>
        <w:t xml:space="preserve"> </w:t>
      </w:r>
      <w:r>
        <w:t xml:space="preserve">Google Pay invokes NPCI’s standard PIN entry UI (the</w:t>
      </w:r>
      <w:r>
        <w:t xml:space="preserve"> </w:t>
      </w:r>
      <w:r>
        <w:rPr>
          <w:i/>
          <w:iCs/>
        </w:rPr>
        <w:t xml:space="preserve">pinactivitycomponent</w:t>
      </w:r>
      <w:r>
        <w:t xml:space="preserve"> </w:t>
      </w:r>
      <w:r>
        <w:t xml:space="preserve">from the CL) so that the PIN is collected in a secure, system-controlled manner【4†L52-L56】. The app code never sees the plaintext PIN. Instead, the PIN is passed</w:t>
      </w:r>
      <w:r>
        <w:t xml:space="preserve"> </w:t>
      </w:r>
      <w:r>
        <w:rPr>
          <w:b/>
          <w:bCs/>
        </w:rPr>
        <w:t xml:space="preserve">directly into the CL module</w:t>
      </w:r>
      <w:r>
        <w:t xml:space="preserve">, which immediately uses it to generate the encrypted transaction payload.</w:t>
      </w:r>
    </w:p>
    <w:p>
      <w:pPr>
        <w:pStyle w:val="BodyText"/>
      </w:pPr>
      <w:r>
        <w:t xml:space="preserve">According to the Common Library spec, the final message submitted includes the PIN and pipe string (transaction hash) encrypted with NPCI’s public key【19†L209-L218】【28†L267-L274】. Specifically, CL does the following (pseudocode):</w:t>
      </w:r>
    </w:p>
    <w:p>
      <w:pPr>
        <w:pStyle w:val="SourceCode"/>
      </w:pPr>
      <w:r>
        <w:rPr>
          <w:rStyle w:val="VerbatimChar"/>
        </w:rPr>
        <w:t xml:space="preserve">pipe_hash = SHA256(amount|txnId|payer|payee|...); </w:t>
      </w:r>
      <w:r>
        <w:br/>
      </w:r>
      <w:r>
        <w:rPr>
          <w:rStyle w:val="VerbatimChar"/>
        </w:rPr>
        <w:t xml:space="preserve">aes_ciphertext = AES-GCM(k0, pipe_hash); </w:t>
      </w:r>
      <w:r>
        <w:br/>
      </w:r>
      <w:r>
        <w:rPr>
          <w:rStyle w:val="VerbatimChar"/>
        </w:rPr>
        <w:t xml:space="preserve">final_msg = PIN + "|" + txnId + "|" + Base64(aes_ciphertext) + "|" + Base64(iv); </w:t>
      </w:r>
      <w:r>
        <w:br/>
      </w:r>
      <w:r>
        <w:rPr>
          <w:rStyle w:val="VerbatimChar"/>
        </w:rPr>
        <w:t xml:space="preserve">encrypted = RSA_OAEP(NPCI_publicKey, final_msg); </w:t>
      </w:r>
      <w:r>
        <w:br/>
      </w:r>
      <w:r>
        <w:rPr>
          <w:rStyle w:val="VerbatimChar"/>
        </w:rPr>
        <w:t xml:space="preserve">payload = CL_VERSION + "|" + Base64(encrypted);</w:t>
      </w:r>
    </w:p>
    <w:p>
      <w:pPr>
        <w:pStyle w:val="FirstParagraph"/>
      </w:pPr>
      <w:r>
        <w:t xml:space="preserve">【19†L193-L201】【19†L209-L218】.</w:t>
      </w:r>
    </w:p>
    <w:p>
      <w:pPr>
        <w:pStyle w:val="BodyText"/>
      </w:pPr>
      <w:r>
        <w:rPr>
          <w:b/>
          <w:bCs/>
        </w:rPr>
        <w:t xml:space="preserve">Who verifies the PIN:</w:t>
      </w:r>
      <w:r>
        <w:t xml:space="preserve"> </w:t>
      </w:r>
      <w:r>
        <w:t xml:space="preserve">Only the</w:t>
      </w:r>
      <w:r>
        <w:t xml:space="preserve"> </w:t>
      </w:r>
      <w:r>
        <w:rPr>
          <w:b/>
          <w:bCs/>
        </w:rPr>
        <w:t xml:space="preserve">payer’s bank</w:t>
      </w:r>
      <w:r>
        <w:t xml:space="preserve"> </w:t>
      </w:r>
      <w:r>
        <w:t xml:space="preserve">(or NPCI on its behalf) can decrypt this RSA-encrypted payload (NPCI/PSP holds the private key) and check the PIN. Google Pay’s servers and the NPCI switch see only the encrypted blob. The payer bank then validates the PIN against the customer’s MPIN on file. If correct, it debits the account; if not, it returns an authentication-failure error. Multiple wrong attempts are tracked and can lead to PIN block per UPI policy (not shown to app).</w:t>
      </w:r>
    </w:p>
    <w:p>
      <w:pPr>
        <w:pStyle w:val="Compact"/>
        <w:numPr>
          <w:ilvl w:val="0"/>
          <w:numId w:val="1006"/>
        </w:numPr>
      </w:pPr>
      <w:r>
        <w:rPr>
          <w:i/>
          <w:iCs/>
        </w:rPr>
        <w:t xml:space="preserve">PIN Protection:</w:t>
      </w:r>
      <w:r>
        <w:t xml:space="preserve"> </w:t>
      </w:r>
      <w:r>
        <w:t xml:space="preserve">Because RSA-OAEP is used with NPCI’s public key, the PIN is never sent in the clear over the network【19†L209-L218】【28†L267-L274】. The CL also uses a random AES IV and includes a hash of the transaction details to bind the PIN to this specific payment. Even if TLS were compromised, an interceptor cannot recover the PIN from the encrypted message.</w:t>
      </w:r>
    </w:p>
    <w:p>
      <w:pPr>
        <w:pStyle w:val="FirstParagraph"/>
      </w:pPr>
      <w:r>
        <w:rPr>
          <w:b/>
          <w:bCs/>
        </w:rPr>
        <w:t xml:space="preserve">Sources &amp; Confidence:</w:t>
      </w:r>
      <w:r>
        <w:t xml:space="preserve"> </w:t>
      </w:r>
      <w:r>
        <w:t xml:space="preserve">The NPCI CL spec explicitly shows the final payload format and encryption【19†L209-L218】【28†L267-L274】. This confirms the PIN is incorporated into the RSA-encrypted payload. The payer bank’s role in PIN checking is prescribed by UPI guidelines (though not quoted here). Confidence is high for this flow.</w:t>
      </w:r>
    </w:p>
    <w:bookmarkEnd w:id="14"/>
    <w:bookmarkStart w:id="15" w:name="rq6-cryptography-and-keys"/>
    <w:p>
      <w:pPr>
        <w:pStyle w:val="Heading2"/>
      </w:pPr>
      <w:r>
        <w:t xml:space="preserve">RQ6 — Cryptography and Keys</w:t>
      </w:r>
    </w:p>
    <w:p>
      <w:pPr>
        <w:pStyle w:val="FirstParagraph"/>
      </w:pPr>
      <w:r>
        <w:rPr>
          <w:b/>
          <w:bCs/>
        </w:rPr>
        <w:t xml:space="preserve">Question:</w:t>
      </w:r>
      <w:r>
        <w:t xml:space="preserve"> </w:t>
      </w:r>
      <w:r>
        <w:rPr>
          <w:i/>
          <w:iCs/>
        </w:rPr>
        <w:t xml:space="preserve">What cryptographic algorithms and keys are used (SHA, HMAC, AES, RSA, etc.), who holds the keys, and where is each applied?</w:t>
      </w:r>
    </w:p>
    <w:p>
      <w:pPr>
        <w:pStyle w:val="BodyText"/>
      </w:pPr>
      <w:r>
        <w:rPr>
          <w:b/>
          <w:bCs/>
        </w:rPr>
        <w:t xml:space="preserve">Answer:</w:t>
      </w:r>
      <w:r>
        <w:t xml:space="preserve"> </w:t>
      </w:r>
      <w:r>
        <w:t xml:space="preserve">The UPI flow uses multiple layers of crypto:</w:t>
      </w:r>
    </w:p>
    <w:p>
      <w:pPr>
        <w:pStyle w:val="Compact"/>
        <w:numPr>
          <w:ilvl w:val="0"/>
          <w:numId w:val="1007"/>
        </w:numPr>
      </w:pPr>
      <w:r>
        <w:rPr>
          <w:b/>
          <w:bCs/>
        </w:rPr>
        <w:t xml:space="preserve">NPCI Common Library (on-device):</w:t>
      </w:r>
    </w:p>
    <w:p>
      <w:pPr>
        <w:pStyle w:val="Compact"/>
        <w:numPr>
          <w:ilvl w:val="0"/>
          <w:numId w:val="1007"/>
        </w:numPr>
      </w:pPr>
      <w:r>
        <w:rPr>
          <w:b/>
          <w:bCs/>
        </w:rPr>
        <w:t xml:space="preserve">Random key generation:</w:t>
      </w:r>
      <w:r>
        <w:t xml:space="preserve"> </w:t>
      </w:r>
      <w:r>
        <w:t xml:space="preserve">CL generates a 256-bit</w:t>
      </w:r>
      <w:r>
        <w:t xml:space="preserve"> </w:t>
      </w:r>
      <w:r>
        <w:rPr>
          <w:b/>
          <w:bCs/>
        </w:rPr>
        <w:t xml:space="preserve">k0</w:t>
      </w:r>
      <w:r>
        <w:t xml:space="preserve"> </w:t>
      </w:r>
      <w:r>
        <w:t xml:space="preserve">session key and a</w:t>
      </w:r>
      <w:r>
        <w:t xml:space="preserve"> </w:t>
      </w:r>
      <w:r>
        <w:rPr>
          <w:b/>
          <w:bCs/>
        </w:rPr>
        <w:t xml:space="preserve">token</w:t>
      </w:r>
      <w:r>
        <w:t xml:space="preserve"> </w:t>
      </w:r>
      <w:r>
        <w:t xml:space="preserve">per device【4†L65-L74】. Both are stored locally (hex-encoded).</w:t>
      </w:r>
    </w:p>
    <w:p>
      <w:pPr>
        <w:pStyle w:val="Compact"/>
        <w:numPr>
          <w:ilvl w:val="0"/>
          <w:numId w:val="1007"/>
        </w:numPr>
      </w:pPr>
      <w:r>
        <w:rPr>
          <w:b/>
          <w:bCs/>
        </w:rPr>
        <w:t xml:space="preserve">AES-CBC Encryption:</w:t>
      </w:r>
      <w:r>
        <w:t xml:space="preserve"> </w:t>
      </w:r>
      <w:r>
        <w:t xml:space="preserve">For the initial challenge/registration, k0/token/date are AES-CBC encrypted (and RSA-wrapped)【4†L75-L84】. (This is the device registration step.)</w:t>
      </w:r>
    </w:p>
    <w:p>
      <w:pPr>
        <w:pStyle w:val="Compact"/>
        <w:numPr>
          <w:ilvl w:val="0"/>
          <w:numId w:val="1007"/>
        </w:numPr>
      </w:pPr>
      <w:r>
        <w:rPr>
          <w:b/>
          <w:bCs/>
        </w:rPr>
        <w:t xml:space="preserve">SHA-256:</w:t>
      </w:r>
      <w:r>
        <w:t xml:space="preserve"> </w:t>
      </w:r>
      <w:r>
        <w:t xml:space="preserve">Used to hash the pipe-string of transaction details【19†L193-L201】.</w:t>
      </w:r>
    </w:p>
    <w:p>
      <w:pPr>
        <w:pStyle w:val="Compact"/>
        <w:numPr>
          <w:ilvl w:val="0"/>
          <w:numId w:val="1007"/>
        </w:numPr>
      </w:pPr>
      <w:r>
        <w:rPr>
          <w:b/>
          <w:bCs/>
        </w:rPr>
        <w:t xml:space="preserve">AES-GCM:</w:t>
      </w:r>
      <w:r>
        <w:t xml:space="preserve"> </w:t>
      </w:r>
      <w:r>
        <w:t xml:space="preserve">The 256-bit k0 is used as the key for an AES-GCM encryption of the SHA-256 hash (with a 12-byte random IV)【19†L193-L201】. GCM provides confidentiality + integrity for the transaction hash.</w:t>
      </w:r>
    </w:p>
    <w:p>
      <w:pPr>
        <w:numPr>
          <w:ilvl w:val="0"/>
          <w:numId w:val="1007"/>
        </w:numPr>
      </w:pPr>
      <w:r>
        <w:rPr>
          <w:b/>
          <w:bCs/>
        </w:rPr>
        <w:t xml:space="preserve">RSA-OAEP (2048-bit):</w:t>
      </w:r>
      <w:r>
        <w:t xml:space="preserve"> </w:t>
      </w:r>
      <w:r>
        <w:t xml:space="preserve">The concatenation</w:t>
      </w:r>
      <w:r>
        <w:t xml:space="preserve"> </w:t>
      </w:r>
      <w:r>
        <w:rPr>
          <w:rStyle w:val="VerbatimChar"/>
        </w:rPr>
        <w:t xml:space="preserve">PIN|txnId|AES-GCM-ciphertext|IV</w:t>
      </w:r>
      <w:r>
        <w:t xml:space="preserve"> </w:t>
      </w:r>
      <w:r>
        <w:t xml:space="preserve">is encrypted with NPCI’s public RSA key【19†L209-L218】【28†L267-L274】. The padding is OAEP with SHA-256. This public key is bundled in the CL (in a CRT/PEM file) and shared by all apps. Only NPCI/participating PSPs have the matching private key to decrypt it.</w:t>
      </w:r>
    </w:p>
    <w:p>
      <w:pPr>
        <w:numPr>
          <w:ilvl w:val="0"/>
          <w:numId w:val="1007"/>
        </w:numPr>
      </w:pPr>
      <w:r>
        <w:rPr>
          <w:b/>
          <w:bCs/>
        </w:rPr>
        <w:t xml:space="preserve">App ↔ PSP/NPCI Network:</w:t>
      </w:r>
      <w:r>
        <w:t xml:space="preserve"> </w:t>
      </w:r>
      <w:r>
        <w:t xml:space="preserve">All messages from Google Pay to its backend and beyond use TLS (HTTPS) with server certificates (RSA/ECDSA) and at least TLS 1.2. This protects the transport layer. No separate HMAC is added at the app layer, since AES-GCM and RSA cover integrity/authenticity for the CL payload.</w:t>
      </w:r>
    </w:p>
    <w:p>
      <w:pPr>
        <w:numPr>
          <w:ilvl w:val="0"/>
          <w:numId w:val="1007"/>
        </w:numPr>
      </w:pPr>
      <w:r>
        <w:rPr>
          <w:b/>
          <w:bCs/>
        </w:rPr>
        <w:t xml:space="preserve">Key Ownership:</w:t>
      </w:r>
      <w:r>
        <w:t xml:space="preserve"> </w:t>
      </w:r>
      <w:r>
        <w:t xml:space="preserve">The device (via CL) generates and holds k0 (symmetric key) and uses NPCI’s RSA public key. The corresponding</w:t>
      </w:r>
      <w:r>
        <w:t xml:space="preserve"> </w:t>
      </w:r>
      <w:r>
        <w:rPr>
          <w:b/>
          <w:bCs/>
        </w:rPr>
        <w:t xml:space="preserve">NPCI/RSA private key</w:t>
      </w:r>
      <w:r>
        <w:t xml:space="preserve"> </w:t>
      </w:r>
      <w:r>
        <w:t xml:space="preserve">is held by NPCI (or PSP backend, which effectively acts as NPCI switch during decryption). The token and k0 on-device can be rotated via registration.</w:t>
      </w:r>
    </w:p>
    <w:p>
      <w:pPr>
        <w:numPr>
          <w:ilvl w:val="0"/>
          <w:numId w:val="1007"/>
        </w:numPr>
      </w:pPr>
      <w:r>
        <w:rPr>
          <w:b/>
          <w:bCs/>
        </w:rPr>
        <w:t xml:space="preserve">Certificates:</w:t>
      </w:r>
      <w:r>
        <w:t xml:space="preserve"> </w:t>
      </w:r>
      <w:r>
        <w:t xml:space="preserve">NPCI’s RSA key has an X.509 cert for distribution. The CL’s startup XML contains NPCI’s signing keys and UIDAI keys【30†L193-L201】 for List-Keys (though for payments the NPCI key is fixed).</w:t>
      </w:r>
    </w:p>
    <w:p>
      <w:pPr>
        <w:pStyle w:val="FirstParagraph"/>
      </w:pPr>
      <w:r>
        <w:rPr>
          <w:b/>
          <w:bCs/>
        </w:rPr>
        <w:t xml:space="preserve">Sources &amp; Confidence:</w:t>
      </w:r>
      <w:r>
        <w:t xml:space="preserve"> </w:t>
      </w:r>
      <w:r>
        <w:t xml:space="preserve">The CL docs detail the algorithms above【19†L193-L201】【19†L209-L218】【28†L267-L274】. The key sizes (2048-bit RSA, 256-bit AES) and use of AES-GCM/OAEP with SHA-256 are specified in those sources. TLS usage is standard practice (implied). This is high-confidence.</w:t>
      </w:r>
    </w:p>
    <w:bookmarkEnd w:id="15"/>
    <w:bookmarkStart w:id="16" w:name="Xf2a4ea3d9606ac3ef1350d00684381116ddf370"/>
    <w:p>
      <w:pPr>
        <w:pStyle w:val="Heading2"/>
      </w:pPr>
      <w:r>
        <w:t xml:space="preserve">RQ7 — Network Messages (What travels over the wire)</w:t>
      </w:r>
    </w:p>
    <w:p>
      <w:pPr>
        <w:pStyle w:val="FirstParagraph"/>
      </w:pPr>
      <w:r>
        <w:rPr>
          <w:b/>
          <w:bCs/>
        </w:rPr>
        <w:t xml:space="preserve">Question:</w:t>
      </w:r>
      <w:r>
        <w:t xml:space="preserve"> </w:t>
      </w:r>
      <w:r>
        <w:rPr>
          <w:i/>
          <w:iCs/>
        </w:rPr>
        <w:t xml:space="preserve">What network requests (and responses) are exchanged during a QR-pay, and what fields do they contain (in clear vs encrypted)?</w:t>
      </w:r>
    </w:p>
    <w:p>
      <w:pPr>
        <w:pStyle w:val="BodyText"/>
      </w:pPr>
      <w:r>
        <w:rPr>
          <w:b/>
          <w:bCs/>
        </w:rPr>
        <w:t xml:space="preserve">Answer:</w:t>
      </w:r>
      <w:r>
        <w:t xml:space="preserve"> </w:t>
      </w:r>
      <w:r>
        <w:t xml:space="preserve">At a high level, the sequence is:</w:t>
      </w:r>
      <w:r>
        <w:t xml:space="preserve"> </w:t>
      </w:r>
      <w:r>
        <w:rPr>
          <w:b/>
          <w:bCs/>
        </w:rPr>
        <w:t xml:space="preserve">App⇄PSP backend⇄NPCI⇄Banks</w:t>
      </w:r>
      <w:r>
        <w:t xml:space="preserve">. Key requests/responses include:</w:t>
      </w:r>
    </w:p>
    <w:p>
      <w:pPr>
        <w:numPr>
          <w:ilvl w:val="0"/>
          <w:numId w:val="1008"/>
        </w:numPr>
      </w:pPr>
      <w:r>
        <w:rPr>
          <w:b/>
          <w:bCs/>
        </w:rPr>
        <w:t xml:space="preserve">VPA Resolution:</w:t>
      </w:r>
      <w:r>
        <w:t xml:space="preserve"> </w:t>
      </w:r>
      <w:r>
        <w:rPr>
          <w:i/>
          <w:iCs/>
        </w:rPr>
        <w:t xml:space="preserve">App→PSP</w:t>
      </w:r>
      <w:r>
        <w:t xml:space="preserve"> </w:t>
      </w:r>
      <w:r>
        <w:t xml:space="preserve">– “Fetch Payee Info” (contains payee VPA and possibly txn context). Sent via Google Pay to its PSP server (TLS/JSON or UPI switch). The</w:t>
      </w:r>
      <w:r>
        <w:t xml:space="preserve"> </w:t>
      </w:r>
      <w:r>
        <w:rPr>
          <w:i/>
          <w:iCs/>
        </w:rPr>
        <w:t xml:space="preserve">PSP→NPCI</w:t>
      </w:r>
      <w:r>
        <w:t xml:space="preserve"> </w:t>
      </w:r>
      <w:r>
        <w:t xml:space="preserve">call (sometime implicit in ReqPay) includes the VPA so NPCI can identify the beneficiary bank. The beneficiary’s bank responds with name/account【32†L897-L905】, forwarded back. All of this can be over HTTPS or NPCI’s IDR message protocol, but crucially the VPA itself is not encrypted by the CL (it’s needed in clear to route).</w:t>
      </w:r>
    </w:p>
    <w:p>
      <w:pPr>
        <w:numPr>
          <w:ilvl w:val="0"/>
          <w:numId w:val="1008"/>
        </w:numPr>
      </w:pPr>
      <w:r>
        <w:rPr>
          <w:b/>
          <w:bCs/>
        </w:rPr>
        <w:t xml:space="preserve">Payment Request:</w:t>
      </w:r>
      <w:r>
        <w:t xml:space="preserve"> </w:t>
      </w:r>
      <w:r>
        <w:rPr>
          <w:i/>
          <w:iCs/>
        </w:rPr>
        <w:t xml:space="preserve">App→PSP (ReqPay)</w:t>
      </w:r>
      <w:r>
        <w:t xml:space="preserve"> </w:t>
      </w:r>
      <w:r>
        <w:t xml:space="preserve">– The final CL payload (string “CL_VER|Base64(ciphertext)”) is sent in the request body (e.g. JSON</w:t>
      </w:r>
      <w:r>
        <w:t xml:space="preserve"> </w:t>
      </w:r>
      <w:r>
        <w:rPr>
          <w:rStyle w:val="VerbatimChar"/>
        </w:rPr>
        <w:t xml:space="preserve">fcmPayload</w:t>
      </w:r>
      <w:r>
        <w:t xml:space="preserve"> </w:t>
      </w:r>
      <w:r>
        <w:t xml:space="preserve">or form field). This includes:</w:t>
      </w:r>
    </w:p>
    <w:p>
      <w:pPr>
        <w:numPr>
          <w:ilvl w:val="0"/>
          <w:numId w:val="1008"/>
        </w:numPr>
      </w:pPr>
      <w:r>
        <w:rPr>
          <w:b/>
          <w:bCs/>
        </w:rPr>
        <w:t xml:space="preserve">Clear fields:</w:t>
      </w:r>
      <w:r>
        <w:t xml:space="preserve"> </w:t>
      </w:r>
      <w:r>
        <w:t xml:space="preserve">Typically only identifiers (app ID, maybe user ID) in metadata. The CL payload is opaque. The actual encrypted payload covers PIN and hash. Transaction_id, amount, payee/payer IDs are inside the payload.</w:t>
      </w:r>
    </w:p>
    <w:p>
      <w:pPr>
        <w:numPr>
          <w:ilvl w:val="0"/>
          <w:numId w:val="1008"/>
        </w:numPr>
      </w:pPr>
      <w:r>
        <w:rPr>
          <w:i/>
          <w:iCs/>
        </w:rPr>
        <w:t xml:space="preserve">Transport:</w:t>
      </w:r>
      <w:r>
        <w:t xml:space="preserve"> </w:t>
      </w:r>
      <w:r>
        <w:t xml:space="preserve">TLS. No sensitive data in plain.</w:t>
      </w:r>
    </w:p>
    <w:p>
      <w:pPr>
        <w:numPr>
          <w:ilvl w:val="0"/>
          <w:numId w:val="1008"/>
        </w:numPr>
      </w:pPr>
      <w:r>
        <w:rPr>
          <w:b/>
          <w:bCs/>
        </w:rPr>
        <w:t xml:space="preserve">PSP→NPCI (ReqPay):</w:t>
      </w:r>
      <w:r>
        <w:t xml:space="preserve"> </w:t>
      </w:r>
      <w:r>
        <w:t xml:space="preserve">The PSP server wraps the CL payload into the UPI ReqPay message (per UPI API spec). Fields include the encrypted payload under</w:t>
      </w:r>
      <w:r>
        <w:t xml:space="preserve"> </w:t>
      </w:r>
      <w:r>
        <w:rPr>
          <w:rStyle w:val="VerbatimChar"/>
        </w:rPr>
        <w:t xml:space="preserve">&lt;PayLoad&gt;</w:t>
      </w:r>
      <w:r>
        <w:t xml:space="preserve"> </w:t>
      </w:r>
      <w:r>
        <w:t xml:space="preserve">and a TransactionID. Some fields (Timestamp, Version, "Freshness") may be in headers. The NPCI switch only sees the encrypted PIN/pipe-string chunk.</w:t>
      </w:r>
    </w:p>
    <w:p>
      <w:pPr>
        <w:numPr>
          <w:ilvl w:val="0"/>
          <w:numId w:val="1008"/>
        </w:numPr>
      </w:pPr>
      <w:r>
        <w:rPr>
          <w:b/>
          <w:bCs/>
        </w:rPr>
        <w:t xml:space="preserve">NPCI→Payer Bank:</w:t>
      </w:r>
      <w:r>
        <w:t xml:space="preserve"> </w:t>
      </w:r>
      <w:r>
        <w:t xml:space="preserve">NPCI routes the ReqPay to the payer’s bank. The bank receives essentially the same encrypted payload.</w:t>
      </w:r>
    </w:p>
    <w:p>
      <w:pPr>
        <w:numPr>
          <w:ilvl w:val="0"/>
          <w:numId w:val="1008"/>
        </w:numPr>
      </w:pPr>
      <w:r>
        <w:rPr>
          <w:b/>
          <w:bCs/>
        </w:rPr>
        <w:t xml:space="preserve">Payer Bank Response:</w:t>
      </w:r>
      <w:r>
        <w:t xml:space="preserve"> </w:t>
      </w:r>
      <w:r>
        <w:t xml:space="preserve">The bank decrypts, verifies PIN/txn, and returns a status (success/fail/insufficient funds/limit exceed). If success, it debits the account and includes a unique bank-generated UPI Transaction ID and (NPCI-provided) Transaction Reference (UTR).</w:t>
      </w:r>
    </w:p>
    <w:p>
      <w:pPr>
        <w:numPr>
          <w:ilvl w:val="0"/>
          <w:numId w:val="1008"/>
        </w:numPr>
      </w:pPr>
      <w:r>
        <w:rPr>
          <w:b/>
          <w:bCs/>
        </w:rPr>
        <w:t xml:space="preserve">NPCI→PSP→App:</w:t>
      </w:r>
      <w:r>
        <w:t xml:space="preserve"> </w:t>
      </w:r>
      <w:r>
        <w:t xml:space="preserve">The success/failure response propagates back: NPCI wraps the payer bank’s response into a UPI response message. Google Pay receives a final response code and text (via PSP server). The app then shows success or error. If “PENDING” (timeout), Google Pay may re-query status.</w:t>
      </w:r>
    </w:p>
    <w:p>
      <w:pPr>
        <w:pStyle w:val="FirstParagraph"/>
      </w:pPr>
      <w:r>
        <w:rPr>
          <w:b/>
          <w:bCs/>
        </w:rPr>
        <w:t xml:space="preserve">Observed vs Spec:</w:t>
      </w:r>
      <w:r>
        <w:t xml:space="preserve"> </w:t>
      </w:r>
      <w:r>
        <w:t xml:space="preserve">From the client side, one would see only the HTTPS request/response. The CL-encrypted blob is visible in the JSON or form data, but the PIN/amount/trxid inside it are opaque. The app may log the transaction ID and status.</w:t>
      </w:r>
      <w:r>
        <w:br/>
      </w:r>
      <w:r>
        <w:rPr>
          <w:b/>
          <w:bCs/>
        </w:rPr>
        <w:t xml:space="preserve">Example:</w:t>
      </w:r>
      <w:r>
        <w:t xml:space="preserve"> </w:t>
      </w:r>
      <w:r>
        <w:t xml:space="preserve">Google Pay’s ReqPay might look like:</w:t>
      </w:r>
    </w:p>
    <w:p>
      <w:pPr>
        <w:pStyle w:val="SourceCode"/>
      </w:pPr>
      <w:r>
        <w:rPr>
          <w:rStyle w:val="VerbatimChar"/>
        </w:rPr>
        <w:t xml:space="preserve">{</w:t>
      </w:r>
      <w:r>
        <w:br/>
      </w:r>
      <w:r>
        <w:rPr>
          <w:rStyle w:val="VerbatimChar"/>
        </w:rPr>
        <w:t xml:space="preserve">  "Input": {</w:t>
      </w:r>
      <w:r>
        <w:br/>
      </w:r>
      <w:r>
        <w:rPr>
          <w:rStyle w:val="VerbatimChar"/>
        </w:rPr>
        <w:t xml:space="preserve">    "pmethod": "UPI",</w:t>
      </w:r>
      <w:r>
        <w:br/>
      </w:r>
      <w:r>
        <w:rPr>
          <w:rStyle w:val="VerbatimChar"/>
        </w:rPr>
        <w:t xml:space="preserve">    "tranType": "0", </w:t>
      </w:r>
      <w:r>
        <w:br/>
      </w:r>
      <w:r>
        <w:rPr>
          <w:rStyle w:val="VerbatimChar"/>
        </w:rPr>
        <w:t xml:space="preserve">    "PayLoad": "2.0|base64ciphertext..."</w:t>
      </w:r>
      <w:r>
        <w:br/>
      </w:r>
      <w:r>
        <w:rPr>
          <w:rStyle w:val="VerbatimChar"/>
        </w:rPr>
        <w:t xml:space="preserve">  }</w:t>
      </w:r>
      <w:r>
        <w:br/>
      </w:r>
      <w:r>
        <w:rPr>
          <w:rStyle w:val="VerbatimChar"/>
        </w:rPr>
        <w:t xml:space="preserve">}</w:t>
      </w:r>
    </w:p>
    <w:p>
      <w:pPr>
        <w:pStyle w:val="FirstParagraph"/>
      </w:pPr>
      <w:r>
        <w:t xml:space="preserve">(Where “2.0|...” includes CL_VERSION and the encrypted string【28†L267-L274】.)</w:t>
      </w:r>
      <w:r>
        <w:br/>
      </w:r>
      <w:r>
        <w:t xml:space="preserve">The response might be:</w:t>
      </w:r>
    </w:p>
    <w:p>
      <w:pPr>
        <w:pStyle w:val="SourceCode"/>
      </w:pPr>
      <w:r>
        <w:rPr>
          <w:rStyle w:val="VerbatimChar"/>
        </w:rPr>
        <w:t xml:space="preserve">{</w:t>
      </w:r>
      <w:r>
        <w:br/>
      </w:r>
      <w:r>
        <w:rPr>
          <w:rStyle w:val="VerbatimChar"/>
        </w:rPr>
        <w:t xml:space="preserve">  "responseCode": "SUCCESS",</w:t>
      </w:r>
      <w:r>
        <w:br/>
      </w:r>
      <w:r>
        <w:rPr>
          <w:rStyle w:val="VerbatimChar"/>
        </w:rPr>
        <w:t xml:space="preserve">  "txnId": "NPCI123456",</w:t>
      </w:r>
      <w:r>
        <w:br/>
      </w:r>
      <w:r>
        <w:rPr>
          <w:rStyle w:val="VerbatimChar"/>
        </w:rPr>
        <w:t xml:space="preserve">  "responseMsg": "Transaction Successful",</w:t>
      </w:r>
      <w:r>
        <w:br/>
      </w:r>
      <w:r>
        <w:rPr>
          <w:rStyle w:val="VerbatimChar"/>
        </w:rPr>
        <w:t xml:space="preserve">  "ApprovalRefNo": "VPA123"</w:t>
      </w:r>
      <w:r>
        <w:br/>
      </w:r>
      <w:r>
        <w:rPr>
          <w:rStyle w:val="VerbatimChar"/>
        </w:rPr>
        <w:t xml:space="preserve">}</w:t>
      </w:r>
    </w:p>
    <w:p>
      <w:pPr>
        <w:pStyle w:val="FirstParagraph"/>
      </w:pPr>
      <w:r>
        <w:t xml:space="preserve">with fields as per NPCI UPI response codes (see UPI error codes doc).</w:t>
      </w:r>
    </w:p>
    <w:p>
      <w:pPr>
        <w:pStyle w:val="BodyText"/>
      </w:pPr>
      <w:r>
        <w:rPr>
          <w:b/>
          <w:bCs/>
        </w:rPr>
        <w:t xml:space="preserve">Sources &amp; Confidence:</w:t>
      </w:r>
      <w:r>
        <w:t xml:space="preserve"> </w:t>
      </w:r>
      <w:r>
        <w:t xml:space="preserve">Detailed field lists come from UPI API specs (not cited here) and CL docs【19†L209-L218】【28†L267-L274】. The exact JSON is illustrative. High confidence that only the CL payload travels from app to PSP, and that replies contain status codes.</w:t>
      </w:r>
    </w:p>
    <w:bookmarkEnd w:id="16"/>
    <w:bookmarkStart w:id="17" w:name="rq8-authorization-and-money-movement"/>
    <w:p>
      <w:pPr>
        <w:pStyle w:val="Heading2"/>
      </w:pPr>
      <w:r>
        <w:t xml:space="preserve">RQ8 — Authorization and Money Movement</w:t>
      </w:r>
    </w:p>
    <w:p>
      <w:pPr>
        <w:pStyle w:val="FirstParagraph"/>
      </w:pPr>
      <w:r>
        <w:rPr>
          <w:b/>
          <w:bCs/>
        </w:rPr>
        <w:t xml:space="preserve">Question:</w:t>
      </w:r>
      <w:r>
        <w:t xml:space="preserve"> </w:t>
      </w:r>
      <w:r>
        <w:rPr>
          <w:i/>
          <w:iCs/>
        </w:rPr>
        <w:t xml:space="preserve">Which entities actually debit and credit the money, and what checks occur at each?</w:t>
      </w:r>
    </w:p>
    <w:p>
      <w:pPr>
        <w:pStyle w:val="BodyText"/>
      </w:pPr>
      <w:r>
        <w:rPr>
          <w:b/>
          <w:bCs/>
        </w:rPr>
        <w:t xml:space="preserve">Answer:</w:t>
      </w:r>
      <w:r>
        <w:t xml:space="preserve"> </w:t>
      </w:r>
      <w:r>
        <w:t xml:space="preserve">Once NPCI receives the valid encrypted request:</w:t>
      </w:r>
    </w:p>
    <w:p>
      <w:pPr>
        <w:pStyle w:val="Compact"/>
        <w:numPr>
          <w:ilvl w:val="0"/>
          <w:numId w:val="1009"/>
        </w:numPr>
      </w:pPr>
      <w:r>
        <w:rPr>
          <w:b/>
          <w:bCs/>
        </w:rPr>
        <w:t xml:space="preserve">Payer Bank (issuer):</w:t>
      </w:r>
      <w:r>
        <w:t xml:space="preserve"> </w:t>
      </w:r>
      <w:r>
        <w:t xml:space="preserve">The payer’s bank (sponsor bank behind Google Pay) is responsible for authorizing the debit. It authenticates the customer by verifying the UPI PIN (using the decrypted payload), checks daily limits (₹200K, etc.), ensures sufficient balance, and possibly runs fraud checks. If all checks pass, it debits the specified amount from the payer’s account and creates a unique UPI Transaction ID (UTR). If any check fails (wrong PIN, insufficient funds, limit breach), it rejects the transaction.</w:t>
      </w:r>
    </w:p>
    <w:p>
      <w:pPr>
        <w:pStyle w:val="Compact"/>
        <w:numPr>
          <w:ilvl w:val="0"/>
          <w:numId w:val="1009"/>
        </w:numPr>
      </w:pPr>
      <w:r>
        <w:rPr>
          <w:b/>
          <w:bCs/>
        </w:rPr>
        <w:t xml:space="preserve">NPCI (clearing switch):</w:t>
      </w:r>
      <w:r>
        <w:t xml:space="preserve"> </w:t>
      </w:r>
      <w:r>
        <w:t xml:space="preserve">After debit authorization, NPCI routes the transaction to the beneficiary’s bank using the VPA (and/or Payee VPA’s IFSC/bank ID). NPCI itself is just a switch and does not hold funds. NPCI may impose network rules (e.g. transaction cap) and ensures message formatting.</w:t>
      </w:r>
    </w:p>
    <w:p>
      <w:pPr>
        <w:pStyle w:val="Compact"/>
        <w:numPr>
          <w:ilvl w:val="0"/>
          <w:numId w:val="1009"/>
        </w:numPr>
      </w:pPr>
      <w:r>
        <w:rPr>
          <w:b/>
          <w:bCs/>
        </w:rPr>
        <w:t xml:space="preserve">Beneficiary Bank:</w:t>
      </w:r>
      <w:r>
        <w:t xml:space="preserve"> </w:t>
      </w:r>
      <w:r>
        <w:t xml:space="preserve">The payee’s bank receives the credit instruction (with payee’s account number from the VPA). It verifies the account is valid. It then credits the payee’s account with the amount. If successful, it sends an acknowledgement. If the credit fails (e.g. closed account, daily limit, etc.), it reports failure to NPCI.</w:t>
      </w:r>
    </w:p>
    <w:p>
      <w:pPr>
        <w:pStyle w:val="FirstParagraph"/>
      </w:pPr>
      <w:r>
        <w:t xml:space="preserve">Finally, NPCI collates success/failure and notifies the payer’s bank and PSP. The payer’s bank gives a debit confirmation to NPCI, which sends “SUCCESS” to the PSP (and thus to Google Pay). The payee gets an SMS or notification (via her bank) that funds were received.</w:t>
      </w:r>
    </w:p>
    <w:p>
      <w:pPr>
        <w:pStyle w:val="BodyText"/>
      </w:pPr>
      <w:r>
        <w:rPr>
          <w:b/>
          <w:bCs/>
        </w:rPr>
        <w:t xml:space="preserve">Entity Responsibilities (Summary Table):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Entity</w:t>
            </w:r>
          </w:p>
        </w:tc>
        <w:tc>
          <w:tcPr/>
          <w:p>
            <w:pPr>
              <w:pStyle w:val="Compact"/>
            </w:pPr>
            <w:r>
              <w:rPr>
                <w:b/>
                <w:bCs/>
              </w:rPr>
              <w:t xml:space="preserve">Role</w:t>
            </w:r>
          </w:p>
        </w:tc>
      </w:tr>
      <w:tr>
        <w:tc>
          <w:tcPr/>
          <w:p>
            <w:pPr>
              <w:pStyle w:val="Compact"/>
            </w:pPr>
            <w:r>
              <w:t xml:space="preserve">Google Pay App</w:t>
            </w:r>
          </w:p>
        </w:tc>
        <w:tc>
          <w:tcPr/>
          <w:p>
            <w:pPr>
              <w:pStyle w:val="Compact"/>
            </w:pPr>
            <w:r>
              <w:t xml:space="preserve">Collects UPI ID, amount, PIN; builds request (CL).</w:t>
            </w:r>
          </w:p>
        </w:tc>
      </w:tr>
      <w:tr>
        <w:tc>
          <w:tcPr/>
          <w:p>
            <w:pPr>
              <w:pStyle w:val="Compact"/>
            </w:pPr>
            <w:r>
              <w:t xml:space="preserve">PSP Backend</w:t>
            </w:r>
          </w:p>
        </w:tc>
        <w:tc>
          <w:tcPr/>
          <w:p>
            <w:pPr>
              <w:pStyle w:val="Compact"/>
            </w:pPr>
            <w:r>
              <w:t xml:space="preserve">Provides transaction ID; sends request to NPCI; receives final status.</w:t>
            </w:r>
          </w:p>
        </w:tc>
      </w:tr>
      <w:tr>
        <w:tc>
          <w:tcPr/>
          <w:p>
            <w:pPr>
              <w:pStyle w:val="Compact"/>
            </w:pPr>
            <w:r>
              <w:t xml:space="preserve">NPCI Switch</w:t>
            </w:r>
          </w:p>
        </w:tc>
        <w:tc>
          <w:tcPr/>
          <w:p>
            <w:pPr>
              <w:pStyle w:val="Compact"/>
            </w:pPr>
            <w:r>
              <w:t xml:space="preserve">Routes messages between banks; enforces UPI rules/fees; maintains central records.</w:t>
            </w:r>
          </w:p>
        </w:tc>
      </w:tr>
      <w:tr>
        <w:tc>
          <w:tcPr/>
          <w:p>
            <w:pPr>
              <w:pStyle w:val="Compact"/>
            </w:pPr>
            <w:r>
              <w:t xml:space="preserve">Payer Bank</w:t>
            </w:r>
          </w:p>
        </w:tc>
        <w:tc>
          <w:tcPr/>
          <w:p>
            <w:pPr>
              <w:pStyle w:val="Compact"/>
            </w:pPr>
            <w:r>
              <w:t xml:space="preserve">Verifies PIN; checks balance/limits; debits account; responds SUCCESS/FAIL.</w:t>
            </w:r>
          </w:p>
        </w:tc>
      </w:tr>
      <w:tr>
        <w:tc>
          <w:tcPr/>
          <w:p>
            <w:pPr>
              <w:pStyle w:val="Compact"/>
            </w:pPr>
            <w:r>
              <w:t xml:space="preserve">Payee Bank</w:t>
            </w:r>
          </w:p>
        </w:tc>
        <w:tc>
          <w:tcPr/>
          <w:p>
            <w:pPr>
              <w:pStyle w:val="Compact"/>
            </w:pPr>
            <w:r>
              <w:t xml:space="preserve">Identifies beneficiary from VPA; credits account; responds SUCCESS/FAIL to NPCI.</w:t>
            </w:r>
          </w:p>
        </w:tc>
      </w:tr>
    </w:tbl>
    <w:p>
      <w:pPr>
        <w:pStyle w:val="BodyText"/>
      </w:pPr>
      <w:r>
        <w:rPr>
          <w:b/>
          <w:bCs/>
        </w:rPr>
        <w:t xml:space="preserve">Sources &amp; Confidence:</w:t>
      </w:r>
      <w:r>
        <w:t xml:space="preserve"> </w:t>
      </w:r>
      <w:r>
        <w:t xml:space="preserve">NPCI’s governance and circulars define that the sender’s bank debits and the receiver’s bank credits (rules from UPI/NEFT norms). The CL and guidelines confirm that only banks handle authentication and debits【28†L267-L274】. Confidence is high in roles.</w:t>
      </w:r>
    </w:p>
    <w:bookmarkEnd w:id="17"/>
    <w:bookmarkStart w:id="18" w:name="X401abfb1818b6c747ff238e368747c7bcaa7e8b"/>
    <w:p>
      <w:pPr>
        <w:pStyle w:val="Heading2"/>
      </w:pPr>
      <w:r>
        <w:t xml:space="preserve">RQ9 — Transaction Status and Reconciliation</w:t>
      </w:r>
    </w:p>
    <w:p>
      <w:pPr>
        <w:pStyle w:val="FirstParagraph"/>
      </w:pPr>
      <w:r>
        <w:rPr>
          <w:b/>
          <w:bCs/>
        </w:rPr>
        <w:t xml:space="preserve">Question:</w:t>
      </w:r>
      <w:r>
        <w:t xml:space="preserve"> </w:t>
      </w:r>
      <w:r>
        <w:rPr>
          <w:i/>
          <w:iCs/>
        </w:rPr>
        <w:t xml:space="preserve">How are SUCCESS/FAILURE/PENDING determined, communicated, and handled (e.g. timeout, retry)?</w:t>
      </w:r>
    </w:p>
    <w:p>
      <w:pPr>
        <w:pStyle w:val="BodyText"/>
      </w:pPr>
      <w:r>
        <w:rPr>
          <w:b/>
          <w:bCs/>
        </w:rPr>
        <w:t xml:space="preserve">Answer:</w:t>
      </w:r>
      <w:r>
        <w:t xml:space="preserve"> </w:t>
      </w:r>
      <w:r>
        <w:t xml:space="preserve">A UPI transaction can result in</w:t>
      </w:r>
      <w:r>
        <w:t xml:space="preserve"> </w:t>
      </w:r>
      <w:r>
        <w:rPr>
          <w:b/>
          <w:bCs/>
        </w:rPr>
        <w:t xml:space="preserve">SUCCESS</w:t>
      </w:r>
      <w:r>
        <w:t xml:space="preserve">,</w:t>
      </w:r>
      <w:r>
        <w:t xml:space="preserve"> </w:t>
      </w:r>
      <w:r>
        <w:rPr>
          <w:b/>
          <w:bCs/>
        </w:rPr>
        <w:t xml:space="preserve">FAILURE</w:t>
      </w:r>
      <w:r>
        <w:t xml:space="preserve">, or</w:t>
      </w:r>
      <w:r>
        <w:t xml:space="preserve"> </w:t>
      </w:r>
      <w:r>
        <w:rPr>
          <w:b/>
          <w:bCs/>
        </w:rPr>
        <w:t xml:space="preserve">PENDING</w:t>
      </w:r>
      <w:r>
        <w:t xml:space="preserve">.</w:t>
      </w:r>
    </w:p>
    <w:p>
      <w:pPr>
        <w:pStyle w:val="Compact"/>
        <w:numPr>
          <w:ilvl w:val="0"/>
          <w:numId w:val="1010"/>
        </w:numPr>
      </w:pPr>
      <w:r>
        <w:rPr>
          <w:b/>
          <w:bCs/>
        </w:rPr>
        <w:t xml:space="preserve">SUCCESS:</w:t>
      </w:r>
      <w:r>
        <w:t xml:space="preserve"> </w:t>
      </w:r>
      <w:r>
        <w:t xml:space="preserve">All parties confirm. The payer’s bank debited and payee’s bank credited. NPCI sends a final success code to the PSP, which Google Pay displays (“Transaction successful”, along with the NPCI UPI Transaction ID).</w:t>
      </w:r>
    </w:p>
    <w:p>
      <w:pPr>
        <w:pStyle w:val="Compact"/>
        <w:numPr>
          <w:ilvl w:val="0"/>
          <w:numId w:val="1010"/>
        </w:numPr>
      </w:pPr>
      <w:r>
        <w:rPr>
          <w:b/>
          <w:bCs/>
        </w:rPr>
        <w:t xml:space="preserve">FAILURE:</w:t>
      </w:r>
      <w:r>
        <w:t xml:space="preserve"> </w:t>
      </w:r>
      <w:r>
        <w:t xml:space="preserve">Any check (PIN mismatch, insufficient funds, network issue, timeout, beneficiary reject, etc.) causes a failure code. Google Pay shows failure/decline. No funds move if debit was not done; if debit happened but credit failed, NPCI instructs payer bank to reverse (UPI mandates money is either in both accounts or neither).</w:t>
      </w:r>
    </w:p>
    <w:p>
      <w:pPr>
        <w:pStyle w:val="Compact"/>
        <w:numPr>
          <w:ilvl w:val="0"/>
          <w:numId w:val="1010"/>
        </w:numPr>
      </w:pPr>
      <w:r>
        <w:rPr>
          <w:b/>
          <w:bCs/>
        </w:rPr>
        <w:t xml:space="preserve">PENDING:</w:t>
      </w:r>
      <w:r>
        <w:t xml:space="preserve"> </w:t>
      </w:r>
      <w:r>
        <w:t xml:space="preserve">This can occur if NPCI could not immediately get a definitive reply (e.g. payer bank debited but beneficiary bank credit is delayed). Google Pay may show “Pending” (with the NPCI Transaction Reference). The final resolution is later confirmed via a status-check API (the app/PSP can poll NPCI for final status).</w:t>
      </w:r>
    </w:p>
    <w:p>
      <w:pPr>
        <w:pStyle w:val="FirstParagraph"/>
      </w:pPr>
      <w:r>
        <w:t xml:space="preserve">In practice, Google Pay hides retry logic: if the app loses connectivity after sending PIN, it may show “Pending” until connectivity restores. If the user tries again too soon, the same transaction_id (UTR) prevents double-payment. NPCI uses unique transaction IDs and idempotency rules to avoid duplicates.</w:t>
      </w:r>
    </w:p>
    <w:p>
      <w:pPr>
        <w:pStyle w:val="BodyText"/>
      </w:pPr>
      <w:r>
        <w:rPr>
          <w:b/>
          <w:bCs/>
        </w:rPr>
        <w:t xml:space="preserve">Sources &amp; Confidence:</w:t>
      </w:r>
      <w:r>
        <w:t xml:space="preserve"> </w:t>
      </w:r>
      <w:r>
        <w:t xml:space="preserve">Transaction states are defined by UPI (see NPCI UPI error codes document). The Common Library and specs imply the app “submits and waits” for final status; if none arrives, it is effectively pending. High confidence in concept; specifics (retry behavior) are from common UPI practice.</w:t>
      </w:r>
    </w:p>
    <w:bookmarkEnd w:id="18"/>
    <w:bookmarkStart w:id="19" w:name="rq10-security-analysis"/>
    <w:p>
      <w:pPr>
        <w:pStyle w:val="Heading2"/>
      </w:pPr>
      <w:r>
        <w:t xml:space="preserve">RQ10 — Security Analysis</w:t>
      </w:r>
    </w:p>
    <w:p>
      <w:pPr>
        <w:pStyle w:val="FirstParagraph"/>
      </w:pPr>
      <w:r>
        <w:rPr>
          <w:b/>
          <w:bCs/>
        </w:rPr>
        <w:t xml:space="preserve">Question:</w:t>
      </w:r>
      <w:r>
        <w:t xml:space="preserve"> </w:t>
      </w:r>
      <w:r>
        <w:rPr>
          <w:i/>
          <w:iCs/>
        </w:rPr>
        <w:t xml:space="preserve">How are confidentiality, integrity, authentication, non-repudiation, and anti-replay handled throughout the QR payment?</w:t>
      </w:r>
    </w:p>
    <w:p>
      <w:pPr>
        <w:pStyle w:val="BodyText"/>
      </w:pPr>
      <w:r>
        <w:rPr>
          <w:b/>
          <w:bCs/>
        </w:rPr>
        <w:t xml:space="preserve">Answer:</w:t>
      </w:r>
      <w:r>
        <w:t xml:space="preserve"> </w:t>
      </w:r>
      <w:r>
        <w:t xml:space="preserve">The UPI QR-pay flow includes multiple security controls:</w:t>
      </w:r>
    </w:p>
    <w:p>
      <w:pPr>
        <w:numPr>
          <w:ilvl w:val="0"/>
          <w:numId w:val="1011"/>
        </w:numPr>
      </w:pPr>
      <w:r>
        <w:rPr>
          <w:b/>
          <w:bCs/>
        </w:rPr>
        <w:t xml:space="preserve">Confidentiality:</w:t>
      </w:r>
      <w:r>
        <w:t xml:space="preserve"> </w:t>
      </w:r>
      <w:r>
        <w:t xml:space="preserve">Sensitive data (PIN, and effectively the account identifiers) are encrypted by the CL. The NPCI CL uses AES-GCM and RSA, so the PIN and transaction details are never exposed on the network【19†L193-L201】【19†L209-L218】. TLS (HTTPS) encrypts the app↔backend traffic. Thus, an attacker eavesdropping cannot read the UPI PIN or amounts, though they see that a transaction occurred (metadata).</w:t>
      </w:r>
    </w:p>
    <w:p>
      <w:pPr>
        <w:numPr>
          <w:ilvl w:val="0"/>
          <w:numId w:val="1011"/>
        </w:numPr>
      </w:pPr>
      <w:r>
        <w:rPr>
          <w:b/>
          <w:bCs/>
        </w:rPr>
        <w:t xml:space="preserve">Integrity:</w:t>
      </w:r>
      <w:r>
        <w:t xml:space="preserve"> </w:t>
      </w:r>
      <w:r>
        <w:t xml:space="preserve">The AES-GCM mode provides integrity for the hashed pipe-string. Any tampering with ciphertext would be detected when the bank decrypts (MAC check). The CL also SHA-hashes the transaction, so modification of fields would invalidate the MAC. On the network level, TLS also ensures message integrity.</w:t>
      </w:r>
    </w:p>
    <w:p>
      <w:pPr>
        <w:numPr>
          <w:ilvl w:val="0"/>
          <w:numId w:val="1011"/>
        </w:numPr>
      </w:pPr>
      <w:r>
        <w:rPr>
          <w:b/>
          <w:bCs/>
        </w:rPr>
        <w:t xml:space="preserve">Authentication:</w:t>
      </w:r>
      <w:r>
        <w:t xml:space="preserve"> </w:t>
      </w:r>
      <w:r>
        <w:t xml:space="preserve">The user is authenticated by the UPI PIN (2nd factor). The app/device is authenticated by the combination of device-binding (CL’s k0 tied to this installation) and the PSP’s use of a client certificate or credentials with NPCI. The bank authenticates the user by verifying the PIN under the correct user account.</w:t>
      </w:r>
    </w:p>
    <w:p>
      <w:pPr>
        <w:numPr>
          <w:ilvl w:val="0"/>
          <w:numId w:val="1011"/>
        </w:numPr>
      </w:pPr>
      <w:r>
        <w:rPr>
          <w:b/>
          <w:bCs/>
        </w:rPr>
        <w:t xml:space="preserve">Authorization:</w:t>
      </w:r>
      <w:r>
        <w:t xml:space="preserve"> </w:t>
      </w:r>
      <w:r>
        <w:t xml:space="preserve">Only the payer bank can authorize a debit from the customer’s account. NPCI’s switch ensures that only the bank that “owns” the payer VPA can process the transaction. The account to debit is implicitly authorized by the VPA.</w:t>
      </w:r>
    </w:p>
    <w:p>
      <w:pPr>
        <w:numPr>
          <w:ilvl w:val="0"/>
          <w:numId w:val="1011"/>
        </w:numPr>
      </w:pPr>
      <w:r>
        <w:rPr>
          <w:b/>
          <w:bCs/>
        </w:rPr>
        <w:t xml:space="preserve">Non-repudiation/Audit:</w:t>
      </w:r>
      <w:r>
        <w:t xml:space="preserve"> </w:t>
      </w:r>
      <w:r>
        <w:t xml:space="preserve">Each transaction carries a unique ID (combining PSP-TxID and NPCI UTR) and timestamp. NPCI logs the end-to-end flow for audit. The use of cryptographic signatures (RSA) and ML keys means that neither Google Pay nor the customer can repudiate having initiated the encrypted payload (it’s bound to the transaction parameters).</w:t>
      </w:r>
    </w:p>
    <w:p>
      <w:pPr>
        <w:numPr>
          <w:ilvl w:val="0"/>
          <w:numId w:val="1011"/>
        </w:numPr>
      </w:pPr>
      <w:r>
        <w:rPr>
          <w:b/>
          <w:bCs/>
        </w:rPr>
        <w:t xml:space="preserve">Replay Protection:</w:t>
      </w:r>
      <w:r>
        <w:t xml:space="preserve"> </w:t>
      </w:r>
      <w:r>
        <w:t xml:space="preserve">The random “k0” and transaction_id ensure freshness. The pipe-string includes the current date/timestamp and a unique refId. Since the CL’s final encrypted payload includes</w:t>
      </w:r>
      <w:r>
        <w:t xml:space="preserve"> </w:t>
      </w:r>
      <w:r>
        <w:rPr>
          <w:rStyle w:val="VerbatimChar"/>
        </w:rPr>
        <w:t xml:space="preserve">transaction_id</w:t>
      </w:r>
      <w:r>
        <w:t xml:space="preserve"> </w:t>
      </w:r>
      <w:r>
        <w:t xml:space="preserve">and uses new random IVs each time, replaying an old message would fail (the bank would see a duplicate txn_id or a mismatched MAC).</w:t>
      </w:r>
    </w:p>
    <w:p>
      <w:pPr>
        <w:pStyle w:val="FirstParagraph"/>
      </w:pPr>
      <w:r>
        <w:t xml:space="preserve">If an attacker altered the QR fields (e.g. changed</w:t>
      </w:r>
      <w:r>
        <w:t xml:space="preserve"> </w:t>
      </w:r>
      <w:r>
        <w:rPr>
          <w:rStyle w:val="VerbatimChar"/>
        </w:rPr>
        <w:t xml:space="preserve">am</w:t>
      </w:r>
      <w:r>
        <w:t xml:space="preserve"> </w:t>
      </w:r>
      <w:r>
        <w:t xml:space="preserve">or</w:t>
      </w:r>
      <w:r>
        <w:t xml:space="preserve"> </w:t>
      </w:r>
      <w:r>
        <w:rPr>
          <w:rStyle w:val="VerbatimChar"/>
        </w:rPr>
        <w:t xml:space="preserve">pa</w:t>
      </w:r>
      <w:r>
        <w:t xml:space="preserve">): Google Pay would detect discrepancies (e.g. the beneficiary name returned doesn’t match the QR’s</w:t>
      </w:r>
      <w:r>
        <w:t xml:space="preserve"> </w:t>
      </w:r>
      <w:r>
        <w:rPr>
          <w:rStyle w:val="VerbatimChar"/>
        </w:rPr>
        <w:t xml:space="preserve">pn</w:t>
      </w:r>
      <w:r>
        <w:t xml:space="preserve">), or the bank would end up debiting an unintended account (and settlement audits would catch this). Additionally, the QR itself is not signed, but Google Pay’s UI shows both VPA and name to the user to prevent blind acceptance.</w:t>
      </w:r>
    </w:p>
    <w:p>
      <w:pPr>
        <w:pStyle w:val="BodyText"/>
      </w:pPr>
      <w:r>
        <w:rPr>
          <w:b/>
          <w:bCs/>
        </w:rPr>
        <w:t xml:space="preserve">Sources &amp; Confidence:</w:t>
      </w:r>
      <w:r>
        <w:t xml:space="preserve"> </w:t>
      </w:r>
      <w:r>
        <w:t xml:space="preserve">The CL design explicitly addresses confidentiality/integrity【19†L193-L201】【19†L209-L218】. NPCI guidelines require strict data protection (e.g. not storing PIN) as seen in procedural docs. The combination of TLS+CL cryptography provides strong protection (high confidence). Replay prevention is inherent in the CL’s use of nonces (IV) and unique Txn IDs.</w:t>
      </w:r>
    </w:p>
    <w:bookmarkEnd w:id="19"/>
    <w:bookmarkStart w:id="20" w:name="tables-and-diagrams"/>
    <w:p>
      <w:pPr>
        <w:pStyle w:val="Heading2"/>
      </w:pPr>
      <w:r>
        <w:t xml:space="preserve">Tables and Diagrams</w:t>
      </w:r>
    </w:p>
    <w:p>
      <w:pPr>
        <w:pStyle w:val="FirstParagraph"/>
      </w:pPr>
      <w:r>
        <w:rPr>
          <w:b/>
          <w:bCs/>
        </w:rPr>
        <w:t xml:space="preserve">QR Fields (Summary):</w:t>
      </w:r>
      <w:r>
        <w:t xml:space="preserve"> </w:t>
      </w:r>
      <w:r>
        <w:t xml:space="preserve">Parameters extracted from the UPI URI in the QR. (See RQ2.)</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Description</w:t>
            </w:r>
          </w:p>
        </w:tc>
        <w:tc>
          <w:tcPr/>
          <w:p>
            <w:pPr>
              <w:pStyle w:val="Compact"/>
            </w:pPr>
            <w:r>
              <w:t xml:space="preserve">Mandatory?</w:t>
            </w:r>
          </w:p>
        </w:tc>
      </w:tr>
      <w:tr>
        <w:tc>
          <w:tcPr/>
          <w:p>
            <w:pPr>
              <w:pStyle w:val="Compact"/>
            </w:pPr>
            <w:r>
              <w:t xml:space="preserve">pa</w:t>
            </w:r>
          </w:p>
        </w:tc>
        <w:tc>
          <w:tcPr/>
          <w:p>
            <w:pPr>
              <w:pStyle w:val="Compact"/>
            </w:pPr>
            <w:r>
              <w:t xml:space="preserve">Payee VPA (id@bank)</w:t>
            </w:r>
          </w:p>
        </w:tc>
        <w:tc>
          <w:tcPr/>
          <w:p>
            <w:pPr>
              <w:pStyle w:val="Compact"/>
            </w:pPr>
            <w:r>
              <w:t xml:space="preserve">Yes【15†L335-L342】</w:t>
            </w:r>
          </w:p>
        </w:tc>
      </w:tr>
      <w:tr>
        <w:tc>
          <w:tcPr/>
          <w:p>
            <w:pPr>
              <w:pStyle w:val="Compact"/>
            </w:pPr>
            <w:r>
              <w:t xml:space="preserve">pn</w:t>
            </w:r>
          </w:p>
        </w:tc>
        <w:tc>
          <w:tcPr/>
          <w:p>
            <w:pPr>
              <w:pStyle w:val="Compact"/>
            </w:pPr>
            <w:r>
              <w:t xml:space="preserve">Payee Name</w:t>
            </w:r>
          </w:p>
        </w:tc>
        <w:tc>
          <w:tcPr/>
          <w:p>
            <w:pPr>
              <w:pStyle w:val="Compact"/>
            </w:pPr>
            <w:r>
              <w:t xml:space="preserve">Yes【15†L335-L342】</w:t>
            </w:r>
          </w:p>
        </w:tc>
      </w:tr>
      <w:tr>
        <w:tc>
          <w:tcPr/>
          <w:p>
            <w:pPr>
              <w:pStyle w:val="Compact"/>
            </w:pPr>
            <w:r>
              <w:t xml:space="preserve">mc</w:t>
            </w:r>
          </w:p>
        </w:tc>
        <w:tc>
          <w:tcPr/>
          <w:p>
            <w:pPr>
              <w:pStyle w:val="Compact"/>
            </w:pPr>
            <w:r>
              <w:t xml:space="preserve">Merchant category (MCC)</w:t>
            </w:r>
          </w:p>
        </w:tc>
        <w:tc>
          <w:tcPr/>
          <w:p>
            <w:pPr>
              <w:pStyle w:val="Compact"/>
            </w:pPr>
            <w:r>
              <w:t xml:space="preserve">No【15†L335-L342】</w:t>
            </w:r>
          </w:p>
        </w:tc>
      </w:tr>
      <w:tr>
        <w:tc>
          <w:tcPr/>
          <w:p>
            <w:pPr>
              <w:pStyle w:val="Compact"/>
            </w:pPr>
            <w:r>
              <w:t xml:space="preserve">tid</w:t>
            </w:r>
          </w:p>
        </w:tc>
        <w:tc>
          <w:tcPr/>
          <w:p>
            <w:pPr>
              <w:pStyle w:val="Compact"/>
            </w:pPr>
            <w:r>
              <w:t xml:space="preserve">Transaction ID (PSP/merchant)</w:t>
            </w:r>
          </w:p>
        </w:tc>
        <w:tc>
          <w:tcPr/>
          <w:p>
            <w:pPr>
              <w:pStyle w:val="Compact"/>
            </w:pPr>
            <w:r>
              <w:t xml:space="preserve">No【15†L335-L342】</w:t>
            </w:r>
          </w:p>
        </w:tc>
      </w:tr>
      <w:tr>
        <w:tc>
          <w:tcPr/>
          <w:p>
            <w:pPr>
              <w:pStyle w:val="Compact"/>
            </w:pPr>
            <w:r>
              <w:t xml:space="preserve">tr</w:t>
            </w:r>
          </w:p>
        </w:tc>
        <w:tc>
          <w:tcPr/>
          <w:p>
            <w:pPr>
              <w:pStyle w:val="Compact"/>
            </w:pPr>
            <w:r>
              <w:t xml:space="preserve">Merchant reference/bill ID</w:t>
            </w:r>
          </w:p>
        </w:tc>
        <w:tc>
          <w:tcPr/>
          <w:p>
            <w:pPr>
              <w:pStyle w:val="Compact"/>
            </w:pPr>
            <w:r>
              <w:t xml:space="preserve">Cond. (merchants)【15†L335-L342】</w:t>
            </w:r>
          </w:p>
        </w:tc>
      </w:tr>
      <w:tr>
        <w:tc>
          <w:tcPr/>
          <w:p>
            <w:pPr>
              <w:pStyle w:val="Compact"/>
            </w:pPr>
            <w:r>
              <w:t xml:space="preserve">tn</w:t>
            </w:r>
          </w:p>
        </w:tc>
        <w:tc>
          <w:tcPr/>
          <w:p>
            <w:pPr>
              <w:pStyle w:val="Compact"/>
            </w:pPr>
            <w:r>
              <w:t xml:space="preserve">Note/description</w:t>
            </w:r>
          </w:p>
        </w:tc>
        <w:tc>
          <w:tcPr/>
          <w:p>
            <w:pPr>
              <w:pStyle w:val="Compact"/>
            </w:pPr>
            <w:r>
              <w:t xml:space="preserve">No【15†L335-L342】</w:t>
            </w:r>
          </w:p>
        </w:tc>
      </w:tr>
      <w:tr>
        <w:tc>
          <w:tcPr/>
          <w:p>
            <w:pPr>
              <w:pStyle w:val="Compact"/>
            </w:pPr>
            <w:r>
              <w:t xml:space="preserve">am</w:t>
            </w:r>
          </w:p>
        </w:tc>
        <w:tc>
          <w:tcPr/>
          <w:p>
            <w:pPr>
              <w:pStyle w:val="Compact"/>
            </w:pPr>
            <w:r>
              <w:t xml:space="preserve">Amount to pay (decimal)</w:t>
            </w:r>
          </w:p>
        </w:tc>
        <w:tc>
          <w:tcPr/>
          <w:p>
            <w:pPr>
              <w:pStyle w:val="Compact"/>
            </w:pPr>
            <w:r>
              <w:t xml:space="preserve">No (static QR may omit)【18†L372-L377】</w:t>
            </w:r>
          </w:p>
        </w:tc>
      </w:tr>
      <w:tr>
        <w:tc>
          <w:tcPr/>
          <w:p>
            <w:pPr>
              <w:pStyle w:val="Compact"/>
            </w:pPr>
            <w:r>
              <w:t xml:space="preserve">mam</w:t>
            </w:r>
          </w:p>
        </w:tc>
        <w:tc>
          <w:tcPr/>
          <w:p>
            <w:pPr>
              <w:pStyle w:val="Compact"/>
            </w:pPr>
            <w:r>
              <w:t xml:space="preserve">Min Amount (merchant rules)</w:t>
            </w:r>
          </w:p>
        </w:tc>
        <w:tc>
          <w:tcPr/>
          <w:p>
            <w:pPr>
              <w:pStyle w:val="Compact"/>
            </w:pPr>
            <w:r>
              <w:t xml:space="preserve">No【18†L376-L379】</w:t>
            </w:r>
          </w:p>
        </w:tc>
      </w:tr>
      <w:tr>
        <w:tc>
          <w:tcPr/>
          <w:p>
            <w:pPr>
              <w:pStyle w:val="Compact"/>
            </w:pPr>
            <w:r>
              <w:t xml:space="preserve">cu</w:t>
            </w:r>
          </w:p>
        </w:tc>
        <w:tc>
          <w:tcPr/>
          <w:p>
            <w:pPr>
              <w:pStyle w:val="Compact"/>
            </w:pPr>
            <w:r>
              <w:t xml:space="preserve">Currency code (“INR”)</w:t>
            </w:r>
          </w:p>
        </w:tc>
        <w:tc>
          <w:tcPr/>
          <w:p>
            <w:pPr>
              <w:pStyle w:val="Compact"/>
            </w:pPr>
            <w:r>
              <w:t xml:space="preserve">No (default INR)【18†L380-L384】</w:t>
            </w:r>
          </w:p>
        </w:tc>
      </w:tr>
      <w:tr>
        <w:tc>
          <w:tcPr/>
          <w:p>
            <w:pPr>
              <w:pStyle w:val="Compact"/>
            </w:pPr>
            <w:r>
              <w:t xml:space="preserve">url</w:t>
            </w:r>
          </w:p>
        </w:tc>
        <w:tc>
          <w:tcPr/>
          <w:p>
            <w:pPr>
              <w:pStyle w:val="Compact"/>
            </w:pPr>
            <w:r>
              <w:t xml:space="preserve">Invoice/Ref URL</w:t>
            </w:r>
          </w:p>
        </w:tc>
        <w:tc>
          <w:tcPr/>
          <w:p>
            <w:pPr>
              <w:pStyle w:val="Compact"/>
            </w:pPr>
            <w:r>
              <w:t xml:space="preserve">No【18†L396-L404】</w:t>
            </w:r>
          </w:p>
        </w:tc>
      </w:tr>
    </w:tbl>
    <w:p>
      <w:pPr>
        <w:pStyle w:val="BodyText"/>
      </w:pPr>
      <w:r>
        <w:rPr>
          <w:b/>
          <w:bCs/>
        </w:rPr>
        <w:t xml:space="preserve">Cryptographic Operations:</w:t>
      </w:r>
      <w:r>
        <w:t xml:space="preserve"> </w:t>
      </w:r>
      <w:r>
        <w:t xml:space="preserve">Algorithms used by CL (on-device) and network:</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Operation</w:t>
            </w:r>
          </w:p>
        </w:tc>
        <w:tc>
          <w:tcPr/>
          <w:p>
            <w:pPr>
              <w:pStyle w:val="Compact"/>
            </w:pPr>
            <w:r>
              <w:t xml:space="preserve">Algorithm (bits)</w:t>
            </w:r>
          </w:p>
        </w:tc>
        <w:tc>
          <w:tcPr/>
          <w:p>
            <w:pPr>
              <w:pStyle w:val="Compact"/>
            </w:pPr>
            <w:r>
              <w:t xml:space="preserve">Key held by</w:t>
            </w:r>
          </w:p>
        </w:tc>
        <w:tc>
          <w:tcPr/>
          <w:p>
            <w:pPr>
              <w:pStyle w:val="Compact"/>
            </w:pPr>
            <w:r>
              <w:t xml:space="preserve">Location</w:t>
            </w:r>
          </w:p>
        </w:tc>
      </w:tr>
      <w:tr>
        <w:tc>
          <w:tcPr/>
          <w:p>
            <w:pPr>
              <w:pStyle w:val="Compact"/>
            </w:pPr>
            <w:r>
              <w:t xml:space="preserve">Session generation (k0/token)</w:t>
            </w:r>
          </w:p>
        </w:tc>
        <w:tc>
          <w:tcPr/>
          <w:p>
            <w:pPr>
              <w:pStyle w:val="Compact"/>
            </w:pPr>
            <w:r>
              <w:t xml:space="preserve">RNG (256-bit)</w:t>
            </w:r>
          </w:p>
        </w:tc>
        <w:tc>
          <w:tcPr/>
          <w:p>
            <w:pPr>
              <w:pStyle w:val="Compact"/>
            </w:pPr>
            <w:r>
              <w:t xml:space="preserve">Device (CL)</w:t>
            </w:r>
          </w:p>
        </w:tc>
        <w:tc>
          <w:tcPr/>
          <w:p>
            <w:pPr>
              <w:pStyle w:val="Compact"/>
            </w:pPr>
            <w:r>
              <w:t xml:space="preserve">CL (device)</w:t>
            </w:r>
          </w:p>
        </w:tc>
      </w:tr>
      <w:tr>
        <w:tc>
          <w:tcPr/>
          <w:p>
            <w:pPr>
              <w:pStyle w:val="Compact"/>
            </w:pPr>
            <w:r>
              <w:t xml:space="preserve">Hash transaction details</w:t>
            </w:r>
          </w:p>
        </w:tc>
        <w:tc>
          <w:tcPr/>
          <w:p>
            <w:pPr>
              <w:pStyle w:val="Compact"/>
            </w:pPr>
            <w:r>
              <w:t xml:space="preserve">SHA-256</w:t>
            </w:r>
          </w:p>
        </w:tc>
        <w:tc>
          <w:tcPr/>
          <w:p>
            <w:pPr>
              <w:pStyle w:val="Compact"/>
            </w:pPr>
            <w:r>
              <w:t xml:space="preserve">–</w:t>
            </w:r>
          </w:p>
        </w:tc>
        <w:tc>
          <w:tcPr/>
          <w:p>
            <w:pPr>
              <w:pStyle w:val="Compact"/>
            </w:pPr>
            <w:r>
              <w:t xml:space="preserve">CL (device)</w:t>
            </w:r>
          </w:p>
        </w:tc>
      </w:tr>
      <w:tr>
        <w:tc>
          <w:tcPr/>
          <w:p>
            <w:pPr>
              <w:pStyle w:val="Compact"/>
            </w:pPr>
            <w:r>
              <w:t xml:space="preserve">Encrypt hash + IV</w:t>
            </w:r>
          </w:p>
        </w:tc>
        <w:tc>
          <w:tcPr/>
          <w:p>
            <w:pPr>
              <w:pStyle w:val="Compact"/>
            </w:pPr>
            <w:r>
              <w:t xml:space="preserve">AES-GCM (256)</w:t>
            </w:r>
          </w:p>
        </w:tc>
        <w:tc>
          <w:tcPr/>
          <w:p>
            <w:pPr>
              <w:pStyle w:val="Compact"/>
            </w:pPr>
            <w:r>
              <w:t xml:space="preserve">CL’s k0 (device)</w:t>
            </w:r>
          </w:p>
        </w:tc>
        <w:tc>
          <w:tcPr/>
          <w:p>
            <w:pPr>
              <w:pStyle w:val="Compact"/>
            </w:pPr>
            <w:r>
              <w:t xml:space="preserve">CL (device)</w:t>
            </w:r>
          </w:p>
        </w:tc>
      </w:tr>
      <w:tr>
        <w:tc>
          <w:tcPr/>
          <w:p>
            <w:pPr>
              <w:pStyle w:val="Compact"/>
            </w:pPr>
            <w:r>
              <w:t xml:space="preserve">Wrap AES key (k0)</w:t>
            </w:r>
          </w:p>
        </w:tc>
        <w:tc>
          <w:tcPr/>
          <w:p>
            <w:pPr>
              <w:pStyle w:val="Compact"/>
            </w:pPr>
            <w:r>
              <w:t xml:space="preserve">RSA-OAEP (2048)</w:t>
            </w:r>
          </w:p>
        </w:tc>
        <w:tc>
          <w:tcPr/>
          <w:p>
            <w:pPr>
              <w:pStyle w:val="Compact"/>
            </w:pPr>
            <w:r>
              <w:t xml:space="preserve">NPCI public key</w:t>
            </w:r>
          </w:p>
        </w:tc>
        <w:tc>
          <w:tcPr/>
          <w:p>
            <w:pPr>
              <w:pStyle w:val="Compact"/>
            </w:pPr>
            <w:r>
              <w:t xml:space="preserve">CL (device)</w:t>
            </w:r>
          </w:p>
        </w:tc>
      </w:tr>
      <w:tr>
        <w:tc>
          <w:tcPr/>
          <w:p>
            <w:pPr>
              <w:pStyle w:val="Compact"/>
            </w:pPr>
            <w:r>
              <w:t xml:space="preserve">Encrypt final PIN payload</w:t>
            </w:r>
          </w:p>
        </w:tc>
        <w:tc>
          <w:tcPr/>
          <w:p>
            <w:pPr>
              <w:pStyle w:val="Compact"/>
            </w:pPr>
            <w:r>
              <w:t xml:space="preserve">RSA-OAEP (2048)</w:t>
            </w:r>
          </w:p>
        </w:tc>
        <w:tc>
          <w:tcPr/>
          <w:p>
            <w:pPr>
              <w:pStyle w:val="Compact"/>
            </w:pPr>
            <w:r>
              <w:t xml:space="preserve">NPCI public key</w:t>
            </w:r>
          </w:p>
        </w:tc>
        <w:tc>
          <w:tcPr/>
          <w:p>
            <w:pPr>
              <w:pStyle w:val="Compact"/>
            </w:pPr>
            <w:r>
              <w:t xml:space="preserve">CL (device)</w:t>
            </w:r>
          </w:p>
        </w:tc>
      </w:tr>
      <w:tr>
        <w:tc>
          <w:tcPr/>
          <w:p>
            <w:pPr>
              <w:pStyle w:val="Compact"/>
            </w:pPr>
            <w:r>
              <w:t xml:space="preserve">TLS transport</w:t>
            </w:r>
          </w:p>
        </w:tc>
        <w:tc>
          <w:tcPr/>
          <w:p>
            <w:pPr>
              <w:pStyle w:val="Compact"/>
            </w:pPr>
            <w:r>
              <w:t xml:space="preserve">RSA/ECDSA certs</w:t>
            </w:r>
          </w:p>
        </w:tc>
        <w:tc>
          <w:tcPr/>
          <w:p>
            <w:pPr>
              <w:pStyle w:val="Compact"/>
            </w:pPr>
            <w:r>
              <w:t xml:space="preserve">PSP/NPCI</w:t>
            </w:r>
          </w:p>
        </w:tc>
        <w:tc>
          <w:tcPr/>
          <w:p>
            <w:pPr>
              <w:pStyle w:val="Compact"/>
            </w:pPr>
            <w:r>
              <w:t xml:space="preserve">Network (TLS)</w:t>
            </w:r>
          </w:p>
        </w:tc>
      </w:tr>
    </w:tbl>
    <w:p>
      <w:pPr>
        <w:pStyle w:val="BodyText"/>
      </w:pPr>
      <w:r>
        <w:rPr>
          <w:b/>
          <w:bCs/>
        </w:rPr>
        <w:t xml:space="preserve">Entity Responsibilities:</w:t>
      </w:r>
      <w:r>
        <w:t xml:space="preserve"> </w:t>
      </w:r>
      <w:r>
        <w:t xml:space="preserve">Who does what in the flow (see RQ8). Each arrow below is a communication;</w:t>
      </w:r>
      <w:r>
        <w:t xml:space="preserve"> </w:t>
      </w:r>
      <w:r>
        <w:rPr>
          <w:b/>
          <w:bCs/>
        </w:rPr>
        <w:t xml:space="preserve">bold</w:t>
      </w:r>
      <w:r>
        <w:t xml:space="preserve"> </w:t>
      </w:r>
      <w:r>
        <w:t xml:space="preserve">indicates data contained (other than network metadata):</w:t>
      </w:r>
    </w:p>
    <w:p>
      <w:pPr>
        <w:pStyle w:val="SourceCode"/>
      </w:pPr>
      <w:r>
        <w:rPr>
          <w:rStyle w:val="VerbatimChar"/>
        </w:rPr>
        <w:t xml:space="preserve">sequenceDiagram</w:t>
      </w:r>
      <w:r>
        <w:br/>
      </w:r>
      <w:r>
        <w:rPr>
          <w:rStyle w:val="VerbatimChar"/>
        </w:rPr>
        <w:t xml:space="preserve">    participant User </w:t>
      </w:r>
      <w:r>
        <w:br/>
      </w:r>
      <w:r>
        <w:rPr>
          <w:rStyle w:val="VerbatimChar"/>
        </w:rPr>
        <w:t xml:space="preserve">    participant GooglePayApp</w:t>
      </w:r>
      <w:r>
        <w:br/>
      </w:r>
      <w:r>
        <w:rPr>
          <w:rStyle w:val="VerbatimChar"/>
        </w:rPr>
        <w:t xml:space="preserve">    participant PSPServer</w:t>
      </w:r>
      <w:r>
        <w:br/>
      </w:r>
      <w:r>
        <w:rPr>
          <w:rStyle w:val="VerbatimChar"/>
        </w:rPr>
        <w:t xml:space="preserve">    participant NPCISwitch</w:t>
      </w:r>
      <w:r>
        <w:br/>
      </w:r>
      <w:r>
        <w:rPr>
          <w:rStyle w:val="VerbatimChar"/>
        </w:rPr>
        <w:t xml:space="preserve">    participant PayerBank</w:t>
      </w:r>
      <w:r>
        <w:br/>
      </w:r>
      <w:r>
        <w:rPr>
          <w:rStyle w:val="VerbatimChar"/>
        </w:rPr>
        <w:t xml:space="preserve">    participant PayeeBank</w:t>
      </w:r>
      <w:r>
        <w:br/>
      </w:r>
      <w:r>
        <w:br/>
      </w:r>
      <w:r>
        <w:rPr>
          <w:rStyle w:val="VerbatimChar"/>
        </w:rPr>
        <w:t xml:space="preserve">    User-&gt;&gt;GooglePayApp: Scan QR (upi://pay?pa=payee@bank&amp;pn=Name&amp;am=...)</w:t>
      </w:r>
      <w:r>
        <w:br/>
      </w:r>
      <w:r>
        <w:rPr>
          <w:rStyle w:val="VerbatimChar"/>
        </w:rPr>
        <w:t xml:space="preserve">    GooglePayApp-&gt;&gt;GooglePayApp: Decode/parse URI (pa, pn, amount, etc.)</w:t>
      </w:r>
      <w:r>
        <w:br/>
      </w:r>
      <w:r>
        <w:rPr>
          <w:rStyle w:val="VerbatimChar"/>
        </w:rPr>
        <w:t xml:space="preserve">    GooglePayApp-&gt;&gt;PSPServer: FetchPayeeInfo(payeVPA)【32†L897-L905】 </w:t>
      </w:r>
      <w:r>
        <w:br/>
      </w:r>
      <w:r>
        <w:rPr>
          <w:rStyle w:val="VerbatimChar"/>
        </w:rPr>
        <w:t xml:space="preserve">    PSPServer-&gt;&gt;NPCISwitch: VerifyVPA(payeVPA)</w:t>
      </w:r>
      <w:r>
        <w:br/>
      </w:r>
      <w:r>
        <w:rPr>
          <w:rStyle w:val="VerbatimChar"/>
        </w:rPr>
        <w:t xml:space="preserve">    NPCISwitch-&gt;&gt;PayeeBank: LookupAccount(payeVPA) </w:t>
      </w:r>
      <w:r>
        <w:br/>
      </w:r>
      <w:r>
        <w:rPr>
          <w:rStyle w:val="VerbatimChar"/>
        </w:rPr>
        <w:t xml:space="preserve">    PayeeBank-&gt;&gt;NPCISwitch: ReturnAccountInfo(Name,Acct#)</w:t>
      </w:r>
      <w:r>
        <w:br/>
      </w:r>
      <w:r>
        <w:rPr>
          <w:rStyle w:val="VerbatimChar"/>
        </w:rPr>
        <w:t xml:space="preserve">    NPCISwitch-&gt;&gt;PSPServer: ReturnAccountInfo(Name) </w:t>
      </w:r>
      <w:r>
        <w:br/>
      </w:r>
      <w:r>
        <w:rPr>
          <w:rStyle w:val="VerbatimChar"/>
        </w:rPr>
        <w:t xml:space="preserve">    PSPServer-&gt;&gt;GooglePayApp: ReturnPayeeName(Name)</w:t>
      </w:r>
      <w:r>
        <w:br/>
      </w:r>
      <w:r>
        <w:rPr>
          <w:rStyle w:val="VerbatimChar"/>
        </w:rPr>
        <w:t xml:space="preserve">    GooglePayApp-&gt;&gt;User: Display payee name for confirmation</w:t>
      </w:r>
      <w:r>
        <w:br/>
      </w:r>
      <w:r>
        <w:rPr>
          <w:rStyle w:val="VerbatimChar"/>
        </w:rPr>
        <w:t xml:space="preserve">    User-&gt;&gt;GooglePayApp: Enter amount &amp; tap Pay</w:t>
      </w:r>
      <w:r>
        <w:br/>
      </w:r>
      <w:r>
        <w:rPr>
          <w:rStyle w:val="VerbatimChar"/>
        </w:rPr>
        <w:t xml:space="preserve">    GooglePayApp-&gt;&gt;pinactivitycomponent: Prompt UPI PIN entry【4†L52-L56】</w:t>
      </w:r>
      <w:r>
        <w:br/>
      </w:r>
      <w:r>
        <w:rPr>
          <w:rStyle w:val="VerbatimChar"/>
        </w:rPr>
        <w:t xml:space="preserve">    pinactivitycomponent-&gt;&gt;CL: (PIN + transaction details) </w:t>
      </w:r>
      <w:r>
        <w:br/>
      </w:r>
      <w:r>
        <w:rPr>
          <w:rStyle w:val="VerbatimChar"/>
        </w:rPr>
        <w:t xml:space="preserve">    CL-&gt;&gt;CL: Hash &amp; encrypt payload【19†L193-L201】【19†L209-L218】</w:t>
      </w:r>
      <w:r>
        <w:br/>
      </w:r>
      <w:r>
        <w:rPr>
          <w:rStyle w:val="VerbatimChar"/>
        </w:rPr>
        <w:t xml:space="preserve">    CL--&gt;&gt;GooglePayApp: FinalPayload("CL_VER|Base64(cipher)")【28†L267-L274】</w:t>
      </w:r>
      <w:r>
        <w:br/>
      </w:r>
      <w:r>
        <w:rPr>
          <w:rStyle w:val="VerbatimChar"/>
        </w:rPr>
        <w:t xml:space="preserve">    GooglePayApp-&gt;&gt;PSPServer: SendPaymentRequest(Base64(cipher)) (ReqPay)</w:t>
      </w:r>
      <w:r>
        <w:br/>
      </w:r>
      <w:r>
        <w:rPr>
          <w:rStyle w:val="VerbatimChar"/>
        </w:rPr>
        <w:t xml:space="preserve">    PSPServer-&gt;&gt;NPCISwitch: ForwardReqPay(Base64(cipher))</w:t>
      </w:r>
      <w:r>
        <w:br/>
      </w:r>
      <w:r>
        <w:rPr>
          <w:rStyle w:val="VerbatimChar"/>
        </w:rPr>
        <w:t xml:space="preserve">    NPCISwitch-&gt;&gt;PayerBank: ForwardReqPay(Base64(cipher))</w:t>
      </w:r>
      <w:r>
        <w:br/>
      </w:r>
      <w:r>
        <w:rPr>
          <w:rStyle w:val="VerbatimChar"/>
        </w:rPr>
        <w:t xml:space="preserve">    PayerBank-&gt;&gt;PayerBank: DecryptPayload; verify PIN/account</w:t>
      </w:r>
      <w:r>
        <w:br/>
      </w:r>
      <w:r>
        <w:rPr>
          <w:rStyle w:val="VerbatimChar"/>
        </w:rPr>
        <w:t xml:space="preserve">    PayerBank-&gt;&gt;NPCISwitch: Success/Failure (incl. UPI Txn ID)</w:t>
      </w:r>
      <w:r>
        <w:br/>
      </w:r>
      <w:r>
        <w:rPr>
          <w:rStyle w:val="VerbatimChar"/>
        </w:rPr>
        <w:t xml:space="preserve">    NPCISwitch-&gt;&gt;PayeeBank: CreditRequest(amount, acct#)</w:t>
      </w:r>
      <w:r>
        <w:br/>
      </w:r>
      <w:r>
        <w:rPr>
          <w:rStyle w:val="VerbatimChar"/>
        </w:rPr>
        <w:t xml:space="preserve">    PayeeBank-&gt;&gt;NPCISwitch: CreditSuccess/Failure</w:t>
      </w:r>
      <w:r>
        <w:br/>
      </w:r>
      <w:r>
        <w:rPr>
          <w:rStyle w:val="VerbatimChar"/>
        </w:rPr>
        <w:t xml:space="preserve">    NPCISwitch-&gt;&gt;PSPServer: FinalStatus(SUCCESS/FAIL)</w:t>
      </w:r>
      <w:r>
        <w:br/>
      </w:r>
      <w:r>
        <w:rPr>
          <w:rStyle w:val="VerbatimChar"/>
        </w:rPr>
        <w:t xml:space="preserve">    PSPServer-&gt;&gt;GooglePayApp: FinalStatus(SUCCESS/FAIL)</w:t>
      </w:r>
      <w:r>
        <w:br/>
      </w:r>
      <w:r>
        <w:rPr>
          <w:rStyle w:val="VerbatimChar"/>
        </w:rPr>
        <w:t xml:space="preserve">    GooglePayApp-&gt;&gt;User: Show result (Success or Error)</w:t>
      </w:r>
    </w:p>
    <w:p>
      <w:pPr>
        <w:pStyle w:val="FirstParagraph"/>
      </w:pPr>
      <w:r>
        <w:rPr>
          <w:b/>
          <w:bCs/>
        </w:rPr>
        <w:t xml:space="preserve">PIN Handling Flow (simplified):</w:t>
      </w:r>
    </w:p>
    <w:p>
      <w:pPr>
        <w:pStyle w:val="SourceCode"/>
      </w:pPr>
      <w:r>
        <w:rPr>
          <w:rStyle w:val="VerbatimChar"/>
        </w:rPr>
        <w:t xml:space="preserve">flowchart LR</w:t>
      </w:r>
      <w:r>
        <w:br/>
      </w:r>
      <w:r>
        <w:rPr>
          <w:rStyle w:val="VerbatimChar"/>
        </w:rPr>
        <w:t xml:space="preserve">    U[User enters PIN] --&gt; A[CL PIN Activity]</w:t>
      </w:r>
      <w:r>
        <w:br/>
      </w:r>
      <w:r>
        <w:rPr>
          <w:rStyle w:val="VerbatimChar"/>
        </w:rPr>
        <w:t xml:space="preserve">    A --&gt; B{CL processes PIN}</w:t>
      </w:r>
      <w:r>
        <w:br/>
      </w:r>
      <w:r>
        <w:rPr>
          <w:rStyle w:val="VerbatimChar"/>
        </w:rPr>
        <w:t xml:space="preserve">    B --&gt; C[SHA-256(pipeString) ➝ hash]</w:t>
      </w:r>
      <w:r>
        <w:br/>
      </w:r>
      <w:r>
        <w:rPr>
          <w:rStyle w:val="VerbatimChar"/>
        </w:rPr>
        <w:t xml:space="preserve">    C --&gt; D[AES-GCM encrypt(hash) ➝ GCM_Cipher]</w:t>
      </w:r>
      <w:r>
        <w:br/>
      </w:r>
      <w:r>
        <w:rPr>
          <w:rStyle w:val="VerbatimChar"/>
        </w:rPr>
        <w:t xml:space="preserve">    D --&gt; E[Compose "PIN|txnId|GCM_Cipher|IV"]</w:t>
      </w:r>
      <w:r>
        <w:br/>
      </w:r>
      <w:r>
        <w:rPr>
          <w:rStyle w:val="VerbatimChar"/>
        </w:rPr>
        <w:t xml:space="preserve">    E --&gt; F[RSA-OAEP encrypt(PIN|txnId|GCM_Cipher|IV)]</w:t>
      </w:r>
      <w:r>
        <w:br/>
      </w:r>
      <w:r>
        <w:rPr>
          <w:rStyle w:val="VerbatimChar"/>
        </w:rPr>
        <w:t xml:space="preserve">    F --&gt; G[FinalPayload = "2.0|Base64(ciphertext)"]</w:t>
      </w:r>
      <w:r>
        <w:br/>
      </w:r>
      <w:r>
        <w:rPr>
          <w:rStyle w:val="VerbatimChar"/>
        </w:rPr>
        <w:t xml:space="preserve">    G --&gt; H[Send to PSP Server]</w:t>
      </w:r>
    </w:p>
    <w:p>
      <w:pPr>
        <w:pStyle w:val="FirstParagraph"/>
      </w:pPr>
      <w:r>
        <w:rPr>
          <w:b/>
          <w:bCs/>
        </w:rPr>
        <w:t xml:space="preserve">Unanswered Questions &amp; Testing:</w:t>
      </w:r>
      <w:r>
        <w:t xml:space="preserve"> </w:t>
      </w:r>
      <w:r>
        <w:t xml:space="preserve">Certain low-level details remain unobservable without breaking the app: e.g., the exact format of the JSON/HTTP request from Google Pay to its backend, or whether Google Pay’s client ever contacts NPCI directly. To answer these, one could capture the traffic of an instrumented device or inspect a decompiled APK. Minimal tests might include: capturing network logs (Burp) for the ReqPay call to see payload names, or running the CL in a controlled environment (via JPype as shown in the CL docs) to verify intermediate values. These experiments are recommended as future work.</w:t>
      </w:r>
    </w:p>
    <w:p>
      <w:pPr>
        <w:pStyle w:val="BodyText"/>
      </w:pPr>
      <w:r>
        <w:rPr>
          <w:b/>
          <w:bCs/>
        </w:rPr>
        <w:t xml:space="preserve">Conclusion:</w:t>
      </w:r>
      <w:r>
        <w:t xml:space="preserve"> </w:t>
      </w:r>
      <w:r>
        <w:t xml:space="preserve">Using the NPCI UPI specs and Common Library documentation, we have reconstructed the end-to-end QR payment flow in Google Pay. The process is heavily secured by the Common Library’s cryptography and NPCI’s switch protocols. All user-sensitive data is either kept local to the CL or encrypted before network transit, with the payer bank carrying out the final PIN check and debit【19†L209-L218】【28†L267-L274】. This analysis identifies clear responsibilities and protections at each step, and any unsupported assumptions have been noted with a confidence assessment above.</w:t>
      </w:r>
    </w:p>
    <w:bookmarkEnd w:id="20"/>
    <w:bookmarkEnd w:id="21"/>
    <w:bookmarkEnd w:id="22"/>
    <w:p>
      <w:r>
        <w:pict>
          <v:rect style="width:0;height:1.5pt" o:hralign="center" o:hrstd="t" o:hr="t"/>
        </w:pict>
      </w:r>
    </w:p>
    <w:bookmarkStart w:id="23" w:name="citations"/>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