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73.png" ContentType="image/png"/>
  <Override PartName="/word/media/rId65.png" ContentType="image/png"/>
  <Override PartName="/word/media/rId51.png" ContentType="image/png"/>
  <Override PartName="/word/media/rId55.png" ContentType="image/png"/>
  <Override PartName="/word/media/rId47.png" ContentType="image/png"/>
  <Override PartName="/word/media/rId59.png" ContentType="image/png"/>
  <Override PartName="/word/media/rId8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Tri-Modal Fusion for Real-Time Disaster Intelligence: Integrating IoT Sensors, Satellite Imagery, and Social Media Through Adaptive Cross-Attention</w:t>
      </w:r>
    </w:p>
    <w:p>
      <w:pPr>
        <w:pStyle w:val="Author"/>
      </w:pPr>
    </w:p>
    <w:p>
      <w:pPr>
        <w:pStyle w:val="AbstractTitle"/>
      </w:pPr>
      <w:r>
        <w:t xml:space="preserve">Abstract</w:t>
      </w:r>
    </w:p>
    <w:p>
      <w:pPr>
        <w:pStyle w:val="Abstract"/>
      </w:pPr>
      <w:r>
        <w:t xml:space="preserve">Effective disaster response requires rapid situational awareness from heterogeneous data sources, yet most existing systems operate on a single modality—social media text, satellite imagery, or sensor readings—losing critical cross-modal context. We present a</w:t>
      </w:r>
      <w:r>
        <w:t xml:space="preserve"> </w:t>
      </w:r>
      <w:r>
        <w:rPr>
          <w:b/>
          <w:bCs/>
        </w:rPr>
        <w:t xml:space="preserve">Tri-Modal Fusion</w:t>
      </w:r>
      <w:r>
        <w:t xml:space="preserve"> </w:t>
      </w:r>
      <w:r>
        <w:t xml:space="preserve">framework that unifies IoT sensor streams (weather, seismic, storm, hydrological), satellite damage imagery, and social media image–text pairs through a novel pairwise cross-attention mechanism with adaptive gating. The architecture comprises three specialized sub-models: (1) an</w:t>
      </w:r>
      <w:r>
        <w:t xml:space="preserve"> </w:t>
      </w:r>
      <w:r>
        <w:rPr>
          <w:b/>
          <w:bCs/>
        </w:rPr>
        <w:t xml:space="preserve">AdaptiveIoTClassifier</w:t>
      </w:r>
      <w:r>
        <w:t xml:space="preserve"> </w:t>
      </w:r>
      <w:r>
        <w:t xml:space="preserve">with per-group confidence-weighted sensor fusion achieving 97.64% classification accuracy across 63,527 samples; (2) an</w:t>
      </w:r>
      <w:r>
        <w:t xml:space="preserve"> </w:t>
      </w:r>
      <w:r>
        <w:rPr>
          <w:b/>
          <w:bCs/>
        </w:rPr>
        <w:t xml:space="preserve">AdaptiveFusionClassifier</w:t>
      </w:r>
      <w:r>
        <w:t xml:space="preserve"> </w:t>
      </w:r>
      <w:r>
        <w:t xml:space="preserve">combining BLIP Vision Transformer and XLM-RoBERTa encoders with bidirectional cross-modal attention, achieving 86.39% accuracy on the CrisisMMD humanitarian benchmark (+12.39% over SVM baselines); and (3) a modified</w:t>
      </w:r>
      <w:r>
        <w:t xml:space="preserve"> </w:t>
      </w:r>
      <w:r>
        <w:rPr>
          <w:b/>
          <w:bCs/>
        </w:rPr>
        <w:t xml:space="preserve">DeepLabV3+</w:t>
      </w:r>
      <w:r>
        <w:t xml:space="preserve"> </w:t>
      </w:r>
      <w:r>
        <w:t xml:space="preserve">with dual feature extraction producing both pixel-level damage segmentation and compact 640-dimensional embeddings from xBD satellite imagery. The</w:t>
      </w:r>
      <w:r>
        <w:t xml:space="preserve"> </w:t>
      </w:r>
      <w:r>
        <w:rPr>
          <w:b/>
          <w:bCs/>
        </w:rPr>
        <w:t xml:space="preserve">TriFusionLayer</w:t>
      </w:r>
      <w:r>
        <w:t xml:space="preserve"> </w:t>
      </w:r>
      <w:r>
        <w:t xml:space="preserve">fuses embeddings from all three sub-models via three pairwise cross-attention blocks and a learned modality gate, achieving</w:t>
      </w:r>
      <w:r>
        <w:t xml:space="preserve"> </w:t>
      </w:r>
      <w:r>
        <w:rPr>
          <w:b/>
          <w:bCs/>
        </w:rPr>
        <w:t xml:space="preserve">99.41% priority classification accuracy</w:t>
      </w:r>
      <w:r>
        <w:t xml:space="preserve"> </w:t>
      </w:r>
      <w:r>
        <w:t xml:space="preserve">and</w:t>
      </w:r>
      <w:r>
        <w:t xml:space="preserve"> </w:t>
      </w:r>
      <w:r>
        <w:rPr>
          <w:b/>
          <w:bCs/>
        </w:rPr>
        <w:t xml:space="preserve">0.0398 severity MAE</w:t>
      </w:r>
      <w:r>
        <w:t xml:space="preserve">—a 65.8% improvement over the crisis-only baseline. An ablation study across four modality configurations confirms monotonic improvement with each added data source and robust degradation under 30% modality dropout. We further contribute a gradient-weighted attention rollout method for Vision Transformer explainability and a three-tier XAI fallback chain ensuring interpretable outputs. The system operates in real time with zero-input disaster type detection and graceful handling of missing data streams.</w:t>
      </w:r>
    </w:p>
    <w:p>
      <w:pPr>
        <w:pStyle w:val="FirstParagraph"/>
      </w:pPr>
      <w:r>
        <w:t xml:space="preserve">Disaster management, multimodal fusion, cross-attention, IoT sensors, satellite imagery, social media analysis, deep learning, explainable AI</w:t>
      </w:r>
    </w:p>
    <w:bookmarkStart w:id="9" w:name="introduction"/>
    <w:p>
      <w:pPr>
        <w:pStyle w:val="Heading1"/>
      </w:pPr>
      <w:r>
        <w:t xml:space="preserve">Introduction</w:t>
      </w:r>
    </w:p>
    <w:p>
      <w:pPr>
        <w:pStyle w:val="FirstParagraph"/>
      </w:pPr>
      <w:r>
        <w:t xml:space="preserve">Natural disasters caused over $380 billion in global economic losses in 2023, with delayed situational awareness cited as a primary factor in preventable casualties </w:t>
      </w:r>
      <w:r>
        <w:t xml:space="preserve">. The first hours of a disaster event—the</w:t>
      </w:r>
      <w:r>
        <w:t xml:space="preserve"> </w:t>
      </w:r>
      <w:r>
        <w:t xml:space="preserve">“golden window”</w:t>
      </w:r>
      <w:r>
        <w:t xml:space="preserve">—are decisive for effective response, yet decision-makers typically face fragmented, single-source information: a seismograph reading without visual damage assessment, a social media report without sensor confirmation, or a satellite image without on-the-ground context.</w:t>
      </w:r>
    </w:p>
    <w:p>
      <w:pPr>
        <w:pStyle w:val="BodyText"/>
      </w:pPr>
      <w:r>
        <w:t xml:space="preserve">Existing disaster management systems overwhelmingly rely on single data modalities. Sensor-based systems </w:t>
      </w:r>
      <w:r>
        <w:t xml:space="preserve"> </w:t>
      </w:r>
      <w:r>
        <w:t xml:space="preserve">detect physical events but miss human impact. Social media analysis platforms </w:t>
      </w:r>
      <w:r>
        <w:t xml:space="preserve"> </w:t>
      </w:r>
      <w:r>
        <w:t xml:space="preserve">capture on-the-ground reports but lack precise physical measurements. Satellite-based damage assessment </w:t>
      </w:r>
      <w:r>
        <w:t xml:space="preserve"> </w:t>
      </w:r>
      <w:r>
        <w:t xml:space="preserve">provides broad spatial coverage but offers no real-time ground truth. Each modality captures complementary but incomplete information.</w:t>
      </w:r>
    </w:p>
    <w:p>
      <w:pPr>
        <w:pStyle w:val="BodyText"/>
      </w:pPr>
      <w:r>
        <w:t xml:space="preserve">We address this fundamental limitation through a</w:t>
      </w:r>
      <w:r>
        <w:t xml:space="preserve"> </w:t>
      </w:r>
      <w:r>
        <w:rPr>
          <w:b/>
          <w:bCs/>
        </w:rPr>
        <w:t xml:space="preserve">Tri-Modal Fusion</w:t>
      </w:r>
      <w:r>
        <w:t xml:space="preserve"> </w:t>
      </w:r>
      <w:r>
        <w:t xml:space="preserve">architecture that unifies three independent data streams—IoT sensor readings, satellite damage imagery, and social media image–text pairs—through a learned pairwise cross-attention mechanism with adaptive gating. Unlike prior multimodal approaches that require all inputs or fail entirely, our system operates across four degradation modes (full tri-fusion, crisis+satellite, crisis+IoT, crisis-only), maintaining useful output from minute zero of an event before all data streams become available.</w:t>
      </w:r>
    </w:p>
    <w:p>
      <w:pPr>
        <w:pStyle w:val="BodyText"/>
      </w:pPr>
      <w:r>
        <w:t xml:space="preserve">The key contributions of this paper are:</w:t>
      </w:r>
    </w:p>
    <w:p>
      <w:pPr>
        <w:numPr>
          <w:ilvl w:val="0"/>
          <w:numId w:val="1001"/>
        </w:numPr>
      </w:pPr>
      <w:r>
        <w:rPr>
          <w:b/>
          <w:bCs/>
        </w:rPr>
        <w:t xml:space="preserve">Tri-Modal Fusion Architecture</w:t>
      </w:r>
      <w:r>
        <w:t xml:space="preserve">: A pairwise cross-attention framework with adaptive gating that fuses IoT (128-dim), crisis vision–text (1024-dim), and satellite (640-dim) embeddings, achieving 99.41% priority accuracy—a 30.45 percentage point improvement over crisis-only baseline.</w:t>
      </w:r>
    </w:p>
    <w:p>
      <w:pPr>
        <w:numPr>
          <w:ilvl w:val="0"/>
          <w:numId w:val="1001"/>
        </w:numPr>
      </w:pPr>
      <w:r>
        <w:rPr>
          <w:b/>
          <w:bCs/>
        </w:rPr>
        <w:t xml:space="preserve">Adaptive Confidence-Weighted Sensor Fusion</w:t>
      </w:r>
      <w:r>
        <w:t xml:space="preserve">: Per-group learned confidence estimators that automatically weight four IoT sensor groups (weather, storm, seismic, hydro) based on input content, correctly learning disaster-specific sensor importance (e.g., 99.9% storm-group reliance for storm detection).</w:t>
      </w:r>
    </w:p>
    <w:p>
      <w:pPr>
        <w:numPr>
          <w:ilvl w:val="0"/>
          <w:numId w:val="1001"/>
        </w:numPr>
      </w:pPr>
      <w:r>
        <w:rPr>
          <w:b/>
          <w:bCs/>
        </w:rPr>
        <w:t xml:space="preserve">Graceful Modality Degradation</w:t>
      </w:r>
      <w:r>
        <w:t xml:space="preserve">: A 30% modality dropout training strategy enabling robust operation with any subset of available data streams without retraining or mode switching.</w:t>
      </w:r>
    </w:p>
    <w:p>
      <w:pPr>
        <w:numPr>
          <w:ilvl w:val="0"/>
          <w:numId w:val="1001"/>
        </w:numPr>
      </w:pPr>
      <w:r>
        <w:rPr>
          <w:b/>
          <w:bCs/>
        </w:rPr>
        <w:t xml:space="preserve">Gradient-Weighted Attention Rollout</w:t>
      </w:r>
      <w:r>
        <w:t xml:space="preserve">: A novel XAI technique for Vision Transformers that combines attention maps with gradient signals, solving the failure of standard Grad-CAM on ViT architectures.</w:t>
      </w:r>
    </w:p>
    <w:p>
      <w:pPr>
        <w:numPr>
          <w:ilvl w:val="0"/>
          <w:numId w:val="1001"/>
        </w:numPr>
      </w:pPr>
      <w:r>
        <w:rPr>
          <w:b/>
          <w:bCs/>
        </w:rPr>
        <w:t xml:space="preserve">Comprehensive Ablation Study</w:t>
      </w:r>
      <w:r>
        <w:t xml:space="preserve">: Systematic evaluation across four modality configurations demonstrating monotonic improvement and quantifying each modality’s contribution.</w:t>
      </w:r>
    </w:p>
    <w:bookmarkEnd w:id="9"/>
    <w:bookmarkStart w:id="13" w:name="related-work"/>
    <w:p>
      <w:pPr>
        <w:pStyle w:val="Heading1"/>
      </w:pPr>
      <w:r>
        <w:t xml:space="preserve">Related Work</w:t>
      </w:r>
    </w:p>
    <w:bookmarkStart w:id="10" w:name="single-modality-disaster-analysis"/>
    <w:p>
      <w:pPr>
        <w:pStyle w:val="Heading2"/>
      </w:pPr>
      <w:r>
        <w:t xml:space="preserve">Single-Modality Disaster Analysis</w:t>
      </w:r>
    </w:p>
    <w:p>
      <w:pPr>
        <w:pStyle w:val="FirstParagraph"/>
      </w:pPr>
      <w:r>
        <w:rPr>
          <w:b/>
          <w:bCs/>
        </w:rPr>
        <w:t xml:space="preserve">Social media analysis.</w:t>
      </w:r>
      <w:r>
        <w:t xml:space="preserve"> </w:t>
      </w:r>
      <w:r>
        <w:t xml:space="preserve">The CrisisMMD dataset </w:t>
      </w:r>
      <w:r>
        <w:t xml:space="preserve"> </w:t>
      </w:r>
      <w:r>
        <w:t xml:space="preserve">established benchmarks for multimodal crisis content classification. Alam et al. demonstrated that combining image and text features improves humanitarian categorization, though their fusion strategy uses simple concatenation. CrisisNLP </w:t>
      </w:r>
      <w:r>
        <w:t xml:space="preserve"> </w:t>
      </w:r>
      <w:r>
        <w:t xml:space="preserve">and CrisisLex </w:t>
      </w:r>
      <w:r>
        <w:t xml:space="preserve"> </w:t>
      </w:r>
      <w:r>
        <w:t xml:space="preserve">focused on text-only classification. Recent work by Abavisani et al. </w:t>
      </w:r>
      <w:r>
        <w:t xml:space="preserve"> </w:t>
      </w:r>
      <w:r>
        <w:t xml:space="preserve">explored attention-based fusion for crisis tweets but did not incorporate sensor or satellite data.</w:t>
      </w:r>
    </w:p>
    <w:p>
      <w:pPr>
        <w:pStyle w:val="BodyText"/>
      </w:pPr>
      <w:r>
        <w:rPr>
          <w:b/>
          <w:bCs/>
        </w:rPr>
        <w:t xml:space="preserve">Satellite damage assessment.</w:t>
      </w:r>
      <w:r>
        <w:t xml:space="preserve"> </w:t>
      </w:r>
      <w:r>
        <w:t xml:space="preserve">The xBD dataset </w:t>
      </w:r>
      <w:r>
        <w:t xml:space="preserve"> </w:t>
      </w:r>
      <w:r>
        <w:t xml:space="preserve">provides the largest building damage assessment benchmark with pre/post-disaster satellite imagery. Winning solutions in the xView2 challenge </w:t>
      </w:r>
      <w:r>
        <w:t xml:space="preserve"> </w:t>
      </w:r>
      <w:r>
        <w:t xml:space="preserve">employed U-Net variants and segmentation architectures. Weber and Kan </w:t>
      </w:r>
      <w:r>
        <w:t xml:space="preserve"> </w:t>
      </w:r>
      <w:r>
        <w:t xml:space="preserve">applied change detection networks for damage classification. These approaches produce pixel-level outputs but lack integration with real-time sensor or social media streams.</w:t>
      </w:r>
    </w:p>
    <w:p>
      <w:pPr>
        <w:pStyle w:val="BodyText"/>
      </w:pPr>
      <w:r>
        <w:rPr>
          <w:b/>
          <w:bCs/>
        </w:rPr>
        <w:t xml:space="preserve">IoT-based monitoring.</w:t>
      </w:r>
      <w:r>
        <w:t xml:space="preserve"> </w:t>
      </w:r>
      <w:r>
        <w:t xml:space="preserve">Earthquake early warning systems </w:t>
      </w:r>
      <w:r>
        <w:t xml:space="preserve"> </w:t>
      </w:r>
      <w:r>
        <w:t xml:space="preserve">and flood monitoring networks </w:t>
      </w:r>
      <w:r>
        <w:t xml:space="preserve"> </w:t>
      </w:r>
      <w:r>
        <w:t xml:space="preserve">demonstrate the value of sensor data for disaster detection. However, these systems typically operate independently without cross-modal validation.</w:t>
      </w:r>
    </w:p>
    <w:bookmarkEnd w:id="10"/>
    <w:bookmarkStart w:id="11" w:name="multimodal-fusion-approaches"/>
    <w:p>
      <w:pPr>
        <w:pStyle w:val="Heading2"/>
      </w:pPr>
      <w:r>
        <w:t xml:space="preserve">Multimodal Fusion Approaches</w:t>
      </w:r>
    </w:p>
    <w:p>
      <w:pPr>
        <w:pStyle w:val="FirstParagraph"/>
      </w:pPr>
      <w:r>
        <w:t xml:space="preserve">Multimodal fusion in disaster contexts remains limited. Ofli et al. </w:t>
      </w:r>
      <w:r>
        <w:t xml:space="preserve"> </w:t>
      </w:r>
      <w:r>
        <w:t xml:space="preserve">combined satellite and social media data for damage assessment but used feature concatenation rather than learned attention. Rudner et al. </w:t>
      </w:r>
      <w:r>
        <w:t xml:space="preserve"> </w:t>
      </w:r>
      <w:r>
        <w:t xml:space="preserve">proposed Multi3Net for satellite multimodal fusion but focused on a single disaster type. To our knowledge, no prior work fuses all three modalities (IoT sensors, satellite imagery, and social media image–text) through a learned cross-attention mechanism with adaptive gating.</w:t>
      </w:r>
    </w:p>
    <w:bookmarkEnd w:id="11"/>
    <w:bookmarkStart w:id="12" w:name="cross-modal-attention-mechanisms"/>
    <w:p>
      <w:pPr>
        <w:pStyle w:val="Heading2"/>
      </w:pPr>
      <w:r>
        <w:t xml:space="preserve">Cross-Modal Attention Mechanisms</w:t>
      </w:r>
    </w:p>
    <w:p>
      <w:pPr>
        <w:pStyle w:val="FirstParagraph"/>
      </w:pPr>
      <w:r>
        <w:t xml:space="preserve">Transformer-based cross-attention </w:t>
      </w:r>
      <w:r>
        <w:t xml:space="preserve"> </w:t>
      </w:r>
      <w:r>
        <w:t xml:space="preserve">has shown success in vision–language tasks </w:t>
      </w:r>
      <w:r>
        <w:t xml:space="preserve">. BLIP </w:t>
      </w:r>
      <w:r>
        <w:t xml:space="preserve"> </w:t>
      </w:r>
      <w:r>
        <w:t xml:space="preserve">demonstrated effective vision–language pre-training. Our work extends pairwise cross-attention to three modalities with a learned gating mechanism, enabling each modality pair to exchange information before adaptive fusion.</w:t>
      </w:r>
    </w:p>
    <w:bookmarkEnd w:id="12"/>
    <w:bookmarkEnd w:id="13"/>
    <w:bookmarkStart w:id="37" w:name="proposed-methodology"/>
    <w:p>
      <w:pPr>
        <w:pStyle w:val="Heading1"/>
      </w:pPr>
      <w:r>
        <w:t xml:space="preserve">Proposed Methodology</w:t>
      </w:r>
    </w:p>
    <w:bookmarkStart w:id="15" w:name="system-overview"/>
    <w:p>
      <w:pPr>
        <w:pStyle w:val="Heading2"/>
      </w:pPr>
      <w:r>
        <w:t xml:space="preserve">System Overview</w:t>
      </w:r>
    </w:p>
    <w:p>
      <w:pPr>
        <w:pStyle w:val="FirstParagraph"/>
      </w:pPr>
      <w:r>
        <w:t xml:space="preserve">The proposed architecture processes three independent data streams through specialized sub-models, producing fixed-dimensional embeddings that are fused through pairwise cross-attention with adaptive gating. Fig. </w:t>
      </w:r>
      <w:hyperlink w:anchor="fig:architecture">
        <w:r>
          <w:rPr>
            <w:rStyle w:val="Hyperlink"/>
          </w:rPr>
          <w:t xml:space="preserve">1</w:t>
        </w:r>
      </w:hyperlink>
      <w:r>
        <w:t xml:space="preserve"> </w:t>
      </w:r>
      <w:r>
        <w:t xml:space="preserve">illustrates the complete pipeline.</w:t>
      </w:r>
    </w:p>
    <w:bookmarkStart w:id="14" w:name="fig:architecture"/>
    <w:tbl>
      <w:tblPr>
        <w:tblStyle w:val="FigureTable"/>
        <w:tblW w:type="auto" w:w="0"/>
        <w:jc w:val="center"/>
        <w:tblLook w:firstRow="0" w:lastRow="0" w:firstColumn="0" w:lastColumn="0"/>
      </w:tblPr>
      <w:tblGrid>
        <w:gridCol w:w="7920"/>
      </w:tblGrid>
      <w:tr>
        <w:tc>
          <w:tcPr/>
          <w:p>
            <w:pPr>
              <w:jc w:val="center"/>
            </w:pPr>
            <w:r>
              <w:t xml:space="preserve">(17,7.5)</w:t>
            </w:r>
            <w:r>
              <w:t xml:space="preserve"> </w:t>
            </w:r>
            <w:r>
              <w:t xml:space="preserve">(1.5,7)</w:t>
            </w:r>
            <w:r>
              <w:t xml:space="preserve">(3,0.6)</w:t>
            </w:r>
            <w:r>
              <w:t xml:space="preserve">IoT Sensors (32-dim)</w:t>
            </w:r>
            <w:r>
              <w:t xml:space="preserve"> </w:t>
            </w:r>
            <w:r>
              <w:t xml:space="preserve">(7,7)</w:t>
            </w:r>
            <w:r>
              <w:t xml:space="preserve">(3.5,0.6)</w:t>
            </w:r>
            <w:r>
              <w:t xml:space="preserve">Image + Text (Social Media)</w:t>
            </w:r>
            <w:r>
              <w:t xml:space="preserve"> </w:t>
            </w:r>
            <w:r>
              <w:t xml:space="preserve">(12.5,7)</w:t>
            </w:r>
            <w:r>
              <w:t xml:space="preserve">(3.5,0.6)</w:t>
            </w:r>
            <w:r>
              <w:t xml:space="preserve">Satellite Image (512</w:t>
            </w:r>
            <m:oMath>
              <m:r>
                <m:rPr>
                  <m:sty m:val="p"/>
                </m:rPr>
                <m:t>×</m:t>
              </m:r>
            </m:oMath>
            <w:r>
              <w:t xml:space="preserve">512)</w:t>
            </w:r>
          </w:p>
          <w:p>
            <w:pPr>
              <w:jc w:val="center"/>
            </w:pPr>
            <w:r>
              <w:t xml:space="preserve">(3,7)</w:t>
            </w:r>
            <w:r>
              <w:t xml:space="preserve">(0,-1)</w:t>
            </w:r>
            <w:r>
              <w:t xml:space="preserve">0.7</w:t>
            </w:r>
            <w:r>
              <w:t xml:space="preserve"> </w:t>
            </w:r>
            <w:r>
              <w:t xml:space="preserve">(8.75,7)</w:t>
            </w:r>
            <w:r>
              <w:t xml:space="preserve">(0,-1)</w:t>
            </w:r>
            <w:r>
              <w:t xml:space="preserve">0.7</w:t>
            </w:r>
            <w:r>
              <w:t xml:space="preserve"> </w:t>
            </w:r>
            <w:r>
              <w:t xml:space="preserve">(14.25,7)</w:t>
            </w:r>
            <w:r>
              <w:t xml:space="preserve">(0,-1)</w:t>
            </w:r>
            <w:r>
              <w:t xml:space="preserve">0.7</w:t>
            </w:r>
          </w:p>
          <w:p>
            <w:pPr>
              <w:jc w:val="center"/>
            </w:pPr>
            <w:r>
              <w:t xml:space="preserve">(0.8,5.6)</w:t>
            </w:r>
            <w:r>
              <w:t xml:space="preserve">(4.4,0.7)</w:t>
            </w:r>
            <w:r>
              <w:t xml:space="preserve">AdaptiveIoTClassifier</w:t>
            </w:r>
            <w:r>
              <w:t xml:space="preserve"> </w:t>
            </w:r>
            <w:r>
              <w:t xml:space="preserve">(6,5.6)</w:t>
            </w:r>
            <w:r>
              <w:t xml:space="preserve">(5.5,0.7)</w:t>
            </w:r>
            <w:r>
              <w:t xml:space="preserve">AdaptiveFusionClassifier (BLIP+XLM-R)</w:t>
            </w:r>
            <w:r>
              <w:t xml:space="preserve"> </w:t>
            </w:r>
            <w:r>
              <w:t xml:space="preserve">(12,5.6)</w:t>
            </w:r>
            <w:r>
              <w:t xml:space="preserve">(4,0.7)</w:t>
            </w:r>
            <w:r>
              <w:t xml:space="preserve">DeepLabV3+ (Modified)</w:t>
            </w:r>
          </w:p>
          <w:p>
            <w:pPr>
              <w:jc w:val="center"/>
            </w:pPr>
            <w:r>
              <w:t xml:space="preserve">(1.5,5.2)</w:t>
            </w:r>
            <w:r>
              <w:t xml:space="preserve">[128-dim embedding]</w:t>
            </w:r>
            <w:r>
              <w:t xml:space="preserve"> </w:t>
            </w:r>
            <w:r>
              <w:t xml:space="preserve">(7,5.2)</w:t>
            </w:r>
            <w:r>
              <w:t xml:space="preserve">[1024-dim embedding]</w:t>
            </w:r>
            <w:r>
              <w:t xml:space="preserve"> </w:t>
            </w:r>
            <w:r>
              <w:t xml:space="preserve">(12.3,5.2)</w:t>
            </w:r>
            <w:r>
              <w:t xml:space="preserve">[640-dim embedding]</w:t>
            </w:r>
          </w:p>
          <w:p>
            <w:pPr>
              <w:jc w:val="center"/>
            </w:pPr>
            <w:r>
              <w:t xml:space="preserve">(3,5.2)</w:t>
            </w:r>
            <w:r>
              <w:t xml:space="preserve">(2,-3)</w:t>
            </w:r>
            <w:r>
              <w:t xml:space="preserve">1.5</w:t>
            </w:r>
            <w:r>
              <w:t xml:space="preserve"> </w:t>
            </w:r>
            <w:r>
              <w:t xml:space="preserve">(8.75,5.2)</w:t>
            </w:r>
            <w:r>
              <w:t xml:space="preserve">(0,-1)</w:t>
            </w:r>
            <w:r>
              <w:t xml:space="preserve">1.5</w:t>
            </w:r>
            <w:r>
              <w:t xml:space="preserve"> </w:t>
            </w:r>
            <w:r>
              <w:t xml:space="preserve">(14,5.2)</w:t>
            </w:r>
            <w:r>
              <w:t xml:space="preserve">(-2,-3)</w:t>
            </w:r>
            <w:r>
              <w:t xml:space="preserve">1.5</w:t>
            </w:r>
          </w:p>
          <w:p>
            <w:pPr>
              <w:jc w:val="center"/>
            </w:pPr>
            <w:r>
              <w:t xml:space="preserve">(4.5,2.8)</w:t>
            </w:r>
            <w:r>
              <w:t xml:space="preserve">(8.5,0.8)</w:t>
            </w:r>
            <w:r>
              <w:t xml:space="preserve">TriFusionLayer (3 Pairwise Cross-Attention + Adaptive Gating)</w:t>
            </w:r>
          </w:p>
          <w:p>
            <w:pPr>
              <w:jc w:val="center"/>
            </w:pPr>
            <w:r>
              <w:t xml:space="preserve">(5.5,2.8)</w:t>
            </w:r>
            <w:r>
              <w:t xml:space="preserve">(0,-1)</w:t>
            </w:r>
            <w:r>
              <w:t xml:space="preserve">0.8</w:t>
            </w:r>
            <w:r>
              <w:t xml:space="preserve"> </w:t>
            </w:r>
            <w:r>
              <w:t xml:space="preserve">(7.25,2.8)</w:t>
            </w:r>
            <w:r>
              <w:t xml:space="preserve">(0,-1)</w:t>
            </w:r>
            <w:r>
              <w:t xml:space="preserve">0.8</w:t>
            </w:r>
            <w:r>
              <w:t xml:space="preserve"> </w:t>
            </w:r>
            <w:r>
              <w:t xml:space="preserve">(9,2.8)</w:t>
            </w:r>
            <w:r>
              <w:t xml:space="preserve">(0,-1)</w:t>
            </w:r>
            <w:r>
              <w:t xml:space="preserve">0.8</w:t>
            </w:r>
            <w:r>
              <w:t xml:space="preserve"> </w:t>
            </w:r>
            <w:r>
              <w:t xml:space="preserve">(10.75,2.8)</w:t>
            </w:r>
            <w:r>
              <w:t xml:space="preserve">(0,-1)</w:t>
            </w:r>
            <w:r>
              <w:t xml:space="preserve">0.8</w:t>
            </w:r>
            <w:r>
              <w:t xml:space="preserve"> </w:t>
            </w:r>
            <w:r>
              <w:t xml:space="preserve">(12.25,2.8)</w:t>
            </w:r>
            <w:r>
              <w:t xml:space="preserve">(0,-1)</w:t>
            </w:r>
            <w:r>
              <w:t xml:space="preserve">0.8</w:t>
            </w:r>
          </w:p>
          <w:p>
            <w:pPr>
              <w:jc w:val="center"/>
            </w:pPr>
            <w:r>
              <w:t xml:space="preserve">(4.7,1.5)</w:t>
            </w:r>
            <w:r>
              <w:t xml:space="preserve">(1.6,0.5)</w:t>
            </w:r>
            <w:r>
              <w:t xml:space="preserve">Severity</w:t>
            </w:r>
            <w:r>
              <w:t xml:space="preserve"> </w:t>
            </w:r>
            <w:r>
              <w:t xml:space="preserve">(6.5,1.5)</w:t>
            </w:r>
            <w:r>
              <w:t xml:space="preserve">(1.6,0.5)</w:t>
            </w:r>
            <w:r>
              <w:t xml:space="preserve">Priority</w:t>
            </w:r>
            <w:r>
              <w:t xml:space="preserve"> </w:t>
            </w:r>
            <w:r>
              <w:t xml:space="preserve">(8.3,1.5)</w:t>
            </w:r>
            <w:r>
              <w:t xml:space="preserve">(1.5,0.5)</w:t>
            </w:r>
            <w:r>
              <w:t xml:space="preserve">Disaster</w:t>
            </w:r>
            <w:r>
              <w:t xml:space="preserve"> </w:t>
            </w:r>
            <w:r>
              <w:t xml:space="preserve">(10,1.5)</w:t>
            </w:r>
            <w:r>
              <w:t xml:space="preserve">(1.7,0.5)</w:t>
            </w:r>
            <w:r>
              <w:t xml:space="preserve">Population</w:t>
            </w:r>
            <w:r>
              <w:t xml:space="preserve"> </w:t>
            </w:r>
            <w:r>
              <w:t xml:space="preserve">(11.8,1.5)</w:t>
            </w:r>
            <w:r>
              <w:t xml:space="preserve">(1.6,0.5)</w:t>
            </w:r>
            <w:r>
              <w:t xml:space="preserve">Resources</w:t>
            </w:r>
          </w:p>
          <w:p>
            <w:pPr>
              <w:jc w:val="center"/>
            </w:pPr>
            <w:r>
              <w:t xml:space="preserve">(4.9,1.1)</w:t>
            </w:r>
            <w:r>
              <w:t xml:space="preserve">(regression)</w:t>
            </w:r>
            <w:r>
              <w:t xml:space="preserve"> </w:t>
            </w:r>
            <w:r>
              <w:t xml:space="preserve">(6.7,1.1)</w:t>
            </w:r>
            <w:r>
              <w:t xml:space="preserve">(4-class)</w:t>
            </w:r>
            <w:r>
              <w:t xml:space="preserve"> </w:t>
            </w:r>
            <w:r>
              <w:t xml:space="preserve">(8.4,1.1)</w:t>
            </w:r>
            <w:r>
              <w:t xml:space="preserve">(5-class)</w:t>
            </w:r>
            <w:r>
              <w:t xml:space="preserve"> </w:t>
            </w:r>
            <w:r>
              <w:t xml:space="preserve">(10.2,1.1)</w:t>
            </w:r>
            <w:r>
              <w:t xml:space="preserve">(regression)</w:t>
            </w:r>
            <w:r>
              <w:t xml:space="preserve"> </w:t>
            </w:r>
            <w:r>
              <w:t xml:space="preserve">(12,1.1)</w:t>
            </w:r>
            <w:r>
              <w:t xml:space="preserve">(4-dim)</w:t>
            </w:r>
          </w:p>
        </w:tc>
      </w:tr>
    </w:tbl>
    <w:p>
      <w:pPr>
        <w:pStyle w:val="ImageCaption"/>
      </w:pPr>
      <w:r>
        <w:t xml:space="preserve">End-to-end architecture of the Tri-Modal Fusion pipeline. Three specialized sub-models produce fixed-dimensional embeddings that are fused through pairwise cross-attention with a learned modality gate.</w:t>
      </w:r>
    </w:p>
    <w:bookmarkEnd w:id="14"/>
    <w:bookmarkEnd w:id="15"/>
    <w:bookmarkStart w:id="21" w:name="adaptiveiotclassifier"/>
    <w:p>
      <w:pPr>
        <w:pStyle w:val="Heading2"/>
      </w:pPr>
      <w:r>
        <w:t xml:space="preserve">AdaptiveIoTClassifier</w:t>
      </w:r>
    </w:p>
    <w:p>
      <w:pPr>
        <w:pStyle w:val="FirstParagraph"/>
      </w:pPr>
      <w:r>
        <w:t xml:space="preserve">The IoT sub-model processes a unified 32-dimensional sensor vector encoding four sensor groups—weather, storm, seismic, and hydrological—each occupying 8 dimensions with consistent</w:t>
      </w:r>
      <w:r>
        <w:t xml:space="preserve"> </w:t>
      </w:r>
      <m:oMath>
        <m:r>
          <m:rPr>
            <m:sty m:val="p"/>
          </m:rPr>
          <m:t>[</m:t>
        </m:r>
        <m:r>
          <m:t>0</m:t>
        </m:r>
        <m:r>
          <m:rPr>
            <m:sty m:val="p"/>
          </m:rPr>
          <m:t>,</m:t>
        </m:r>
        <m:r>
          <m:t>1</m:t>
        </m:r>
        <m:r>
          <m:rPr>
            <m:sty m:val="p"/>
          </m:rPr>
          <m:t>]</m:t>
        </m:r>
      </m:oMath>
      <w:r>
        <w:t xml:space="preserve"> </w:t>
      </w:r>
      <w:r>
        <w:t xml:space="preserve">normalization.</w:t>
      </w:r>
    </w:p>
    <w:bookmarkStart w:id="16" w:name="sensor-group-encoding"/>
    <w:p>
      <w:pPr>
        <w:pStyle w:val="Heading3"/>
      </w:pPr>
      <w:r>
        <w:t xml:space="preserve">Sensor Group Encoding</w:t>
      </w:r>
    </w:p>
    <w:p>
      <w:pPr>
        <w:pStyle w:val="FirstParagraph"/>
      </w:pPr>
      <w:r>
        <w:t xml:space="preserve">The 32-dim input is split into four 8-dim groups, each processed by an independent encoder:</w:t>
      </w:r>
    </w:p>
    <w:p>
      <w:pPr>
        <w:pStyle w:val="BodyText"/>
      </w:pPr>
      <m:oMathPara>
        <m:oMathParaPr>
          <m:jc m:val="center"/>
        </m:oMathParaPr>
        <m:oMath>
          <m:sSub>
            <m:e>
              <m:r>
                <m:rPr>
                  <m:sty m:val="b"/>
                </m:rPr>
                <m:t>h</m:t>
              </m:r>
            </m:e>
            <m:sub>
              <m:r>
                <m:t>i</m:t>
              </m:r>
            </m:sub>
          </m:sSub>
          <m:r>
            <m:rPr>
              <m:sty m:val="p"/>
            </m:rPr>
            <m:t>=</m:t>
          </m:r>
          <m:sSub>
            <m:e>
              <m:r>
                <m:rPr>
                  <m:nor/>
                  <m:sty m:val="p"/>
                </m:rPr>
                <m:t>MLP</m:t>
              </m:r>
            </m:e>
            <m:sub>
              <m:r>
                <m:t>i</m:t>
              </m:r>
            </m:sub>
          </m:sSub>
          <m:r>
            <m:rPr>
              <m:sty m:val="p"/>
            </m:rPr>
            <m:t>(</m:t>
          </m:r>
          <m:sSub>
            <m:e>
              <m:r>
                <m:rPr>
                  <m:sty m:val="b"/>
                </m:rPr>
                <m:t>x</m:t>
              </m:r>
            </m:e>
            <m:sub>
              <m:r>
                <m:rPr>
                  <m:sty m:val="p"/>
                </m:rPr>
                <m:t>[</m:t>
              </m:r>
              <m:r>
                <m:t>8</m:t>
              </m:r>
              <m:r>
                <m:t>i</m:t>
              </m:r>
              <m:r>
                <m:rPr>
                  <m:sty m:val="p"/>
                </m:rPr>
                <m:t>:</m:t>
              </m:r>
              <m:r>
                <m:t>8</m:t>
              </m:r>
              <m:r>
                <m:rPr>
                  <m:sty m:val="p"/>
                </m:rPr>
                <m:t>(</m:t>
              </m:r>
              <m:r>
                <m:t>i</m:t>
              </m:r>
              <m:r>
                <m:rPr>
                  <m:sty m:val="p"/>
                </m:rPr>
                <m:t>+</m:t>
              </m:r>
              <m:r>
                <m:t>1</m:t>
              </m:r>
              <m:r>
                <m:rPr>
                  <m:sty m:val="p"/>
                </m:rPr>
                <m:t>)</m:t>
              </m:r>
              <m:r>
                <m:rPr>
                  <m:sty m:val="p"/>
                </m:rPr>
                <m:t>]</m:t>
              </m:r>
            </m:sub>
          </m:sSub>
          <m:r>
            <m:rPr>
              <m:sty m:val="p"/>
            </m:rPr>
            <m:t>)</m:t>
          </m:r>
          <m:r>
            <m:rPr>
              <m:sty m:val="p"/>
            </m:rPr>
            <m:t>,</m:t>
          </m:r>
          <m:r>
            <m:t> </m:t>
          </m:r>
          <m:r>
            <m:t>i</m:t>
          </m:r>
          <m:r>
            <m:rPr>
              <m:sty m:val="p"/>
            </m:rPr>
            <m:t>∈</m:t>
          </m:r>
          <m:r>
            <m:rPr>
              <m:sty m:val="p"/>
            </m:rPr>
            <m:t>{</m:t>
          </m:r>
          <m:r>
            <m:t>0</m:t>
          </m:r>
          <m:r>
            <m:rPr>
              <m:sty m:val="p"/>
            </m:rPr>
            <m:t>,</m:t>
          </m:r>
          <m:r>
            <m:t>1</m:t>
          </m:r>
          <m:r>
            <m:rPr>
              <m:sty m:val="p"/>
            </m:rPr>
            <m:t>,</m:t>
          </m:r>
          <m:r>
            <m:t>2</m:t>
          </m:r>
          <m:r>
            <m:rPr>
              <m:sty m:val="p"/>
            </m:rPr>
            <m:t>,</m:t>
          </m:r>
          <m:r>
            <m:t>3</m:t>
          </m:r>
          <m:r>
            <m:rPr>
              <m:sty m:val="p"/>
            </m:rPr>
            <m:t>}</m:t>
          </m:r>
        </m:oMath>
      </m:oMathPara>
    </w:p>
    <w:p>
      <w:pPr>
        <w:pStyle w:val="FirstParagraph"/>
      </w:pPr>
      <w:r>
        <w:t xml:space="preserve">where each</w:t>
      </w:r>
      <w:r>
        <w:t xml:space="preserve"> </w:t>
      </w:r>
      <m:oMath>
        <m:sSub>
          <m:e>
            <m:r>
              <m:rPr>
                <m:nor/>
                <m:sty m:val="p"/>
              </m:rPr>
              <m:t>MLP</m:t>
            </m:r>
          </m:e>
          <m:sub>
            <m:r>
              <m:t>i</m:t>
            </m:r>
          </m:sub>
        </m:sSub>
      </m:oMath>
      <w:r>
        <w:t xml:space="preserve"> </w:t>
      </w:r>
      <w:r>
        <w:t xml:space="preserve">maps</w:t>
      </w:r>
      <w:r>
        <w:t xml:space="preserve"> </w:t>
      </w:r>
      <m:oMath>
        <m:sSup>
          <m:e>
            <m:r>
              <m:rPr>
                <m:scr m:val="double-struck"/>
                <m:sty m:val="p"/>
              </m:rPr>
              <m:t>R</m:t>
            </m:r>
          </m:e>
          <m:sup>
            <m:r>
              <m:t>8</m:t>
            </m:r>
          </m:sup>
        </m:sSup>
        <m:r>
          <m:rPr>
            <m:sty m:val="p"/>
          </m:rPr>
          <m:t>→</m:t>
        </m:r>
        <m:sSup>
          <m:e>
            <m:r>
              <m:rPr>
                <m:scr m:val="double-struck"/>
                <m:sty m:val="p"/>
              </m:rPr>
              <m:t>R</m:t>
            </m:r>
          </m:e>
          <m:sup>
            <m:r>
              <m:t>128</m:t>
            </m:r>
          </m:sup>
        </m:sSup>
      </m:oMath>
      <w:r>
        <w:t xml:space="preserve"> </w:t>
      </w:r>
      <w:r>
        <w:t xml:space="preserve">through two linear layers with ReLU activation, batch normalization, and dropout.</w:t>
      </w:r>
    </w:p>
    <w:bookmarkEnd w:id="16"/>
    <w:bookmarkStart w:id="18" w:name="confidence-weighted-fusion"/>
    <w:p>
      <w:pPr>
        <w:pStyle w:val="Heading3"/>
      </w:pPr>
      <w:r>
        <w:t xml:space="preserve">Confidence-Weighted Fusion</w:t>
      </w:r>
    </w:p>
    <w:p>
      <w:pPr>
        <w:pStyle w:val="FirstParagraph"/>
      </w:pPr>
      <w:r>
        <w:t xml:space="preserve">Each sensor group has a learned</w:t>
      </w:r>
      <w:r>
        <w:t xml:space="preserve"> </w:t>
      </w:r>
      <w:r>
        <w:rPr>
          <w:rStyle w:val="VerbatimChar"/>
        </w:rPr>
        <w:t xml:space="preserve">SensorConfidenceEstimator</w:t>
      </w:r>
      <w:r>
        <w:t xml:space="preserve"> </w:t>
      </w:r>
      <w:r>
        <w:t xml:space="preserve">network that outputs a scalar confidence:</w:t>
      </w:r>
    </w:p>
    <w:p>
      <w:pPr>
        <w:pStyle w:val="BodyText"/>
      </w:pPr>
      <m:oMathPara>
        <m:oMathParaPr>
          <m:jc m:val="center"/>
        </m:oMathParaPr>
        <m:oMath>
          <m:sSub>
            <m:e>
              <m:r>
                <m:t>c</m:t>
              </m:r>
            </m:e>
            <m:sub>
              <m:r>
                <m:t>i</m:t>
              </m:r>
            </m:sub>
          </m:sSub>
          <m:r>
            <m:rPr>
              <m:sty m:val="p"/>
            </m:rPr>
            <m:t>=</m:t>
          </m:r>
          <m:r>
            <m:t>σ</m:t>
          </m:r>
          <m:r>
            <m:rPr>
              <m:sty m:val="p"/>
            </m:rPr>
            <m:t>(</m:t>
          </m:r>
          <m:sSubSup>
            <m:e>
              <m:r>
                <m:rPr>
                  <m:nor/>
                  <m:sty m:val="p"/>
                </m:rPr>
                <m:t>MLP</m:t>
              </m:r>
            </m:e>
            <m:sub>
              <m:r>
                <m:t>i</m:t>
              </m:r>
            </m:sub>
            <m:sup>
              <m:r>
                <m:t>c</m:t>
              </m:r>
            </m:sup>
          </m:sSubSup>
          <m:r>
            <m:rPr>
              <m:sty m:val="p"/>
            </m:rPr>
            <m:t>(</m:t>
          </m:r>
          <m:sSub>
            <m:e>
              <m:r>
                <m:rPr>
                  <m:sty m:val="b"/>
                </m:rPr>
                <m:t>h</m:t>
              </m:r>
            </m:e>
            <m:sub>
              <m:r>
                <m:t>i</m:t>
              </m:r>
            </m:sub>
          </m:sSub>
          <m:r>
            <m:rPr>
              <m:sty m:val="p"/>
            </m:rPr>
            <m:t>)</m:t>
          </m:r>
          <m:r>
            <m:rPr>
              <m:sty m:val="p"/>
            </m:rPr>
            <m:t>)</m:t>
          </m:r>
          <m:r>
            <m:rPr>
              <m:sty m:val="p"/>
            </m:rPr>
            <m:t>,</m:t>
          </m:r>
          <m:r>
            <m:t> </m:t>
          </m:r>
          <m:sSub>
            <m:e>
              <m:r>
                <m:t>c</m:t>
              </m:r>
            </m:e>
            <m:sub>
              <m:r>
                <m:t>i</m:t>
              </m:r>
            </m:sub>
          </m:sSub>
          <m:r>
            <m:rPr>
              <m:sty m:val="p"/>
            </m:rPr>
            <m:t>∈</m:t>
          </m:r>
          <m:r>
            <m:rPr>
              <m:sty m:val="p"/>
            </m:rPr>
            <m:t>(</m:t>
          </m:r>
          <m:r>
            <m:t>0</m:t>
          </m:r>
          <m:r>
            <m:rPr>
              <m:sty m:val="p"/>
            </m:rPr>
            <m:t>,</m:t>
          </m:r>
          <m:r>
            <m:t>1</m:t>
          </m:r>
          <m:r>
            <m:rPr>
              <m:sty m:val="p"/>
            </m:rPr>
            <m:t>)</m:t>
          </m:r>
        </m:oMath>
      </m:oMathPara>
    </w:p>
    <w:p>
      <w:pPr>
        <w:pStyle w:val="FirstParagraph"/>
      </w:pPr>
      <m:oMathPara>
        <m:oMathParaPr>
          <m:jc m:val="center"/>
        </m:oMathParaPr>
        <m:oMath>
          <m:sSub>
            <m:e>
              <m:r>
                <m:t>w</m:t>
              </m:r>
            </m:e>
            <m:sub>
              <m:r>
                <m:t>i</m:t>
              </m:r>
            </m:sub>
          </m:sSub>
          <m:r>
            <m:rPr>
              <m:sty m:val="p"/>
            </m:rPr>
            <m:t>=</m:t>
          </m:r>
          <m:f>
            <m:fPr>
              <m:type m:val="bar"/>
            </m:fPr>
            <m:num>
              <m:sSub>
                <m:e>
                  <m:r>
                    <m:t>c</m:t>
                  </m:r>
                </m:e>
                <m:sub>
                  <m:r>
                    <m:t>i</m:t>
                  </m:r>
                </m:sub>
              </m:sSub>
            </m:num>
            <m:den>
              <m:nary>
                <m:naryPr>
                  <m:chr m:val="∑"/>
                  <m:limLoc m:val="undOvr"/>
                  <m:subHide m:val="off"/>
                  <m:supHide m:val="off"/>
                </m:naryPr>
                <m:sub>
                  <m:r>
                    <m:t>j</m:t>
                  </m:r>
                  <m:r>
                    <m:rPr>
                      <m:sty m:val="p"/>
                    </m:rPr>
                    <m:t>=</m:t>
                  </m:r>
                  <m:r>
                    <m:t>0</m:t>
                  </m:r>
                </m:sub>
                <m:sup>
                  <m:r>
                    <m:t>3</m:t>
                  </m:r>
                </m:sup>
                <m:e>
                  <m:sSub>
                    <m:e>
                      <m:r>
                        <m:t>c</m:t>
                      </m:r>
                    </m:e>
                    <m:sub>
                      <m:r>
                        <m:t>j</m:t>
                      </m:r>
                    </m:sub>
                  </m:sSub>
                </m:e>
              </m:nary>
              <m:r>
                <m:rPr>
                  <m:sty m:val="p"/>
                </m:rPr>
                <m:t>+</m:t>
              </m:r>
              <m:r>
                <m:t>ϵ</m:t>
              </m:r>
            </m:den>
          </m:f>
          <m:r>
            <m:rPr>
              <m:sty m:val="p"/>
            </m:rPr>
            <m:t>,</m:t>
          </m:r>
          <m:r>
            <m:t> </m:t>
          </m:r>
          <m:sSub>
            <m:e>
              <m:acc>
                <m:accPr>
                  <m:chr m:val="̃"/>
                </m:accPr>
                <m:e>
                  <m:r>
                    <m:rPr>
                      <m:sty m:val="b"/>
                    </m:rPr>
                    <m:t>h</m:t>
                  </m:r>
                </m:e>
              </m:acc>
            </m:e>
            <m:sub>
              <m:r>
                <m:t>i</m:t>
              </m:r>
            </m:sub>
          </m:sSub>
          <m:r>
            <m:rPr>
              <m:sty m:val="p"/>
            </m:rPr>
            <m:t>=</m:t>
          </m:r>
          <m:sSub>
            <m:e>
              <m:r>
                <m:t>w</m:t>
              </m:r>
            </m:e>
            <m:sub>
              <m:r>
                <m:t>i</m:t>
              </m:r>
            </m:sub>
          </m:sSub>
          <m:r>
            <m:rPr>
              <m:sty m:val="p"/>
            </m:rPr>
            <m:t>⋅</m:t>
          </m:r>
          <m:sSub>
            <m:e>
              <m:r>
                <m:rPr>
                  <m:sty m:val="b"/>
                </m:rPr>
                <m:t>h</m:t>
              </m:r>
            </m:e>
            <m:sub>
              <m:r>
                <m:t>i</m:t>
              </m:r>
            </m:sub>
          </m:sSub>
        </m:oMath>
      </m:oMathPara>
    </w:p>
    <w:p>
      <w:pPr>
        <w:pStyle w:val="FirstParagraph"/>
      </w:pPr>
      <w:r>
        <w:t xml:space="preserve">This mechanism automatically suppresses irrelevant sensor groups. Table </w:t>
      </w:r>
      <w:hyperlink w:anchor="tab:sensor_weights">
        <w:r>
          <w:rPr>
            <w:rStyle w:val="Hyperlink"/>
          </w:rPr>
          <w:t xml:space="preserve">1</w:t>
        </w:r>
      </w:hyperlink>
      <w:r>
        <w:t xml:space="preserve"> </w:t>
      </w:r>
      <w:r>
        <w:t xml:space="preserve">shows the learned weights correctly reflect disaster-specific sensor importance.</w:t>
      </w:r>
    </w:p>
    <w:bookmarkStart w:id="17" w:name="tab:sensor_weights"/>
    <w:p>
      <w:pPr>
        <w:pStyle w:val="TableCaption"/>
      </w:pPr>
      <w:r>
        <w:t xml:space="preserve">Learned Sensor Group Weights by Disaster Type</w:t>
      </w:r>
    </w:p>
    <w:tbl>
      <w:tblPr>
        <w:tblStyle w:val="Table"/>
        <w:tblW w:type="auto" w:w="0"/>
        <w:tblLook w:firstRow="1" w:lastRow="0" w:firstColumn="0" w:lastColumn="0" w:noHBand="0" w:noVBand="0" w:val="0020"/>
        <w:tblCaption w:val="Learned Sensor Group Weights by Disaster Type"/>
      </w:tblPr>
      <w:tblGrid>
        <w:gridCol w:w="1584"/>
        <w:gridCol w:w="1584"/>
        <w:gridCol w:w="1584"/>
        <w:gridCol w:w="1584"/>
        <w:gridCol w:w="1584"/>
      </w:tblGrid>
      <w:tr>
        <w:trPr>
          <w:tblHeader w:val="on"/>
        </w:trPr>
        <w:tc>
          <w:tcPr/>
          <w:p>
            <w:pPr>
              <w:pStyle w:val="Compact"/>
              <w:jc w:val="left"/>
            </w:pPr>
            <w:r>
              <w:rPr>
                <w:b/>
                <w:bCs/>
              </w:rPr>
              <w:t xml:space="preserve">Disaster</w:t>
            </w:r>
          </w:p>
        </w:tc>
        <w:tc>
          <w:tcPr/>
          <w:p>
            <w:pPr>
              <w:pStyle w:val="Compact"/>
              <w:jc w:val="center"/>
            </w:pPr>
            <w:r>
              <w:rPr>
                <w:b/>
                <w:bCs/>
              </w:rPr>
              <w:t xml:space="preserve">Weather</w:t>
            </w:r>
          </w:p>
        </w:tc>
        <w:tc>
          <w:tcPr/>
          <w:p>
            <w:pPr>
              <w:pStyle w:val="Compact"/>
              <w:jc w:val="center"/>
            </w:pPr>
            <w:r>
              <w:rPr>
                <w:b/>
                <w:bCs/>
              </w:rPr>
              <w:t xml:space="preserve">Storm</w:t>
            </w:r>
          </w:p>
        </w:tc>
        <w:tc>
          <w:tcPr/>
          <w:p>
            <w:pPr>
              <w:pStyle w:val="Compact"/>
              <w:jc w:val="center"/>
            </w:pPr>
            <w:r>
              <w:rPr>
                <w:b/>
                <w:bCs/>
              </w:rPr>
              <w:t xml:space="preserve">Seismic</w:t>
            </w:r>
          </w:p>
        </w:tc>
        <w:tc>
          <w:tcPr/>
          <w:p>
            <w:pPr>
              <w:pStyle w:val="Compact"/>
              <w:jc w:val="center"/>
            </w:pPr>
            <w:r>
              <w:rPr>
                <w:b/>
                <w:bCs/>
              </w:rPr>
              <w:t xml:space="preserve">Hydro</w:t>
            </w:r>
          </w:p>
        </w:tc>
      </w:tr>
      <w:tr>
        <w:tc>
          <w:tcPr/>
          <w:p>
            <w:pPr>
              <w:pStyle w:val="Compact"/>
              <w:jc w:val="left"/>
            </w:pPr>
            <w:r>
              <w:t xml:space="preserve">Fire</w:t>
            </w:r>
          </w:p>
        </w:tc>
        <w:tc>
          <w:tcPr/>
          <w:p>
            <w:pPr>
              <w:pStyle w:val="Compact"/>
              <w:jc w:val="center"/>
            </w:pPr>
            <w:r>
              <w:rPr>
                <w:b/>
                <w:bCs/>
              </w:rPr>
              <w:t xml:space="preserve">0.758</w:t>
            </w:r>
          </w:p>
        </w:tc>
        <w:tc>
          <w:tcPr/>
          <w:p>
            <w:pPr>
              <w:pStyle w:val="Compact"/>
              <w:jc w:val="center"/>
            </w:pPr>
            <w:r>
              <w:t xml:space="preserve">0.241</w:t>
            </w:r>
          </w:p>
        </w:tc>
        <w:tc>
          <w:tcPr/>
          <w:p>
            <w:pPr>
              <w:pStyle w:val="Compact"/>
              <w:jc w:val="center"/>
            </w:pPr>
            <m:oMath>
              <m:r>
                <m:rPr>
                  <m:sty m:val="p"/>
                </m:rPr>
                <m:t>∼</m:t>
              </m:r>
            </m:oMath>
            <w:r>
              <w:t xml:space="preserve">0.000</w:t>
            </w:r>
          </w:p>
        </w:tc>
        <w:tc>
          <w:tcPr/>
          <w:p>
            <w:pPr>
              <w:pStyle w:val="Compact"/>
              <w:jc w:val="center"/>
            </w:pPr>
            <m:oMath>
              <m:r>
                <m:rPr>
                  <m:sty m:val="p"/>
                </m:rPr>
                <m:t>∼</m:t>
              </m:r>
            </m:oMath>
            <w:r>
              <w:t xml:space="preserve">0.000</w:t>
            </w:r>
          </w:p>
        </w:tc>
      </w:tr>
      <w:tr>
        <w:tc>
          <w:tcPr/>
          <w:p>
            <w:pPr>
              <w:pStyle w:val="Compact"/>
              <w:jc w:val="left"/>
            </w:pPr>
            <w:r>
              <w:t xml:space="preserve">Storm</w:t>
            </w:r>
          </w:p>
        </w:tc>
        <w:tc>
          <w:tcPr/>
          <w:p>
            <w:pPr>
              <w:pStyle w:val="Compact"/>
              <w:jc w:val="center"/>
            </w:pPr>
            <m:oMath>
              <m:r>
                <m:rPr>
                  <m:sty m:val="p"/>
                </m:rPr>
                <m:t>∼</m:t>
              </m:r>
            </m:oMath>
            <w:r>
              <w:t xml:space="preserve">0.000</w:t>
            </w:r>
          </w:p>
        </w:tc>
        <w:tc>
          <w:tcPr/>
          <w:p>
            <w:pPr>
              <w:pStyle w:val="Compact"/>
              <w:jc w:val="center"/>
            </w:pPr>
            <w:r>
              <w:rPr>
                <w:b/>
                <w:bCs/>
              </w:rPr>
              <w:t xml:space="preserve">0.999</w:t>
            </w:r>
          </w:p>
        </w:tc>
        <w:tc>
          <w:tcPr/>
          <w:p>
            <w:pPr>
              <w:pStyle w:val="Compact"/>
              <w:jc w:val="center"/>
            </w:pPr>
            <m:oMath>
              <m:r>
                <m:rPr>
                  <m:sty m:val="p"/>
                </m:rPr>
                <m:t>∼</m:t>
              </m:r>
            </m:oMath>
            <w:r>
              <w:t xml:space="preserve">0.000</w:t>
            </w:r>
          </w:p>
        </w:tc>
        <w:tc>
          <w:tcPr/>
          <w:p>
            <w:pPr>
              <w:pStyle w:val="Compact"/>
              <w:jc w:val="center"/>
            </w:pPr>
            <m:oMath>
              <m:r>
                <m:rPr>
                  <m:sty m:val="p"/>
                </m:rPr>
                <m:t>∼</m:t>
              </m:r>
            </m:oMath>
            <w:r>
              <w:t xml:space="preserve">0.000</w:t>
            </w:r>
          </w:p>
        </w:tc>
      </w:tr>
      <w:tr>
        <w:tc>
          <w:tcPr/>
          <w:p>
            <w:pPr>
              <w:pStyle w:val="Compact"/>
              <w:jc w:val="left"/>
            </w:pPr>
            <w:r>
              <w:t xml:space="preserve">Earthquake</w:t>
            </w:r>
          </w:p>
        </w:tc>
        <w:tc>
          <w:tcPr/>
          <w:p>
            <w:pPr>
              <w:pStyle w:val="Compact"/>
              <w:jc w:val="center"/>
            </w:pPr>
            <w:r>
              <w:t xml:space="preserve">0.001</w:t>
            </w:r>
          </w:p>
        </w:tc>
        <w:tc>
          <w:tcPr/>
          <w:p>
            <w:pPr>
              <w:pStyle w:val="Compact"/>
              <w:jc w:val="center"/>
            </w:pPr>
            <w:r>
              <w:t xml:space="preserve">0.171</w:t>
            </w:r>
          </w:p>
        </w:tc>
        <w:tc>
          <w:tcPr/>
          <w:p>
            <w:pPr>
              <w:pStyle w:val="Compact"/>
              <w:jc w:val="center"/>
            </w:pPr>
            <w:r>
              <w:rPr>
                <w:b/>
                <w:bCs/>
              </w:rPr>
              <w:t xml:space="preserve">0.828</w:t>
            </w:r>
          </w:p>
        </w:tc>
        <w:tc>
          <w:tcPr/>
          <w:p>
            <w:pPr>
              <w:pStyle w:val="Compact"/>
              <w:jc w:val="center"/>
            </w:pPr>
            <m:oMath>
              <m:r>
                <m:rPr>
                  <m:sty m:val="p"/>
                </m:rPr>
                <m:t>∼</m:t>
              </m:r>
            </m:oMath>
            <w:r>
              <w:t xml:space="preserve">0.000</w:t>
            </w:r>
          </w:p>
        </w:tc>
      </w:tr>
      <w:tr>
        <w:tc>
          <w:tcPr/>
          <w:p>
            <w:pPr>
              <w:pStyle w:val="Compact"/>
              <w:jc w:val="left"/>
            </w:pPr>
            <w:r>
              <w:t xml:space="preserve">Flood</w:t>
            </w:r>
          </w:p>
        </w:tc>
        <w:tc>
          <w:tcPr/>
          <w:p>
            <w:pPr>
              <w:pStyle w:val="Compact"/>
              <w:jc w:val="center"/>
            </w:pPr>
            <w:r>
              <w:t xml:space="preserve">0.186</w:t>
            </w:r>
          </w:p>
        </w:tc>
        <w:tc>
          <w:tcPr/>
          <w:p>
            <w:pPr>
              <w:pStyle w:val="Compact"/>
              <w:jc w:val="center"/>
            </w:pPr>
            <w:r>
              <w:t xml:space="preserve">0.047</w:t>
            </w:r>
          </w:p>
        </w:tc>
        <w:tc>
          <w:tcPr/>
          <w:p>
            <w:pPr>
              <w:pStyle w:val="Compact"/>
              <w:jc w:val="center"/>
            </w:pPr>
            <m:oMath>
              <m:r>
                <m:rPr>
                  <m:sty m:val="p"/>
                </m:rPr>
                <m:t>∼</m:t>
              </m:r>
            </m:oMath>
            <w:r>
              <w:t xml:space="preserve">0.000</w:t>
            </w:r>
          </w:p>
        </w:tc>
        <w:tc>
          <w:tcPr/>
          <w:p>
            <w:pPr>
              <w:pStyle w:val="Compact"/>
              <w:jc w:val="center"/>
            </w:pPr>
            <w:r>
              <w:rPr>
                <w:b/>
                <w:bCs/>
              </w:rPr>
              <w:t xml:space="preserve">0.767</w:t>
            </w:r>
          </w:p>
        </w:tc>
      </w:tr>
      <w:tr>
        <w:tc>
          <w:tcPr/>
          <w:p>
            <w:pPr>
              <w:pStyle w:val="Compact"/>
              <w:jc w:val="left"/>
            </w:pPr>
            <w:r>
              <w:t xml:space="preserve">Unknown</w:t>
            </w:r>
          </w:p>
        </w:tc>
        <w:tc>
          <w:tcPr/>
          <w:p>
            <w:pPr>
              <w:pStyle w:val="Compact"/>
              <w:jc w:val="center"/>
            </w:pPr>
            <w:r>
              <w:t xml:space="preserve">0.757</w:t>
            </w:r>
          </w:p>
        </w:tc>
        <w:tc>
          <w:tcPr/>
          <w:p>
            <w:pPr>
              <w:pStyle w:val="Compact"/>
              <w:jc w:val="center"/>
            </w:pPr>
            <w:r>
              <w:t xml:space="preserve">0.241</w:t>
            </w:r>
          </w:p>
        </w:tc>
        <w:tc>
          <w:tcPr/>
          <w:p>
            <w:pPr>
              <w:pStyle w:val="Compact"/>
              <w:jc w:val="center"/>
            </w:pPr>
            <m:oMath>
              <m:r>
                <m:rPr>
                  <m:sty m:val="p"/>
                </m:rPr>
                <m:t>∼</m:t>
              </m:r>
            </m:oMath>
            <w:r>
              <w:t xml:space="preserve">0.000</w:t>
            </w:r>
          </w:p>
        </w:tc>
        <w:tc>
          <w:tcPr/>
          <w:p>
            <w:pPr>
              <w:pStyle w:val="Compact"/>
              <w:jc w:val="center"/>
            </w:pPr>
            <w:r>
              <w:t xml:space="preserve">0.002</w:t>
            </w:r>
          </w:p>
        </w:tc>
      </w:tr>
    </w:tbl>
    <w:bookmarkEnd w:id="17"/>
    <w:bookmarkEnd w:id="18"/>
    <w:bookmarkStart w:id="19" w:name="cross-group-multi-head-attention"/>
    <w:p>
      <w:pPr>
        <w:pStyle w:val="Heading3"/>
      </w:pPr>
      <w:r>
        <w:t xml:space="preserve">Cross-Group Multi-Head Attention</w:t>
      </w:r>
    </w:p>
    <w:p>
      <w:pPr>
        <w:pStyle w:val="FirstParagraph"/>
      </w:pPr>
      <w:r>
        <w:t xml:space="preserve">After confidence weighting, the four group features attend to each other via 4-head self-attention:</w:t>
      </w:r>
    </w:p>
    <w:p>
      <w:pPr>
        <w:pStyle w:val="BodyText"/>
      </w:pPr>
      <m:oMathPara>
        <m:oMathParaPr>
          <m:jc m:val="center"/>
        </m:oMathParaPr>
        <m:oMath>
          <m:sSub>
            <m:e>
              <m:r>
                <m:rPr>
                  <m:sty m:val="b"/>
                </m:rPr>
                <m:t>H</m:t>
              </m:r>
            </m:e>
            <m:sub>
              <m:r>
                <m:rPr>
                  <m:nor/>
                  <m:sty m:val="p"/>
                </m:rPr>
                <m:t>att</m:t>
              </m:r>
            </m:sub>
          </m:sSub>
          <m:r>
            <m:rPr>
              <m:sty m:val="p"/>
            </m:rPr>
            <m:t>=</m:t>
          </m:r>
          <m:r>
            <m:rPr>
              <m:nor/>
              <m:sty m:val="p"/>
            </m:rPr>
            <m:t>MHA</m:t>
          </m:r>
          <m:r>
            <m:rPr>
              <m:sty m:val="p"/>
            </m:rPr>
            <m:t>(</m:t>
          </m:r>
          <m:r>
            <m:rPr>
              <m:sty m:val="p"/>
            </m:rPr>
            <m:t>[</m:t>
          </m:r>
          <m:sSub>
            <m:e>
              <m:acc>
                <m:accPr>
                  <m:chr m:val="̃"/>
                </m:accPr>
                <m:e>
                  <m:r>
                    <m:rPr>
                      <m:sty m:val="b"/>
                    </m:rPr>
                    <m:t>h</m:t>
                  </m:r>
                </m:e>
              </m:acc>
            </m:e>
            <m:sub>
              <m:r>
                <m:t>0</m:t>
              </m:r>
            </m:sub>
          </m:sSub>
          <m:r>
            <m:rPr>
              <m:sty m:val="p"/>
            </m:rPr>
            <m:t>,</m:t>
          </m:r>
          <m:sSub>
            <m:e>
              <m:acc>
                <m:accPr>
                  <m:chr m:val="̃"/>
                </m:accPr>
                <m:e>
                  <m:r>
                    <m:rPr>
                      <m:sty m:val="b"/>
                    </m:rPr>
                    <m:t>h</m:t>
                  </m:r>
                </m:e>
              </m:acc>
            </m:e>
            <m:sub>
              <m:r>
                <m:t>1</m:t>
              </m:r>
            </m:sub>
          </m:sSub>
          <m:r>
            <m:rPr>
              <m:sty m:val="p"/>
            </m:rPr>
            <m:t>,</m:t>
          </m:r>
          <m:sSub>
            <m:e>
              <m:acc>
                <m:accPr>
                  <m:chr m:val="̃"/>
                </m:accPr>
                <m:e>
                  <m:r>
                    <m:rPr>
                      <m:sty m:val="b"/>
                    </m:rPr>
                    <m:t>h</m:t>
                  </m:r>
                </m:e>
              </m:acc>
            </m:e>
            <m:sub>
              <m:r>
                <m:t>2</m:t>
              </m:r>
            </m:sub>
          </m:sSub>
          <m:r>
            <m:rPr>
              <m:sty m:val="p"/>
            </m:rPr>
            <m:t>,</m:t>
          </m:r>
          <m:sSub>
            <m:e>
              <m:acc>
                <m:accPr>
                  <m:chr m:val="̃"/>
                </m:accPr>
                <m:e>
                  <m:r>
                    <m:rPr>
                      <m:sty m:val="b"/>
                    </m:rPr>
                    <m:t>h</m:t>
                  </m:r>
                </m:e>
              </m:acc>
            </m:e>
            <m:sub>
              <m:r>
                <m:t>3</m:t>
              </m:r>
            </m:sub>
          </m:sSub>
          <m:r>
            <m:rPr>
              <m:sty m:val="p"/>
            </m:rPr>
            <m:t>]</m:t>
          </m:r>
          <m:r>
            <m:rPr>
              <m:sty m:val="p"/>
            </m:rPr>
            <m:t>)</m:t>
          </m:r>
        </m:oMath>
      </m:oMathPara>
    </w:p>
    <w:p>
      <w:pPr>
        <w:pStyle w:val="FirstParagraph"/>
      </w:pPr>
      <w:r>
        <w:t xml:space="preserve">where</w:t>
      </w:r>
      <w:r>
        <w:t xml:space="preserve"> </w:t>
      </w:r>
      <m:oMath>
        <m:r>
          <m:rPr>
            <m:nor/>
            <m:sty m:val="p"/>
          </m:rPr>
          <m:t>MHA</m:t>
        </m:r>
      </m:oMath>
      <w:r>
        <w:t xml:space="preserve"> </w:t>
      </w:r>
      <w:r>
        <w:t xml:space="preserve">denotes</w:t>
      </w:r>
      <w:r>
        <w:t xml:space="preserve"> </w:t>
      </w:r>
      <w:r>
        <w:rPr>
          <w:rStyle w:val="VerbatimChar"/>
        </w:rPr>
        <w:t xml:space="preserve">MultiheadAttention</w:t>
      </w:r>
      <w:r>
        <w:t xml:space="preserve"> </w:t>
      </w:r>
      <w:r>
        <w:t xml:space="preserve">with</w:t>
      </w:r>
      <w:r>
        <w:t xml:space="preserve"> </w:t>
      </w:r>
      <m:oMath>
        <m:r>
          <m:t>d</m:t>
        </m:r>
        <m:r>
          <m:rPr>
            <m:sty m:val="p"/>
          </m:rPr>
          <m:t>=</m:t>
        </m:r>
        <m:r>
          <m:t>128</m:t>
        </m:r>
      </m:oMath>
      <w:r>
        <w:t xml:space="preserve"> </w:t>
      </w:r>
      <w:r>
        <w:t xml:space="preserve">and 4 heads. This enables cross-sensor interaction for cascading disasters (e.g., earthquakes triggering tsunamis). The attended features are mean-pooled to produce a 128-dim global embedding.</w:t>
      </w:r>
    </w:p>
    <w:bookmarkEnd w:id="19"/>
    <w:bookmarkStart w:id="20" w:name="multi-task-output-heads"/>
    <w:p>
      <w:pPr>
        <w:pStyle w:val="Heading3"/>
      </w:pPr>
      <w:r>
        <w:t xml:space="preserve">Multi-Task Output Heads</w:t>
      </w:r>
    </w:p>
    <w:p>
      <w:pPr>
        <w:pStyle w:val="FirstParagraph"/>
      </w:pPr>
      <w:r>
        <w:t xml:space="preserve">Four parallel heads operate on the shared 128-dim embedding:</w:t>
      </w:r>
    </w:p>
    <w:p>
      <w:pPr>
        <w:numPr>
          <w:ilvl w:val="0"/>
          <w:numId w:val="1002"/>
        </w:numPr>
      </w:pPr>
      <w:r>
        <w:rPr>
          <w:b/>
          <w:bCs/>
        </w:rPr>
        <w:t xml:space="preserve">Disaster type</w:t>
      </w:r>
      <w:r>
        <w:t xml:space="preserve">: 5-class classification (fire, storm, earthquake, flood, unknown)</w:t>
      </w:r>
    </w:p>
    <w:p>
      <w:pPr>
        <w:numPr>
          <w:ilvl w:val="0"/>
          <w:numId w:val="1002"/>
        </w:numPr>
      </w:pPr>
      <w:r>
        <w:rPr>
          <w:b/>
          <w:bCs/>
        </w:rPr>
        <w:t xml:space="preserve">Severity</w:t>
      </w:r>
      <w:r>
        <w:t xml:space="preserve">: Scalar regression in</w:t>
      </w:r>
      <w:r>
        <w:t xml:space="preserve"> </w:t>
      </w:r>
      <m:oMath>
        <m:r>
          <m:rPr>
            <m:sty m:val="p"/>
          </m:rPr>
          <m:t>[</m:t>
        </m:r>
        <m:r>
          <m:t>0</m:t>
        </m:r>
        <m:r>
          <m:rPr>
            <m:sty m:val="p"/>
          </m:rPr>
          <m:t>,</m:t>
        </m:r>
        <m:r>
          <m:t>1</m:t>
        </m:r>
        <m:r>
          <m:rPr>
            <m:sty m:val="p"/>
          </m:rPr>
          <m:t>]</m:t>
        </m:r>
      </m:oMath>
    </w:p>
    <w:p>
      <w:pPr>
        <w:numPr>
          <w:ilvl w:val="0"/>
          <w:numId w:val="1002"/>
        </w:numPr>
      </w:pPr>
      <w:r>
        <w:rPr>
          <w:b/>
          <w:bCs/>
        </w:rPr>
        <w:t xml:space="preserve">Risk details</w:t>
      </w:r>
      <w:r>
        <w:t xml:space="preserve">: 4-dim per-hazard risk scores</w:t>
      </w:r>
    </w:p>
    <w:p>
      <w:pPr>
        <w:numPr>
          <w:ilvl w:val="0"/>
          <w:numId w:val="1002"/>
        </w:numPr>
      </w:pPr>
      <w:r>
        <w:rPr>
          <w:b/>
          <w:bCs/>
        </w:rPr>
        <w:t xml:space="preserve">Casualty risk</w:t>
      </w:r>
      <w:r>
        <w:t xml:space="preserve">: Scalar regression in</w:t>
      </w:r>
      <w:r>
        <w:t xml:space="preserve"> </w:t>
      </w:r>
      <m:oMath>
        <m:r>
          <m:rPr>
            <m:sty m:val="p"/>
          </m:rPr>
          <m:t>[</m:t>
        </m:r>
        <m:r>
          <m:t>0</m:t>
        </m:r>
        <m:r>
          <m:rPr>
            <m:sty m:val="p"/>
          </m:rPr>
          <m:t>,</m:t>
        </m:r>
        <m:r>
          <m:t>1</m:t>
        </m:r>
        <m:r>
          <m:rPr>
            <m:sty m:val="p"/>
          </m:rPr>
          <m:t>]</m:t>
        </m:r>
      </m:oMath>
    </w:p>
    <w:p>
      <w:pPr>
        <w:pStyle w:val="FirstParagraph"/>
      </w:pPr>
      <w:r>
        <w:t xml:space="preserve">The combined loss is:</w:t>
      </w:r>
      <w:r>
        <w:t xml:space="preserve"> </w:t>
      </w:r>
      <m:oMath>
        <m:sSub>
          <m:e>
            <m:r>
              <m:rPr>
                <m:scr m:val="script"/>
                <m:sty m:val="p"/>
              </m:rPr>
              <m:t>L</m:t>
            </m:r>
          </m:e>
          <m:sub>
            <m:r>
              <m:rPr>
                <m:nor/>
                <m:sty m:val="p"/>
              </m:rPr>
              <m:t>IoT</m:t>
            </m:r>
          </m:sub>
        </m:sSub>
        <m:r>
          <m:rPr>
            <m:sty m:val="p"/>
          </m:rPr>
          <m:t>=</m:t>
        </m:r>
        <m:r>
          <m:rPr>
            <m:nor/>
            <m:sty m:val="p"/>
          </m:rPr>
          <m:t>CE</m:t>
        </m:r>
        <m:r>
          <m:rPr>
            <m:sty m:val="p"/>
          </m:rPr>
          <m:t>(</m:t>
        </m:r>
        <m:sSub>
          <m:e>
            <m:acc>
              <m:accPr>
                <m:chr m:val="̂"/>
              </m:accPr>
              <m:e>
                <m:r>
                  <m:t>y</m:t>
                </m:r>
              </m:e>
            </m:acc>
          </m:e>
          <m:sub>
            <m:r>
              <m:rPr>
                <m:nor/>
                <m:sty m:val="p"/>
              </m:rPr>
              <m:t>type</m:t>
            </m:r>
          </m:sub>
        </m:sSub>
        <m:r>
          <m:rPr>
            <m:sty m:val="p"/>
          </m:rPr>
          <m:t>)</m:t>
        </m:r>
        <m:r>
          <m:rPr>
            <m:sty m:val="p"/>
          </m:rPr>
          <m:t>+</m:t>
        </m:r>
        <m:r>
          <m:rPr>
            <m:nor/>
            <m:sty m:val="p"/>
          </m:rPr>
          <m:t>MSE</m:t>
        </m:r>
        <m:r>
          <m:rPr>
            <m:sty m:val="p"/>
          </m:rPr>
          <m:t>(</m:t>
        </m:r>
        <m:acc>
          <m:accPr>
            <m:chr m:val="̂"/>
          </m:accPr>
          <m:e>
            <m:r>
              <m:t>s</m:t>
            </m:r>
          </m:e>
        </m:acc>
        <m:r>
          <m:rPr>
            <m:sty m:val="p"/>
          </m:rPr>
          <m:t>)</m:t>
        </m:r>
        <m:r>
          <m:rPr>
            <m:sty m:val="p"/>
          </m:rPr>
          <m:t>+</m:t>
        </m:r>
        <m:r>
          <m:rPr>
            <m:nor/>
            <m:sty m:val="p"/>
          </m:rPr>
          <m:t>MSE</m:t>
        </m:r>
        <m:r>
          <m:rPr>
            <m:sty m:val="p"/>
          </m:rPr>
          <m:t>(</m:t>
        </m:r>
        <m:acc>
          <m:accPr>
            <m:chr m:val="̂"/>
          </m:accPr>
          <m:e>
            <m:r>
              <m:t>r</m:t>
            </m:r>
          </m:e>
        </m:acc>
        <m:r>
          <m:rPr>
            <m:sty m:val="p"/>
          </m:rPr>
          <m:t>)</m:t>
        </m:r>
        <m:r>
          <m:rPr>
            <m:sty m:val="p"/>
          </m:rPr>
          <m:t>+</m:t>
        </m:r>
        <m:r>
          <m:rPr>
            <m:nor/>
            <m:sty m:val="p"/>
          </m:rPr>
          <m:t>MSE</m:t>
        </m:r>
        <m:r>
          <m:rPr>
            <m:sty m:val="p"/>
          </m:rPr>
          <m:t>(</m:t>
        </m:r>
        <m:acc>
          <m:accPr>
            <m:chr m:val="̂"/>
          </m:accPr>
          <m:e>
            <m:r>
              <m:t>c</m:t>
            </m:r>
          </m:e>
        </m:acc>
        <m:r>
          <m:rPr>
            <m:sty m:val="p"/>
          </m:rPr>
          <m:t>)</m:t>
        </m:r>
      </m:oMath>
      <w:r>
        <w:t xml:space="preserve">.</w:t>
      </w:r>
    </w:p>
    <w:bookmarkEnd w:id="20"/>
    <w:bookmarkEnd w:id="21"/>
    <w:bookmarkStart w:id="25" w:name="adaptivefusionclassifier-crisis-model"/>
    <w:p>
      <w:pPr>
        <w:pStyle w:val="Heading2"/>
      </w:pPr>
      <w:r>
        <w:t xml:space="preserve">AdaptiveFusionClassifier (Crisis Model)</w:t>
      </w:r>
    </w:p>
    <w:p>
      <w:pPr>
        <w:pStyle w:val="FirstParagraph"/>
      </w:pPr>
      <w:r>
        <w:t xml:space="preserve">The crisis sub-model fuses social media images and text through a dual adaptive weighting mechanism with bidirectional cross-modal attention.</w:t>
      </w:r>
    </w:p>
    <w:bookmarkStart w:id="22" w:name="feature-extraction"/>
    <w:p>
      <w:pPr>
        <w:pStyle w:val="Heading3"/>
      </w:pPr>
      <w:r>
        <w:t xml:space="preserve">Feature Extraction</w:t>
      </w:r>
    </w:p>
    <w:p>
      <w:pPr>
        <w:pStyle w:val="FirstParagraph"/>
      </w:pPr>
      <w:r>
        <w:t xml:space="preserve">Visual features are extracted via a frozen BLIP Vision Transformer (ViT-B), producing 768-dim CLS token embeddings. Text features are extracted via a frozen XLM-RoBERTa encoder, producing 768-dim sentence embeddings. Both are projected to 512 dimensions:</w:t>
      </w:r>
    </w:p>
    <w:p>
      <w:pPr>
        <w:pStyle w:val="BodyText"/>
      </w:pPr>
      <m:oMathPara>
        <m:oMathParaPr>
          <m:jc m:val="center"/>
        </m:oMathParaPr>
        <m:oMath>
          <m:r>
            <m:rPr>
              <m:sty m:val="b"/>
            </m:rPr>
            <m:t>v</m:t>
          </m:r>
          <m:r>
            <m:rPr>
              <m:sty m:val="p"/>
            </m:rPr>
            <m:t>=</m:t>
          </m:r>
          <m:sSub>
            <m:e>
              <m:r>
                <m:rPr>
                  <m:nor/>
                  <m:sty m:val="p"/>
                </m:rPr>
                <m:t>MLP</m:t>
              </m:r>
            </m:e>
            <m:sub>
              <m:r>
                <m:t>v</m:t>
              </m:r>
            </m:sub>
          </m:sSub>
          <m:r>
            <m:rPr>
              <m:sty m:val="p"/>
            </m:rPr>
            <m:t>(</m:t>
          </m:r>
          <m:r>
            <m:rPr>
              <m:nor/>
              <m:sty m:val="p"/>
            </m:rPr>
            <m:t>BLIP-ViT</m:t>
          </m:r>
          <m:r>
            <m:rPr>
              <m:sty m:val="p"/>
            </m:rPr>
            <m:t>(</m:t>
          </m:r>
          <m:r>
            <m:rPr>
              <m:sty m:val="b"/>
            </m:rPr>
            <m:t>I</m:t>
          </m:r>
          <m:r>
            <m:rPr>
              <m:sty m:val="p"/>
            </m:rPr>
            <m:t>)</m:t>
          </m:r>
          <m:r>
            <m:rPr>
              <m:sty m:val="p"/>
            </m:rPr>
            <m:t>)</m:t>
          </m:r>
          <m:r>
            <m:rPr>
              <m:sty m:val="p"/>
            </m:rPr>
            <m:t>,</m:t>
          </m:r>
          <m:r>
            <m:t> </m:t>
          </m:r>
          <m:r>
            <m:rPr>
              <m:sty m:val="b"/>
            </m:rPr>
            <m:t>t</m:t>
          </m:r>
          <m:r>
            <m:rPr>
              <m:sty m:val="p"/>
            </m:rPr>
            <m:t>=</m:t>
          </m:r>
          <m:sSub>
            <m:e>
              <m:r>
                <m:rPr>
                  <m:nor/>
                  <m:sty m:val="p"/>
                </m:rPr>
                <m:t>MLP</m:t>
              </m:r>
            </m:e>
            <m:sub>
              <m:r>
                <m:t>t</m:t>
              </m:r>
            </m:sub>
          </m:sSub>
          <m:r>
            <m:rPr>
              <m:sty m:val="p"/>
            </m:rPr>
            <m:t>(</m:t>
          </m:r>
          <m:r>
            <m:rPr>
              <m:nor/>
              <m:sty m:val="p"/>
            </m:rPr>
            <m:t>XLM-R</m:t>
          </m:r>
          <m:r>
            <m:rPr>
              <m:sty m:val="p"/>
            </m:rPr>
            <m:t>(</m:t>
          </m:r>
          <m:r>
            <m:rPr>
              <m:sty m:val="b"/>
            </m:rPr>
            <m:t>T</m:t>
          </m:r>
          <m:r>
            <m:rPr>
              <m:sty m:val="p"/>
            </m:rPr>
            <m:t>)</m:t>
          </m:r>
          <m:r>
            <m:rPr>
              <m:sty m:val="p"/>
            </m:rPr>
            <m:t>)</m:t>
          </m:r>
        </m:oMath>
      </m:oMathPara>
    </w:p>
    <w:bookmarkEnd w:id="22"/>
    <w:bookmarkStart w:id="23" w:name="adaptive-modality-weighting"/>
    <w:p>
      <w:pPr>
        <w:pStyle w:val="Heading3"/>
      </w:pPr>
      <w:r>
        <w:t xml:space="preserve">Adaptive Modality Weighting</w:t>
      </w:r>
    </w:p>
    <w:p>
      <w:pPr>
        <w:pStyle w:val="FirstParagraph"/>
      </w:pPr>
      <w:r>
        <w:t xml:space="preserve">Separate</w:t>
      </w:r>
      <w:r>
        <w:t xml:space="preserve"> </w:t>
      </w:r>
      <w:r>
        <w:rPr>
          <w:rStyle w:val="VerbatimChar"/>
        </w:rPr>
        <w:t xml:space="preserve">ConfidenceEstimator</w:t>
      </w:r>
      <w:r>
        <w:t xml:space="preserve"> </w:t>
      </w:r>
      <w:r>
        <w:t xml:space="preserve">networks (</w:t>
      </w:r>
      <m:oMath>
        <m:r>
          <m:t>768</m:t>
        </m:r>
        <m:r>
          <m:rPr>
            <m:sty m:val="p"/>
          </m:rPr>
          <m:t>→</m:t>
        </m:r>
        <m:r>
          <m:t>256</m:t>
        </m:r>
        <m:r>
          <m:rPr>
            <m:sty m:val="p"/>
          </m:rPr>
          <m:t>→</m:t>
        </m:r>
        <m:r>
          <m:t>128</m:t>
        </m:r>
        <m:r>
          <m:rPr>
            <m:sty m:val="p"/>
          </m:rPr>
          <m:t>→</m:t>
        </m:r>
        <m:r>
          <m:t>1</m:t>
        </m:r>
      </m:oMath>
      <w:r>
        <w:t xml:space="preserve">) produce input-dependent modality weights:</w:t>
      </w:r>
    </w:p>
    <w:p>
      <w:pPr>
        <w:pStyle w:val="BodyText"/>
      </w:pPr>
      <m:oMathPara>
        <m:oMathParaPr>
          <m:jc m:val="center"/>
        </m:oMathParaPr>
        <m:oMath>
          <m:sSub>
            <m:e>
              <m:r>
                <m:t>w</m:t>
              </m:r>
            </m:e>
            <m:sub>
              <m:r>
                <m:t>v</m:t>
              </m:r>
            </m:sub>
          </m:sSub>
          <m:r>
            <m:rPr>
              <m:sty m:val="p"/>
            </m:rPr>
            <m:t>=</m:t>
          </m:r>
          <m:f>
            <m:fPr>
              <m:type m:val="bar"/>
            </m:fPr>
            <m:num>
              <m:r>
                <m:t>σ</m:t>
              </m:r>
              <m:r>
                <m:rPr>
                  <m:sty m:val="p"/>
                </m:rPr>
                <m:t>(</m:t>
              </m:r>
              <m:sSub>
                <m:e>
                  <m:r>
                    <m:t>f</m:t>
                  </m:r>
                </m:e>
                <m:sub>
                  <m:r>
                    <m:t>v</m:t>
                  </m:r>
                </m:sub>
              </m:sSub>
              <m:r>
                <m:rPr>
                  <m:sty m:val="p"/>
                </m:rPr>
                <m:t>(</m:t>
              </m:r>
              <m:r>
                <m:rPr>
                  <m:sty m:val="b"/>
                </m:rPr>
                <m:t>v</m:t>
              </m:r>
              <m:r>
                <m:rPr>
                  <m:sty m:val="p"/>
                </m:rPr>
                <m:t>)</m:t>
              </m:r>
              <m:r>
                <m:rPr>
                  <m:sty m:val="p"/>
                </m:rPr>
                <m:t>)</m:t>
              </m:r>
            </m:num>
            <m:den>
              <m:r>
                <m:t>σ</m:t>
              </m:r>
              <m:r>
                <m:rPr>
                  <m:sty m:val="p"/>
                </m:rPr>
                <m:t>(</m:t>
              </m:r>
              <m:sSub>
                <m:e>
                  <m:r>
                    <m:t>f</m:t>
                  </m:r>
                </m:e>
                <m:sub>
                  <m:r>
                    <m:t>v</m:t>
                  </m:r>
                </m:sub>
              </m:sSub>
              <m:r>
                <m:rPr>
                  <m:sty m:val="p"/>
                </m:rPr>
                <m:t>(</m:t>
              </m:r>
              <m:r>
                <m:rPr>
                  <m:sty m:val="b"/>
                </m:rPr>
                <m:t>v</m:t>
              </m:r>
              <m:r>
                <m:rPr>
                  <m:sty m:val="p"/>
                </m:rPr>
                <m:t>)</m:t>
              </m:r>
              <m:r>
                <m:rPr>
                  <m:sty m:val="p"/>
                </m:rPr>
                <m:t>)</m:t>
              </m:r>
              <m:r>
                <m:rPr>
                  <m:sty m:val="p"/>
                </m:rPr>
                <m:t>+</m:t>
              </m:r>
              <m:r>
                <m:t>σ</m:t>
              </m:r>
              <m:r>
                <m:rPr>
                  <m:sty m:val="p"/>
                </m:rPr>
                <m:t>(</m:t>
              </m:r>
              <m:sSub>
                <m:e>
                  <m:r>
                    <m:t>f</m:t>
                  </m:r>
                </m:e>
                <m:sub>
                  <m:r>
                    <m:t>t</m:t>
                  </m:r>
                </m:sub>
              </m:sSub>
              <m:r>
                <m:rPr>
                  <m:sty m:val="p"/>
                </m:rPr>
                <m:t>(</m:t>
              </m:r>
              <m:r>
                <m:rPr>
                  <m:sty m:val="b"/>
                </m:rPr>
                <m:t>t</m:t>
              </m:r>
              <m:r>
                <m:rPr>
                  <m:sty m:val="p"/>
                </m:rPr>
                <m:t>)</m:t>
              </m:r>
              <m:r>
                <m:rPr>
                  <m:sty m:val="p"/>
                </m:rPr>
                <m:t>)</m:t>
              </m:r>
              <m:r>
                <m:rPr>
                  <m:sty m:val="p"/>
                </m:rPr>
                <m:t>+</m:t>
              </m:r>
              <m:r>
                <m:t>ϵ</m:t>
              </m:r>
            </m:den>
          </m:f>
        </m:oMath>
      </m:oMathPara>
    </w:p>
    <w:bookmarkEnd w:id="23"/>
    <w:bookmarkStart w:id="24" w:name="bidirectional-cross-modal-attention"/>
    <w:p>
      <w:pPr>
        <w:pStyle w:val="Heading3"/>
      </w:pPr>
      <w:r>
        <w:t xml:space="preserve">Bidirectional Cross-Modal Attention</w:t>
      </w:r>
    </w:p>
    <w:p>
      <w:pPr>
        <w:pStyle w:val="FirstParagraph"/>
      </w:pPr>
      <w:r>
        <w:t xml:space="preserve">Both directions of cross-attention are computed with 8 heads and</w:t>
      </w:r>
      <w:r>
        <w:t xml:space="preserve"> </w:t>
      </w:r>
      <m:oMath>
        <m:r>
          <m:t>d</m:t>
        </m:r>
        <m:r>
          <m:rPr>
            <m:sty m:val="p"/>
          </m:rPr>
          <m:t>=</m:t>
        </m:r>
        <m:r>
          <m:t>512</m:t>
        </m:r>
      </m:oMath>
      <w:r>
        <w:t xml:space="preserve">:</w:t>
      </w:r>
    </w:p>
    <w:p>
      <w:pPr>
        <w:pStyle w:val="BodyText"/>
      </w:pPr>
      <m:oMathPara>
        <m:oMathParaPr>
          <m:jc m:val="center"/>
        </m:oMathParaPr>
        <m:oMath>
          <m:sSup>
            <m:e>
              <m:r>
                <m:rPr>
                  <m:sty m:val="b"/>
                </m:rPr>
                <m:t>v</m:t>
              </m:r>
            </m:e>
            <m:sup>
              <m:r>
                <m:rPr>
                  <m:sty m:val="p"/>
                </m:rPr>
                <m:t>′</m:t>
              </m:r>
            </m:sup>
          </m:sSup>
          <m:r>
            <m:rPr>
              <m:sty m:val="p"/>
            </m:rPr>
            <m:t>=</m:t>
          </m:r>
          <m:r>
            <m:rPr>
              <m:nor/>
              <m:sty m:val="p"/>
            </m:rPr>
            <m:t>MHA</m:t>
          </m:r>
          <m:r>
            <m:rPr>
              <m:sty m:val="p"/>
            </m:rPr>
            <m:t>(</m:t>
          </m:r>
          <m:r>
            <m:t>Q</m:t>
          </m:r>
          <m:r>
            <m:rPr>
              <m:sty m:val="p"/>
            </m:rPr>
            <m:t>=</m:t>
          </m:r>
          <m:sSub>
            <m:e>
              <m:r>
                <m:rPr>
                  <m:sty m:val="b"/>
                </m:rPr>
                <m:t>v</m:t>
              </m:r>
            </m:e>
            <m:sub>
              <m:r>
                <m:t>w</m:t>
              </m:r>
            </m:sub>
          </m:sSub>
          <m:r>
            <m:rPr>
              <m:sty m:val="p"/>
            </m:rPr>
            <m:t>,</m:t>
          </m:r>
          <m:r>
            <m:t>K</m:t>
          </m:r>
          <m:r>
            <m:rPr>
              <m:sty m:val="p"/>
            </m:rPr>
            <m:t>=</m:t>
          </m:r>
          <m:sSub>
            <m:e>
              <m:r>
                <m:rPr>
                  <m:sty m:val="b"/>
                </m:rPr>
                <m:t>t</m:t>
              </m:r>
            </m:e>
            <m:sub>
              <m:r>
                <m:t>w</m:t>
              </m:r>
            </m:sub>
          </m:sSub>
          <m:r>
            <m:rPr>
              <m:sty m:val="p"/>
            </m:rPr>
            <m:t>,</m:t>
          </m:r>
          <m:r>
            <m:t>V</m:t>
          </m:r>
          <m:r>
            <m:rPr>
              <m:sty m:val="p"/>
            </m:rPr>
            <m:t>=</m:t>
          </m:r>
          <m:sSub>
            <m:e>
              <m:r>
                <m:rPr>
                  <m:sty m:val="b"/>
                </m:rPr>
                <m:t>t</m:t>
              </m:r>
            </m:e>
            <m:sub>
              <m:r>
                <m:t>w</m:t>
              </m:r>
            </m:sub>
          </m:sSub>
          <m:r>
            <m:rPr>
              <m:sty m:val="p"/>
            </m:rPr>
            <m:t>)</m:t>
          </m:r>
        </m:oMath>
      </m:oMathPara>
    </w:p>
    <w:p>
      <w:pPr>
        <w:pStyle w:val="FirstParagraph"/>
      </w:pPr>
      <m:oMathPara>
        <m:oMathParaPr>
          <m:jc m:val="center"/>
        </m:oMathParaPr>
        <m:oMath>
          <m:sSup>
            <m:e>
              <m:r>
                <m:rPr>
                  <m:sty m:val="b"/>
                </m:rPr>
                <m:t>t</m:t>
              </m:r>
            </m:e>
            <m:sup>
              <m:r>
                <m:rPr>
                  <m:sty m:val="p"/>
                </m:rPr>
                <m:t>′</m:t>
              </m:r>
            </m:sup>
          </m:sSup>
          <m:r>
            <m:rPr>
              <m:sty m:val="p"/>
            </m:rPr>
            <m:t>=</m:t>
          </m:r>
          <m:r>
            <m:rPr>
              <m:nor/>
              <m:sty m:val="p"/>
            </m:rPr>
            <m:t>MHA</m:t>
          </m:r>
          <m:r>
            <m:rPr>
              <m:sty m:val="p"/>
            </m:rPr>
            <m:t>(</m:t>
          </m:r>
          <m:r>
            <m:t>Q</m:t>
          </m:r>
          <m:r>
            <m:rPr>
              <m:sty m:val="p"/>
            </m:rPr>
            <m:t>=</m:t>
          </m:r>
          <m:sSub>
            <m:e>
              <m:r>
                <m:rPr>
                  <m:sty m:val="b"/>
                </m:rPr>
                <m:t>t</m:t>
              </m:r>
            </m:e>
            <m:sub>
              <m:r>
                <m:t>w</m:t>
              </m:r>
            </m:sub>
          </m:sSub>
          <m:r>
            <m:rPr>
              <m:sty m:val="p"/>
            </m:rPr>
            <m:t>,</m:t>
          </m:r>
          <m:r>
            <m:t>K</m:t>
          </m:r>
          <m:r>
            <m:rPr>
              <m:sty m:val="p"/>
            </m:rPr>
            <m:t>=</m:t>
          </m:r>
          <m:sSub>
            <m:e>
              <m:r>
                <m:rPr>
                  <m:sty m:val="b"/>
                </m:rPr>
                <m:t>v</m:t>
              </m:r>
            </m:e>
            <m:sub>
              <m:r>
                <m:t>w</m:t>
              </m:r>
            </m:sub>
          </m:sSub>
          <m:r>
            <m:rPr>
              <m:sty m:val="p"/>
            </m:rPr>
            <m:t>,</m:t>
          </m:r>
          <m:r>
            <m:t>V</m:t>
          </m:r>
          <m:r>
            <m:rPr>
              <m:sty m:val="p"/>
            </m:rPr>
            <m:t>=</m:t>
          </m:r>
          <m:sSub>
            <m:e>
              <m:r>
                <m:rPr>
                  <m:sty m:val="b"/>
                </m:rPr>
                <m:t>v</m:t>
              </m:r>
            </m:e>
            <m:sub>
              <m:r>
                <m:t>w</m:t>
              </m:r>
            </m:sub>
          </m:sSub>
          <m:r>
            <m:rPr>
              <m:sty m:val="p"/>
            </m:rPr>
            <m:t>)</m:t>
          </m:r>
        </m:oMath>
      </m:oMathPara>
    </w:p>
    <w:p>
      <w:pPr>
        <w:pStyle w:val="FirstParagraph"/>
      </w:pPr>
      <w:r>
        <w:t xml:space="preserve">The final crisis embedding is</w:t>
      </w:r>
      <w:r>
        <w:t xml:space="preserve"> </w:t>
      </w:r>
      <m:oMath>
        <m:sSub>
          <m:e>
            <m:r>
              <m:rPr>
                <m:sty m:val="b"/>
              </m:rPr>
              <m:t>e</m:t>
            </m:r>
          </m:e>
          <m:sub>
            <m:r>
              <m:rPr>
                <m:nor/>
                <m:sty m:val="p"/>
              </m:rPr>
              <m:t>crisis</m:t>
            </m:r>
          </m:sub>
        </m:sSub>
        <m:r>
          <m:rPr>
            <m:sty m:val="p"/>
          </m:rPr>
          <m:t>=</m:t>
        </m:r>
        <m:r>
          <m:rPr>
            <m:sty m:val="p"/>
          </m:rPr>
          <m:t>[</m:t>
        </m:r>
        <m:sSup>
          <m:e>
            <m:r>
              <m:rPr>
                <m:sty m:val="b"/>
              </m:rPr>
              <m:t>v</m:t>
            </m:r>
          </m:e>
          <m:sup>
            <m:r>
              <m:rPr>
                <m:sty m:val="p"/>
              </m:rPr>
              <m:t>′</m:t>
            </m:r>
          </m:sup>
        </m:sSup>
        <m:r>
          <m:rPr>
            <m:sty m:val="p"/>
          </m:rPr>
          <m:t>;</m:t>
        </m:r>
        <m:sSup>
          <m:e>
            <m:r>
              <m:rPr>
                <m:sty m:val="b"/>
              </m:rPr>
              <m:t>t</m:t>
            </m:r>
          </m:e>
          <m:sup>
            <m:r>
              <m:rPr>
                <m:sty m:val="p"/>
              </m:rPr>
              <m:t>′</m:t>
            </m:r>
          </m:sup>
        </m:sSup>
        <m:r>
          <m:rPr>
            <m:sty m:val="p"/>
          </m:rPr>
          <m:t>]</m:t>
        </m:r>
        <m:r>
          <m:rPr>
            <m:sty m:val="p"/>
          </m:rPr>
          <m:t>∈</m:t>
        </m:r>
        <m:sSup>
          <m:e>
            <m:r>
              <m:rPr>
                <m:scr m:val="double-struck"/>
                <m:sty m:val="p"/>
              </m:rPr>
              <m:t>R</m:t>
            </m:r>
          </m:e>
          <m:sup>
            <m:r>
              <m:t>1024</m:t>
            </m:r>
          </m:sup>
        </m:sSup>
      </m:oMath>
      <w:r>
        <w:t xml:space="preserve">.</w:t>
      </w:r>
    </w:p>
    <w:bookmarkEnd w:id="24"/>
    <w:bookmarkEnd w:id="25"/>
    <w:bookmarkStart w:id="28" w:name="Xc363f1b8bfb21fe49616163b4599263344c5023"/>
    <w:p>
      <w:pPr>
        <w:pStyle w:val="Heading2"/>
      </w:pPr>
      <w:r>
        <w:t xml:space="preserve">DeepLabV3+ with Dual Feature Extraction (xBD Model)</w:t>
      </w:r>
    </w:p>
    <w:p>
      <w:pPr>
        <w:pStyle w:val="FirstParagraph"/>
      </w:pPr>
      <w:r>
        <w:t xml:space="preserve">A modified DeepLabV3+ with ResNet101 encoder processes</w:t>
      </w:r>
      <w:r>
        <w:t xml:space="preserve"> </w:t>
      </w:r>
      <m:oMath>
        <m:r>
          <m:t>512</m:t>
        </m:r>
        <m:r>
          <m:rPr>
            <m:sty m:val="p"/>
          </m:rPr>
          <m:t>×</m:t>
        </m:r>
        <m:r>
          <m:t>512</m:t>
        </m:r>
      </m:oMath>
      <w:r>
        <w:t xml:space="preserve"> </w:t>
      </w:r>
      <w:r>
        <w:t xml:space="preserve">satellite images, simultaneously producing pixel-level damage segmentation and compact embeddings.</w:t>
      </w:r>
    </w:p>
    <w:bookmarkStart w:id="26" w:name="satellite-embedding-mathbff_textsat"/>
    <w:p>
      <w:pPr>
        <w:pStyle w:val="Heading3"/>
      </w:pPr>
      <w:r>
        <w:t xml:space="preserve">Satellite Embedding (</w:t>
      </w:r>
      <m:oMath>
        <m:sSub>
          <m:e>
            <m:r>
              <m:rPr>
                <m:sty m:val="b"/>
              </m:rPr>
              <m:t>F</m:t>
            </m:r>
          </m:e>
          <m:sub>
            <m:r>
              <m:rPr>
                <m:nor/>
                <m:sty m:val="p"/>
              </m:rPr>
              <m:t>sat</m:t>
            </m:r>
          </m:sub>
        </m:sSub>
      </m:oMath>
      <w:r>
        <w:t xml:space="preserve">)</w:t>
      </w:r>
    </w:p>
    <w:p>
      <w:pPr>
        <w:pStyle w:val="FirstParagraph"/>
      </w:pPr>
      <w:r>
        <w:t xml:space="preserve">From the encoder’s final feature map (</w:t>
      </w:r>
      <m:oMath>
        <m:r>
          <m:t>2048</m:t>
        </m:r>
        <m:r>
          <m:rPr>
            <m:sty m:val="p"/>
          </m:rPr>
          <m:t>×</m:t>
        </m:r>
        <m:r>
          <m:t>16</m:t>
        </m:r>
        <m:r>
          <m:rPr>
            <m:sty m:val="p"/>
          </m:rPr>
          <m:t>×</m:t>
        </m:r>
        <m:r>
          <m:t>16</m:t>
        </m:r>
      </m:oMath>
      <w:r>
        <w:t xml:space="preserve">), adaptive average pooling followed by a linear projection produces a 512-dim embedding capturing global damage characteristics.</w:t>
      </w:r>
    </w:p>
    <w:bookmarkEnd w:id="26"/>
    <w:bookmarkStart w:id="27" w:name="Xfa3969c616b7c76a47101ffef455b9f9658d6be"/>
    <w:p>
      <w:pPr>
        <w:pStyle w:val="Heading3"/>
      </w:pPr>
      <w:r>
        <w:t xml:space="preserve">Regional Statistics Embedding (</w:t>
      </w:r>
      <m:oMath>
        <m:sSub>
          <m:e>
            <m:r>
              <m:rPr>
                <m:sty m:val="b"/>
              </m:rPr>
              <m:t>F</m:t>
            </m:r>
          </m:e>
          <m:sub>
            <m:r>
              <m:rPr>
                <m:nor/>
                <m:sty m:val="p"/>
              </m:rPr>
              <m:t>region</m:t>
            </m:r>
          </m:sub>
        </m:sSub>
      </m:oMath>
      <w:r>
        <w:t xml:space="preserve">)</w:t>
      </w:r>
    </w:p>
    <w:p>
      <w:pPr>
        <w:pStyle w:val="FirstParagraph"/>
      </w:pPr>
      <w:r>
        <w:t xml:space="preserve">A</w:t>
      </w:r>
      <w:r>
        <w:t xml:space="preserve"> </w:t>
      </w:r>
      <w:r>
        <w:rPr>
          <w:rStyle w:val="VerbatimChar"/>
        </w:rPr>
        <w:t xml:space="preserve">RegionalStatsModule</w:t>
      </w:r>
      <w:r>
        <w:t xml:space="preserve"> </w:t>
      </w:r>
      <w:r>
        <w:t xml:space="preserve">processes concatenated decoder features and damage probability maps through convolutional fusion,</w:t>
      </w:r>
      <w:r>
        <w:t xml:space="preserve"> </w:t>
      </w:r>
      <m:oMath>
        <m:r>
          <m:t>4</m:t>
        </m:r>
        <m:r>
          <m:rPr>
            <m:sty m:val="p"/>
          </m:rPr>
          <m:t>×</m:t>
        </m:r>
        <m:r>
          <m:t>4</m:t>
        </m:r>
      </m:oMath>
      <w:r>
        <w:t xml:space="preserve"> </w:t>
      </w:r>
      <w:r>
        <w:t xml:space="preserve">pooling, and fully connected layers to produce a 128-dim spatial statistics embedding.</w:t>
      </w:r>
    </w:p>
    <w:p>
      <w:pPr>
        <w:pStyle w:val="BodyText"/>
      </w:pPr>
      <w:r>
        <w:t xml:space="preserve">The combined satellite embedding is</w:t>
      </w:r>
      <w:r>
        <w:t xml:space="preserve"> </w:t>
      </w:r>
      <m:oMath>
        <m:sSub>
          <m:e>
            <m:r>
              <m:rPr>
                <m:sty m:val="b"/>
              </m:rPr>
              <m:t>e</m:t>
            </m:r>
          </m:e>
          <m:sub>
            <m:r>
              <m:rPr>
                <m:nor/>
                <m:sty m:val="p"/>
              </m:rPr>
              <m:t>sat</m:t>
            </m:r>
          </m:sub>
        </m:sSub>
        <m:r>
          <m:rPr>
            <m:sty m:val="p"/>
          </m:rPr>
          <m:t>=</m:t>
        </m:r>
        <m:r>
          <m:rPr>
            <m:sty m:val="p"/>
          </m:rPr>
          <m:t>[</m:t>
        </m:r>
        <m:sSub>
          <m:e>
            <m:r>
              <m:rPr>
                <m:sty m:val="b"/>
              </m:rPr>
              <m:t>F</m:t>
            </m:r>
          </m:e>
          <m:sub>
            <m:r>
              <m:rPr>
                <m:nor/>
                <m:sty m:val="p"/>
              </m:rPr>
              <m:t>sat</m:t>
            </m:r>
          </m:sub>
        </m:sSub>
        <m:r>
          <m:rPr>
            <m:sty m:val="p"/>
          </m:rPr>
          <m:t>;</m:t>
        </m:r>
        <m:sSub>
          <m:e>
            <m:r>
              <m:rPr>
                <m:sty m:val="b"/>
              </m:rPr>
              <m:t>F</m:t>
            </m:r>
          </m:e>
          <m:sub>
            <m:r>
              <m:rPr>
                <m:nor/>
                <m:sty m:val="p"/>
              </m:rPr>
              <m:t>region</m:t>
            </m:r>
          </m:sub>
        </m:sSub>
        <m:r>
          <m:rPr>
            <m:sty m:val="p"/>
          </m:rPr>
          <m:t>]</m:t>
        </m:r>
        <m:r>
          <m:rPr>
            <m:sty m:val="p"/>
          </m:rPr>
          <m:t>∈</m:t>
        </m:r>
        <m:sSup>
          <m:e>
            <m:r>
              <m:rPr>
                <m:scr m:val="double-struck"/>
                <m:sty m:val="p"/>
              </m:rPr>
              <m:t>R</m:t>
            </m:r>
          </m:e>
          <m:sup>
            <m:r>
              <m:t>640</m:t>
            </m:r>
          </m:sup>
        </m:sSup>
      </m:oMath>
      <w:r>
        <w:t xml:space="preserve">.</w:t>
      </w:r>
    </w:p>
    <w:bookmarkEnd w:id="27"/>
    <w:bookmarkEnd w:id="28"/>
    <w:bookmarkStart w:id="33" w:name="trifusionlayer"/>
    <w:p>
      <w:pPr>
        <w:pStyle w:val="Heading2"/>
      </w:pPr>
      <w:r>
        <w:t xml:space="preserve">TriFusionLayer</w:t>
      </w:r>
    </w:p>
    <w:p>
      <w:pPr>
        <w:pStyle w:val="FirstParagraph"/>
      </w:pPr>
      <w:r>
        <w:t xml:space="preserve">The fusion layer integrates all three sub-model embeddings through pairwise cross-attention and adaptive gating.</w:t>
      </w:r>
    </w:p>
    <w:bookmarkStart w:id="29" w:name="modality-projection"/>
    <w:p>
      <w:pPr>
        <w:pStyle w:val="Heading3"/>
      </w:pPr>
      <w:r>
        <w:t xml:space="preserve">Modality Projection</w:t>
      </w:r>
    </w:p>
    <w:p>
      <w:pPr>
        <w:pStyle w:val="FirstParagraph"/>
      </w:pPr>
      <w:r>
        <w:t xml:space="preserve">Each embedding is projected to a common 256-dim space:</w:t>
      </w:r>
    </w:p>
    <w:p>
      <w:pPr>
        <w:pStyle w:val="BodyText"/>
      </w:pPr>
      <m:oMathPara>
        <m:oMathParaPr>
          <m:jc m:val="center"/>
        </m:oMathParaPr>
        <m:oMath>
          <m:sSub>
            <m:e>
              <m:r>
                <m:rPr>
                  <m:sty m:val="b"/>
                </m:rPr>
                <m:t>p</m:t>
              </m:r>
            </m:e>
            <m:sub>
              <m:r>
                <m:t>m</m:t>
              </m:r>
            </m:sub>
          </m:sSub>
          <m:r>
            <m:rPr>
              <m:sty m:val="p"/>
            </m:rPr>
            <m:t>=</m:t>
          </m:r>
          <m:sSub>
            <m:e>
              <m:r>
                <m:rPr>
                  <m:nor/>
                  <m:sty m:val="p"/>
                </m:rPr>
                <m:t>MLP</m:t>
              </m:r>
            </m:e>
            <m:sub>
              <m:r>
                <m:t>m</m:t>
              </m:r>
            </m:sub>
          </m:sSub>
          <m:r>
            <m:rPr>
              <m:sty m:val="p"/>
            </m:rPr>
            <m:t>(</m:t>
          </m:r>
          <m:sSub>
            <m:e>
              <m:r>
                <m:rPr>
                  <m:sty m:val="b"/>
                </m:rPr>
                <m:t>e</m:t>
              </m:r>
            </m:e>
            <m:sub>
              <m:r>
                <m:t>m</m:t>
              </m:r>
            </m:sub>
          </m:sSub>
          <m:r>
            <m:rPr>
              <m:sty m:val="p"/>
            </m:rPr>
            <m:t>)</m:t>
          </m:r>
          <m:r>
            <m:rPr>
              <m:sty m:val="p"/>
            </m:rPr>
            <m:t>∈</m:t>
          </m:r>
          <m:sSup>
            <m:e>
              <m:r>
                <m:rPr>
                  <m:scr m:val="double-struck"/>
                  <m:sty m:val="p"/>
                </m:rPr>
                <m:t>R</m:t>
              </m:r>
            </m:e>
            <m:sup>
              <m:r>
                <m:t>256</m:t>
              </m:r>
            </m:sup>
          </m:sSup>
          <m:r>
            <m:rPr>
              <m:sty m:val="p"/>
            </m:rPr>
            <m:t>,</m:t>
          </m:r>
          <m:r>
            <m:t> </m:t>
          </m:r>
          <m:r>
            <m:t>m</m:t>
          </m:r>
          <m:r>
            <m:rPr>
              <m:sty m:val="p"/>
            </m:rPr>
            <m:t>∈</m:t>
          </m:r>
          <m:r>
            <m:rPr>
              <m:sty m:val="p"/>
            </m:rPr>
            <m:t>{</m:t>
          </m:r>
          <m:r>
            <m:rPr>
              <m:nor/>
              <m:sty m:val="p"/>
            </m:rPr>
            <m:t>crisis, iot, sat</m:t>
          </m:r>
          <m:r>
            <m:rPr>
              <m:sty m:val="p"/>
            </m:rPr>
            <m:t>}</m:t>
          </m:r>
        </m:oMath>
      </m:oMathPara>
    </w:p>
    <w:p>
      <w:pPr>
        <w:pStyle w:val="FirstParagraph"/>
      </w:pPr>
      <w:r>
        <w:t xml:space="preserve">where crisis:</w:t>
      </w:r>
      <w:r>
        <w:t xml:space="preserve"> </w:t>
      </w:r>
      <m:oMath>
        <m:r>
          <m:t>1024</m:t>
        </m:r>
        <m:r>
          <m:rPr>
            <m:sty m:val="p"/>
          </m:rPr>
          <m:t>→</m:t>
        </m:r>
        <m:r>
          <m:t>512</m:t>
        </m:r>
        <m:r>
          <m:rPr>
            <m:sty m:val="p"/>
          </m:rPr>
          <m:t>→</m:t>
        </m:r>
        <m:r>
          <m:t>256</m:t>
        </m:r>
      </m:oMath>
      <w:r>
        <w:t xml:space="preserve">, IoT:</w:t>
      </w:r>
      <w:r>
        <w:t xml:space="preserve"> </w:t>
      </w:r>
      <m:oMath>
        <m:r>
          <m:t>128</m:t>
        </m:r>
        <m:r>
          <m:rPr>
            <m:sty m:val="p"/>
          </m:rPr>
          <m:t>→</m:t>
        </m:r>
        <m:r>
          <m:t>512</m:t>
        </m:r>
        <m:r>
          <m:rPr>
            <m:sty m:val="p"/>
          </m:rPr>
          <m:t>→</m:t>
        </m:r>
        <m:r>
          <m:t>256</m:t>
        </m:r>
      </m:oMath>
      <w:r>
        <w:t xml:space="preserve">, satellite:</w:t>
      </w:r>
      <w:r>
        <w:t xml:space="preserve"> </w:t>
      </w:r>
      <m:oMath>
        <m:r>
          <m:t>640</m:t>
        </m:r>
        <m:r>
          <m:rPr>
            <m:sty m:val="p"/>
          </m:rPr>
          <m:t>→</m:t>
        </m:r>
        <m:r>
          <m:t>512</m:t>
        </m:r>
        <m:r>
          <m:rPr>
            <m:sty m:val="p"/>
          </m:rPr>
          <m:t>→</m:t>
        </m:r>
        <m:r>
          <m:t>256</m:t>
        </m:r>
      </m:oMath>
      <w:r>
        <w:t xml:space="preserve">.</w:t>
      </w:r>
    </w:p>
    <w:bookmarkEnd w:id="29"/>
    <w:bookmarkStart w:id="30" w:name="pairwise-cross-attention"/>
    <w:p>
      <w:pPr>
        <w:pStyle w:val="Heading3"/>
      </w:pPr>
      <w:r>
        <w:t xml:space="preserve">Pairwise Cross-Attention</w:t>
      </w:r>
    </w:p>
    <w:p>
      <w:pPr>
        <w:pStyle w:val="FirstParagraph"/>
      </w:pPr>
      <w:r>
        <w:t xml:space="preserve">Three bidirectional cross-attention operations (4 heads each) are computed:</w:t>
      </w:r>
    </w:p>
    <w:p>
      <w:pPr>
        <w:pStyle w:val="BodyText"/>
      </w:pPr>
      <m:oMathPara>
        <m:oMathParaPr>
          <m:jc m:val="center"/>
        </m:oMathParaPr>
        <m:oMath>
          <m:r>
            <m:rPr>
              <m:sty m:val="p"/>
            </m:rPr>
            <m:t>(</m:t>
          </m:r>
          <m:sSub>
            <m:e>
              <m:r>
                <m:rPr>
                  <m:sty m:val="b"/>
                </m:rPr>
                <m:t>a</m:t>
              </m:r>
            </m:e>
            <m:sub>
              <m:r>
                <m:t>c</m:t>
              </m:r>
              <m:r>
                <m:t>i</m:t>
              </m:r>
            </m:sub>
          </m:sSub>
          <m:r>
            <m:rPr>
              <m:sty m:val="p"/>
            </m:rPr>
            <m:t>,</m:t>
          </m:r>
          <m:sSub>
            <m:e>
              <m:r>
                <m:rPr>
                  <m:sty m:val="b"/>
                </m:rPr>
                <m:t>a</m:t>
              </m:r>
            </m:e>
            <m:sub>
              <m:r>
                <m:t>i</m:t>
              </m:r>
              <m:r>
                <m:t>c</m:t>
              </m:r>
            </m:sub>
          </m:sSub>
          <m:r>
            <m:rPr>
              <m:sty m:val="p"/>
            </m:rPr>
            <m:t>)</m:t>
          </m:r>
          <m:r>
            <m:rPr>
              <m:sty m:val="p"/>
            </m:rPr>
            <m:t>=</m:t>
          </m:r>
          <m:r>
            <m:rPr>
              <m:nor/>
              <m:sty m:val="p"/>
            </m:rPr>
            <m:t>BiAttn</m:t>
          </m:r>
          <m:r>
            <m:rPr>
              <m:sty m:val="p"/>
            </m:rPr>
            <m:t>(</m:t>
          </m:r>
          <m:sSub>
            <m:e>
              <m:r>
                <m:rPr>
                  <m:sty m:val="b"/>
                </m:rPr>
                <m:t>p</m:t>
              </m:r>
            </m:e>
            <m:sub>
              <m:r>
                <m:rPr>
                  <m:nor/>
                  <m:sty m:val="p"/>
                </m:rPr>
                <m:t>crisis</m:t>
              </m:r>
            </m:sub>
          </m:sSub>
          <m:r>
            <m:rPr>
              <m:sty m:val="p"/>
            </m:rPr>
            <m:t>,</m:t>
          </m:r>
          <m:sSub>
            <m:e>
              <m:r>
                <m:rPr>
                  <m:sty m:val="b"/>
                </m:rPr>
                <m:t>p</m:t>
              </m:r>
            </m:e>
            <m:sub>
              <m:r>
                <m:rPr>
                  <m:nor/>
                  <m:sty m:val="p"/>
                </m:rPr>
                <m:t>iot</m:t>
              </m:r>
            </m:sub>
          </m:sSub>
          <m:r>
            <m:rPr>
              <m:sty m:val="p"/>
            </m:rPr>
            <m:t>)</m:t>
          </m:r>
        </m:oMath>
      </m:oMathPara>
    </w:p>
    <w:p>
      <w:pPr>
        <w:pStyle w:val="FirstParagraph"/>
      </w:pPr>
      <m:oMathPara>
        <m:oMathParaPr>
          <m:jc m:val="center"/>
        </m:oMathParaPr>
        <m:oMath>
          <m:r>
            <m:rPr>
              <m:sty m:val="p"/>
            </m:rPr>
            <m:t>(</m:t>
          </m:r>
          <m:sSub>
            <m:e>
              <m:r>
                <m:rPr>
                  <m:sty m:val="b"/>
                </m:rPr>
                <m:t>a</m:t>
              </m:r>
            </m:e>
            <m:sub>
              <m:r>
                <m:t>c</m:t>
              </m:r>
              <m:r>
                <m:t>s</m:t>
              </m:r>
            </m:sub>
          </m:sSub>
          <m:r>
            <m:rPr>
              <m:sty m:val="p"/>
            </m:rPr>
            <m:t>,</m:t>
          </m:r>
          <m:sSub>
            <m:e>
              <m:r>
                <m:rPr>
                  <m:sty m:val="b"/>
                </m:rPr>
                <m:t>a</m:t>
              </m:r>
            </m:e>
            <m:sub>
              <m:r>
                <m:t>s</m:t>
              </m:r>
              <m:r>
                <m:t>c</m:t>
              </m:r>
            </m:sub>
          </m:sSub>
          <m:r>
            <m:rPr>
              <m:sty m:val="p"/>
            </m:rPr>
            <m:t>)</m:t>
          </m:r>
          <m:r>
            <m:rPr>
              <m:sty m:val="p"/>
            </m:rPr>
            <m:t>=</m:t>
          </m:r>
          <m:r>
            <m:rPr>
              <m:nor/>
              <m:sty m:val="p"/>
            </m:rPr>
            <m:t>BiAttn</m:t>
          </m:r>
          <m:r>
            <m:rPr>
              <m:sty m:val="p"/>
            </m:rPr>
            <m:t>(</m:t>
          </m:r>
          <m:sSub>
            <m:e>
              <m:r>
                <m:rPr>
                  <m:sty m:val="b"/>
                </m:rPr>
                <m:t>p</m:t>
              </m:r>
            </m:e>
            <m:sub>
              <m:r>
                <m:rPr>
                  <m:nor/>
                  <m:sty m:val="p"/>
                </m:rPr>
                <m:t>crisis</m:t>
              </m:r>
            </m:sub>
          </m:sSub>
          <m:r>
            <m:rPr>
              <m:sty m:val="p"/>
            </m:rPr>
            <m:t>,</m:t>
          </m:r>
          <m:sSub>
            <m:e>
              <m:r>
                <m:rPr>
                  <m:sty m:val="b"/>
                </m:rPr>
                <m:t>p</m:t>
              </m:r>
            </m:e>
            <m:sub>
              <m:r>
                <m:rPr>
                  <m:nor/>
                  <m:sty m:val="p"/>
                </m:rPr>
                <m:t>sat</m:t>
              </m:r>
            </m:sub>
          </m:sSub>
          <m:r>
            <m:rPr>
              <m:sty m:val="p"/>
            </m:rPr>
            <m:t>)</m:t>
          </m:r>
        </m:oMath>
      </m:oMathPara>
    </w:p>
    <w:p>
      <w:pPr>
        <w:pStyle w:val="FirstParagraph"/>
      </w:pPr>
      <m:oMathPara>
        <m:oMathParaPr>
          <m:jc m:val="center"/>
        </m:oMathParaPr>
        <m:oMath>
          <m:r>
            <m:rPr>
              <m:sty m:val="p"/>
            </m:rPr>
            <m:t>(</m:t>
          </m:r>
          <m:sSub>
            <m:e>
              <m:r>
                <m:rPr>
                  <m:sty m:val="b"/>
                </m:rPr>
                <m:t>a</m:t>
              </m:r>
            </m:e>
            <m:sub>
              <m:r>
                <m:t>i</m:t>
              </m:r>
              <m:r>
                <m:t>s</m:t>
              </m:r>
            </m:sub>
          </m:sSub>
          <m:r>
            <m:rPr>
              <m:sty m:val="p"/>
            </m:rPr>
            <m:t>,</m:t>
          </m:r>
          <m:sSub>
            <m:e>
              <m:r>
                <m:rPr>
                  <m:sty m:val="b"/>
                </m:rPr>
                <m:t>a</m:t>
              </m:r>
            </m:e>
            <m:sub>
              <m:r>
                <m:t>s</m:t>
              </m:r>
              <m:r>
                <m:t>i</m:t>
              </m:r>
            </m:sub>
          </m:sSub>
          <m:r>
            <m:rPr>
              <m:sty m:val="p"/>
            </m:rPr>
            <m:t>)</m:t>
          </m:r>
          <m:r>
            <m:rPr>
              <m:sty m:val="p"/>
            </m:rPr>
            <m:t>=</m:t>
          </m:r>
          <m:r>
            <m:rPr>
              <m:nor/>
              <m:sty m:val="p"/>
            </m:rPr>
            <m:t>BiAttn</m:t>
          </m:r>
          <m:r>
            <m:rPr>
              <m:sty m:val="p"/>
            </m:rPr>
            <m:t>(</m:t>
          </m:r>
          <m:sSub>
            <m:e>
              <m:r>
                <m:rPr>
                  <m:sty m:val="b"/>
                </m:rPr>
                <m:t>p</m:t>
              </m:r>
            </m:e>
            <m:sub>
              <m:r>
                <m:rPr>
                  <m:nor/>
                  <m:sty m:val="p"/>
                </m:rPr>
                <m:t>iot</m:t>
              </m:r>
            </m:sub>
          </m:sSub>
          <m:r>
            <m:rPr>
              <m:sty m:val="p"/>
            </m:rPr>
            <m:t>,</m:t>
          </m:r>
          <m:sSub>
            <m:e>
              <m:r>
                <m:rPr>
                  <m:sty m:val="b"/>
                </m:rPr>
                <m:t>p</m:t>
              </m:r>
            </m:e>
            <m:sub>
              <m:r>
                <m:rPr>
                  <m:nor/>
                  <m:sty m:val="p"/>
                </m:rPr>
                <m:t>sat</m:t>
              </m:r>
            </m:sub>
          </m:sSub>
          <m:r>
            <m:rPr>
              <m:sty m:val="p"/>
            </m:rPr>
            <m:t>)</m:t>
          </m:r>
        </m:oMath>
      </m:oMathPara>
    </w:p>
    <w:p>
      <w:pPr>
        <w:pStyle w:val="FirstParagraph"/>
      </w:pPr>
      <w:r>
        <w:t xml:space="preserve">producing six 256-dim attended representations.</w:t>
      </w:r>
    </w:p>
    <w:bookmarkEnd w:id="30"/>
    <w:bookmarkStart w:id="31" w:name="adaptive-modality-gating"/>
    <w:p>
      <w:pPr>
        <w:pStyle w:val="Heading3"/>
      </w:pPr>
      <w:r>
        <w:t xml:space="preserve">Adaptive Modality Gating</w:t>
      </w:r>
    </w:p>
    <w:p>
      <w:pPr>
        <w:pStyle w:val="FirstParagraph"/>
      </w:pPr>
      <w:r>
        <w:t xml:space="preserve">A learned gate produces softmax weights over the three modalities:</w:t>
      </w:r>
    </w:p>
    <w:p>
      <w:pPr>
        <w:pStyle w:val="BodyText"/>
      </w:pPr>
      <m:oMathPara>
        <m:oMathParaPr>
          <m:jc m:val="center"/>
        </m:oMathParaPr>
        <m:oMath>
          <m:r>
            <m:rPr>
              <m:sty m:val="b"/>
            </m:rPr>
            <m:t>g</m:t>
          </m:r>
          <m:r>
            <m:rPr>
              <m:sty m:val="p"/>
            </m:rPr>
            <m:t>=</m:t>
          </m:r>
          <m:r>
            <m:rPr>
              <m:nor/>
              <m:sty m:val="p"/>
            </m:rPr>
            <m:t>softmax</m:t>
          </m:r>
          <m:r>
            <m:rPr>
              <m:sty m:val="p"/>
            </m:rPr>
            <m:t>(</m:t>
          </m:r>
          <m:sSub>
            <m:e>
              <m:r>
                <m:rPr>
                  <m:nor/>
                  <m:sty m:val="p"/>
                </m:rPr>
                <m:t>MLP</m:t>
              </m:r>
            </m:e>
            <m:sub>
              <m:r>
                <m:t>g</m:t>
              </m:r>
            </m:sub>
          </m:sSub>
          <m:r>
            <m:rPr>
              <m:sty m:val="p"/>
            </m:rPr>
            <m:t>(</m:t>
          </m:r>
          <m:r>
            <m:rPr>
              <m:sty m:val="p"/>
            </m:rPr>
            <m:t>[</m:t>
          </m:r>
          <m:sSub>
            <m:e>
              <m:r>
                <m:rPr>
                  <m:sty m:val="b"/>
                </m:rPr>
                <m:t>p</m:t>
              </m:r>
            </m:e>
            <m:sub>
              <m:r>
                <m:rPr>
                  <m:nor/>
                  <m:sty m:val="p"/>
                </m:rPr>
                <m:t>crisis</m:t>
              </m:r>
            </m:sub>
          </m:sSub>
          <m:r>
            <m:rPr>
              <m:sty m:val="p"/>
            </m:rPr>
            <m:t>;</m:t>
          </m:r>
          <m:sSub>
            <m:e>
              <m:r>
                <m:rPr>
                  <m:sty m:val="b"/>
                </m:rPr>
                <m:t>p</m:t>
              </m:r>
            </m:e>
            <m:sub>
              <m:r>
                <m:rPr>
                  <m:nor/>
                  <m:sty m:val="p"/>
                </m:rPr>
                <m:t>iot</m:t>
              </m:r>
            </m:sub>
          </m:sSub>
          <m:r>
            <m:rPr>
              <m:sty m:val="p"/>
            </m:rPr>
            <m:t>;</m:t>
          </m:r>
          <m:sSub>
            <m:e>
              <m:r>
                <m:rPr>
                  <m:sty m:val="b"/>
                </m:rPr>
                <m:t>p</m:t>
              </m:r>
            </m:e>
            <m:sub>
              <m:r>
                <m:rPr>
                  <m:nor/>
                  <m:sty m:val="p"/>
                </m:rPr>
                <m:t>sat</m:t>
              </m:r>
            </m:sub>
          </m:sSub>
          <m:r>
            <m:rPr>
              <m:sty m:val="p"/>
            </m:rPr>
            <m:t>]</m:t>
          </m:r>
          <m:r>
            <m:rPr>
              <m:sty m:val="p"/>
            </m:rPr>
            <m:t>)</m:t>
          </m:r>
          <m:r>
            <m:rPr>
              <m:sty m:val="p"/>
            </m:rPr>
            <m:t>)</m:t>
          </m:r>
        </m:oMath>
      </m:oMathPara>
    </w:p>
    <w:p>
      <w:pPr>
        <w:pStyle w:val="FirstParagraph"/>
      </w:pPr>
      <w:r>
        <w:t xml:space="preserve">with missing-modality masking: absent modalities receive</w:t>
      </w:r>
      <w:r>
        <w:t xml:space="preserve"> </w:t>
      </w:r>
      <m:oMath>
        <m:r>
          <m:rPr>
            <m:sty m:val="p"/>
          </m:rPr>
          <m:t>−</m:t>
        </m:r>
        <m:r>
          <m:rPr>
            <m:sty m:val="p"/>
          </m:rPr>
          <m:t>∞</m:t>
        </m:r>
      </m:oMath>
      <w:r>
        <w:t xml:space="preserve"> </w:t>
      </w:r>
      <w:r>
        <w:t xml:space="preserve">before softmax.</w:t>
      </w:r>
    </w:p>
    <w:bookmarkEnd w:id="31"/>
    <w:bookmarkStart w:id="32" w:name="shared-mlp-and-output-heads"/>
    <w:p>
      <w:pPr>
        <w:pStyle w:val="Heading3"/>
      </w:pPr>
      <w:r>
        <w:t xml:space="preserve">Shared MLP and Output Heads</w:t>
      </w:r>
    </w:p>
    <w:p>
      <w:pPr>
        <w:pStyle w:val="FirstParagraph"/>
      </w:pPr>
      <w:r>
        <w:t xml:space="preserve">The concatenation of all six attended and three projected features (</w:t>
      </w:r>
      <m:oMath>
        <m:r>
          <m:t>9</m:t>
        </m:r>
        <m:r>
          <m:rPr>
            <m:sty m:val="p"/>
          </m:rPr>
          <m:t>×</m:t>
        </m:r>
        <m:r>
          <m:t>256</m:t>
        </m:r>
        <m:r>
          <m:rPr>
            <m:sty m:val="p"/>
          </m:rPr>
          <m:t>=</m:t>
        </m:r>
        <m:r>
          <m:t>2304</m:t>
        </m:r>
      </m:oMath>
      <w:r>
        <w:t xml:space="preserve">-dim, with selection based on available modalities, yielding up to 1536-dim) passes through a shared MLP (</w:t>
      </w:r>
      <m:oMath>
        <m:r>
          <m:rPr>
            <m:sty m:val="p"/>
          </m:rPr>
          <m:t>→</m:t>
        </m:r>
        <m:r>
          <m:t>512</m:t>
        </m:r>
        <m:r>
          <m:rPr>
            <m:sty m:val="p"/>
          </m:rPr>
          <m:t>→</m:t>
        </m:r>
        <m:r>
          <m:t>256</m:t>
        </m:r>
      </m:oMath>
      <w:r>
        <w:t xml:space="preserve">) followed by five output heads:</w:t>
      </w:r>
    </w:p>
    <w:p>
      <w:pPr>
        <w:numPr>
          <w:ilvl w:val="0"/>
          <w:numId w:val="1003"/>
        </w:numPr>
      </w:pPr>
      <w:r>
        <w:rPr>
          <w:b/>
          <w:bCs/>
        </w:rPr>
        <w:t xml:space="preserve">Severity</w:t>
      </w:r>
      <w:r>
        <w:t xml:space="preserve">: Linear</w:t>
      </w:r>
      <m:oMath>
        <m:r>
          <m:rPr>
            <m:sty m:val="p"/>
          </m:rPr>
          <m:t>(</m:t>
        </m:r>
        <m:r>
          <m:t>256</m:t>
        </m:r>
        <m:r>
          <m:rPr>
            <m:sty m:val="p"/>
          </m:rPr>
          <m:t>,</m:t>
        </m:r>
        <m:r>
          <m:t>1</m:t>
        </m:r>
        <m:r>
          <m:rPr>
            <m:sty m:val="p"/>
          </m:rPr>
          <m:t>)</m:t>
        </m:r>
      </m:oMath>
      <w:r>
        <w:t xml:space="preserve"> </w:t>
      </w:r>
      <w:r>
        <w:t xml:space="preserve">+ Sigmoid</w:t>
      </w:r>
      <w:r>
        <w:t xml:space="preserve"> </w:t>
      </w:r>
      <m:oMath>
        <m:r>
          <m:rPr>
            <m:sty m:val="p"/>
          </m:rPr>
          <m:t>→</m:t>
        </m:r>
        <m:r>
          <m:rPr>
            <m:sty m:val="p"/>
          </m:rPr>
          <m:t>[</m:t>
        </m:r>
        <m:r>
          <m:t>0</m:t>
        </m:r>
        <m:r>
          <m:rPr>
            <m:sty m:val="p"/>
          </m:rPr>
          <m:t>,</m:t>
        </m:r>
        <m:r>
          <m:t>1</m:t>
        </m:r>
        <m:r>
          <m:rPr>
            <m:sty m:val="p"/>
          </m:rPr>
          <m:t>]</m:t>
        </m:r>
      </m:oMath>
    </w:p>
    <w:p>
      <w:pPr>
        <w:numPr>
          <w:ilvl w:val="0"/>
          <w:numId w:val="1003"/>
        </w:numPr>
      </w:pPr>
      <w:r>
        <w:rPr>
          <w:b/>
          <w:bCs/>
        </w:rPr>
        <w:t xml:space="preserve">Priority</w:t>
      </w:r>
      <w:r>
        <w:t xml:space="preserve">: Linear</w:t>
      </w:r>
      <m:oMath>
        <m:r>
          <m:rPr>
            <m:sty m:val="p"/>
          </m:rPr>
          <m:t>(</m:t>
        </m:r>
        <m:r>
          <m:t>256</m:t>
        </m:r>
        <m:r>
          <m:rPr>
            <m:sty m:val="p"/>
          </m:rPr>
          <m:t>,</m:t>
        </m:r>
        <m:r>
          <m:t>4</m:t>
        </m:r>
        <m:r>
          <m:rPr>
            <m:sty m:val="p"/>
          </m:rPr>
          <m:t>)</m:t>
        </m:r>
        <m:r>
          <m:rPr>
            <m:sty m:val="p"/>
          </m:rPr>
          <m:t>→</m:t>
        </m:r>
      </m:oMath>
      <w:r>
        <w:t xml:space="preserve"> </w:t>
      </w:r>
      <w:r>
        <w:t xml:space="preserve">4-class logits</w:t>
      </w:r>
    </w:p>
    <w:p>
      <w:pPr>
        <w:numPr>
          <w:ilvl w:val="0"/>
          <w:numId w:val="1003"/>
        </w:numPr>
      </w:pPr>
      <w:r>
        <w:rPr>
          <w:b/>
          <w:bCs/>
        </w:rPr>
        <w:t xml:space="preserve">Disaster type</w:t>
      </w:r>
      <w:r>
        <w:t xml:space="preserve">: Linear</w:t>
      </w:r>
      <m:oMath>
        <m:r>
          <m:rPr>
            <m:sty m:val="p"/>
          </m:rPr>
          <m:t>(</m:t>
        </m:r>
        <m:r>
          <m:t>256</m:t>
        </m:r>
        <m:r>
          <m:rPr>
            <m:sty m:val="p"/>
          </m:rPr>
          <m:t>,</m:t>
        </m:r>
        <m:r>
          <m:t>5</m:t>
        </m:r>
        <m:r>
          <m:rPr>
            <m:sty m:val="p"/>
          </m:rPr>
          <m:t>)</m:t>
        </m:r>
        <m:r>
          <m:rPr>
            <m:sty m:val="p"/>
          </m:rPr>
          <m:t>→</m:t>
        </m:r>
      </m:oMath>
      <w:r>
        <w:t xml:space="preserve"> </w:t>
      </w:r>
      <w:r>
        <w:t xml:space="preserve">5-class logits</w:t>
      </w:r>
    </w:p>
    <w:p>
      <w:pPr>
        <w:numPr>
          <w:ilvl w:val="0"/>
          <w:numId w:val="1003"/>
        </w:numPr>
      </w:pPr>
      <w:r>
        <w:rPr>
          <w:b/>
          <w:bCs/>
        </w:rPr>
        <w:t xml:space="preserve">Population impact</w:t>
      </w:r>
      <w:r>
        <w:t xml:space="preserve">: MLP</w:t>
      </w:r>
      <m:oMath>
        <m:r>
          <m:rPr>
            <m:sty m:val="p"/>
          </m:rPr>
          <m:t>(</m:t>
        </m:r>
        <m:r>
          <m:t>256</m:t>
        </m:r>
        <m:r>
          <m:rPr>
            <m:sty m:val="p"/>
          </m:rPr>
          <m:t>→</m:t>
        </m:r>
        <m:r>
          <m:t>64</m:t>
        </m:r>
        <m:r>
          <m:rPr>
            <m:sty m:val="p"/>
          </m:rPr>
          <m:t>→</m:t>
        </m:r>
        <m:r>
          <m:t>1</m:t>
        </m:r>
        <m:r>
          <m:rPr>
            <m:sty m:val="p"/>
          </m:rPr>
          <m:t>)</m:t>
        </m:r>
      </m:oMath>
      <w:r>
        <w:t xml:space="preserve"> </w:t>
      </w:r>
      <w:r>
        <w:t xml:space="preserve">+ Sigmoid</w:t>
      </w:r>
    </w:p>
    <w:p>
      <w:pPr>
        <w:numPr>
          <w:ilvl w:val="0"/>
          <w:numId w:val="1003"/>
        </w:numPr>
      </w:pPr>
      <w:r>
        <w:rPr>
          <w:b/>
          <w:bCs/>
        </w:rPr>
        <w:t xml:space="preserve">Resource needs</w:t>
      </w:r>
      <w:r>
        <w:t xml:space="preserve">: MLP</w:t>
      </w:r>
      <m:oMath>
        <m:r>
          <m:rPr>
            <m:sty m:val="p"/>
          </m:rPr>
          <m:t>(</m:t>
        </m:r>
        <m:r>
          <m:t>256</m:t>
        </m:r>
        <m:r>
          <m:rPr>
            <m:sty m:val="p"/>
          </m:rPr>
          <m:t>→</m:t>
        </m:r>
        <m:r>
          <m:t>64</m:t>
        </m:r>
        <m:r>
          <m:rPr>
            <m:sty m:val="p"/>
          </m:rPr>
          <m:t>→</m:t>
        </m:r>
        <m:r>
          <m:t>4</m:t>
        </m:r>
        <m:r>
          <m:rPr>
            <m:sty m:val="p"/>
          </m:rPr>
          <m:t>)</m:t>
        </m:r>
      </m:oMath>
      <w:r>
        <w:t xml:space="preserve"> </w:t>
      </w:r>
      <w:r>
        <w:t xml:space="preserve">+ Sigmoid</w:t>
      </w:r>
    </w:p>
    <w:p>
      <w:pPr>
        <w:pStyle w:val="FirstParagraph"/>
      </w:pPr>
      <w:r>
        <w:t xml:space="preserve">The combined loss is:</w:t>
      </w:r>
    </w:p>
    <w:p>
      <w:pPr>
        <w:pStyle w:val="BodyText"/>
      </w:pPr>
      <m:oMathPara>
        <m:oMathParaPr>
          <m:jc m:val="center"/>
        </m:oMathParaPr>
        <m:oMath>
          <m:sSub>
            <m:e>
              <m:r>
                <m:rPr>
                  <m:scr m:val="script"/>
                  <m:sty m:val="p"/>
                </m:rPr>
                <m:t>L</m:t>
              </m:r>
            </m:e>
            <m:sub>
              <m:r>
                <m:rPr>
                  <m:nor/>
                  <m:sty m:val="p"/>
                </m:rPr>
                <m:t>fusion</m:t>
              </m:r>
            </m:sub>
          </m:sSub>
          <m:r>
            <m:rPr>
              <m:sty m:val="p"/>
            </m:rPr>
            <m:t>=</m:t>
          </m:r>
          <m:r>
            <m:rPr>
              <m:nor/>
              <m:sty m:val="p"/>
            </m:rPr>
            <m:t>MSE</m:t>
          </m:r>
          <m:r>
            <m:rPr>
              <m:sty m:val="p"/>
            </m:rPr>
            <m:t>(</m:t>
          </m:r>
          <m:r>
            <m:t>s</m:t>
          </m:r>
          <m:r>
            <m:rPr>
              <m:sty m:val="p"/>
            </m:rPr>
            <m:t>)</m:t>
          </m:r>
          <m:r>
            <m:rPr>
              <m:sty m:val="p"/>
            </m:rPr>
            <m:t>+</m:t>
          </m:r>
          <m:r>
            <m:rPr>
              <m:nor/>
              <m:sty m:val="p"/>
            </m:rPr>
            <m:t>CE</m:t>
          </m:r>
          <m:r>
            <m:rPr>
              <m:sty m:val="p"/>
            </m:rPr>
            <m:t>(</m:t>
          </m:r>
          <m:r>
            <m:t>p</m:t>
          </m:r>
          <m:r>
            <m:rPr>
              <m:sty m:val="p"/>
            </m:rPr>
            <m:t>)</m:t>
          </m:r>
          <m:r>
            <m:rPr>
              <m:sty m:val="p"/>
            </m:rPr>
            <m:t>+</m:t>
          </m:r>
          <m:r>
            <m:rPr>
              <m:nor/>
              <m:sty m:val="p"/>
            </m:rPr>
            <m:t>CE</m:t>
          </m:r>
          <m:r>
            <m:rPr>
              <m:sty m:val="p"/>
            </m:rPr>
            <m:t>(</m:t>
          </m:r>
          <m:r>
            <m:t>d</m:t>
          </m:r>
          <m:r>
            <m:rPr>
              <m:sty m:val="p"/>
            </m:rPr>
            <m:t>)</m:t>
          </m:r>
          <m:r>
            <m:rPr>
              <m:sty m:val="p"/>
            </m:rPr>
            <m:t>+</m:t>
          </m:r>
          <m:r>
            <m:rPr>
              <m:nor/>
              <m:sty m:val="p"/>
            </m:rPr>
            <m:t>MSE</m:t>
          </m:r>
          <m:r>
            <m:rPr>
              <m:sty m:val="p"/>
            </m:rPr>
            <m:t>(</m:t>
          </m:r>
          <m:r>
            <m:t>p</m:t>
          </m:r>
          <m:r>
            <m:t>o</m:t>
          </m:r>
          <m:r>
            <m:t>p</m:t>
          </m:r>
          <m:r>
            <m:rPr>
              <m:sty m:val="p"/>
            </m:rPr>
            <m:t>)</m:t>
          </m:r>
          <m:r>
            <m:rPr>
              <m:sty m:val="p"/>
            </m:rPr>
            <m:t>+</m:t>
          </m:r>
          <m:r>
            <m:rPr>
              <m:nor/>
              <m:sty m:val="p"/>
            </m:rPr>
            <m:t>MSE</m:t>
          </m:r>
          <m:r>
            <m:rPr>
              <m:sty m:val="p"/>
            </m:rPr>
            <m:t>(</m:t>
          </m:r>
          <m:r>
            <m:t>r</m:t>
          </m:r>
          <m:r>
            <m:t>e</m:t>
          </m:r>
          <m:r>
            <m:t>s</m:t>
          </m:r>
          <m:r>
            <m:rPr>
              <m:sty m:val="p"/>
            </m:rPr>
            <m:t>)</m:t>
          </m:r>
        </m:oMath>
      </m:oMathPara>
    </w:p>
    <w:bookmarkEnd w:id="32"/>
    <w:bookmarkEnd w:id="33"/>
    <w:bookmarkStart w:id="36" w:name="training-strategy"/>
    <w:p>
      <w:pPr>
        <w:pStyle w:val="Heading2"/>
      </w:pPr>
      <w:r>
        <w:t xml:space="preserve">Training Strategy</w:t>
      </w:r>
    </w:p>
    <w:bookmarkStart w:id="34" w:name="modality-dropout"/>
    <w:p>
      <w:pPr>
        <w:pStyle w:val="Heading3"/>
      </w:pPr>
      <w:r>
        <w:t xml:space="preserve">Modality Dropout</w:t>
      </w:r>
    </w:p>
    <w:p>
      <w:pPr>
        <w:pStyle w:val="FirstParagraph"/>
      </w:pPr>
      <w:r>
        <w:t xml:space="preserve">During training, IoT and satellite embeddings are independently dropped with 30% probability and replaced with learned default embeddings (</w:t>
      </w:r>
      <m:oMath>
        <m:sSubSup>
          <m:e>
            <m:r>
              <m:rPr>
                <m:sty m:val="b"/>
              </m:rPr>
              <m:t>e</m:t>
            </m:r>
          </m:e>
          <m:sub>
            <m:r>
              <m:rPr>
                <m:nor/>
                <m:sty m:val="p"/>
              </m:rPr>
              <m:t>iot</m:t>
            </m:r>
          </m:sub>
          <m:sup>
            <m:r>
              <m:rPr>
                <m:nor/>
                <m:sty m:val="p"/>
              </m:rPr>
              <m:t>default</m:t>
            </m:r>
          </m:sup>
        </m:sSubSup>
      </m:oMath>
      <w:r>
        <w:t xml:space="preserve">,</w:t>
      </w:r>
      <w:r>
        <w:t xml:space="preserve"> </w:t>
      </w:r>
      <m:oMath>
        <m:sSubSup>
          <m:e>
            <m:r>
              <m:rPr>
                <m:sty m:val="b"/>
              </m:rPr>
              <m:t>e</m:t>
            </m:r>
          </m:e>
          <m:sub>
            <m:r>
              <m:rPr>
                <m:nor/>
                <m:sty m:val="p"/>
              </m:rPr>
              <m:t>sat</m:t>
            </m:r>
          </m:sub>
          <m:sup>
            <m:r>
              <m:rPr>
                <m:nor/>
                <m:sty m:val="p"/>
              </m:rPr>
              <m:t>default</m:t>
            </m:r>
          </m:sup>
        </m:sSubSup>
      </m:oMath>
      <w:r>
        <w:t xml:space="preserve">). This forces the model to learn robust representations that degrade gracefully when modalities are missing at inference.</w:t>
      </w:r>
    </w:p>
    <w:bookmarkEnd w:id="34"/>
    <w:bookmarkStart w:id="35" w:name="zero-input-disaster-type-detection"/>
    <w:p>
      <w:pPr>
        <w:pStyle w:val="Heading3"/>
      </w:pPr>
      <w:r>
        <w:t xml:space="preserve">Zero-Input Disaster Type Detection</w:t>
      </w:r>
    </w:p>
    <w:p>
      <w:pPr>
        <w:pStyle w:val="FirstParagraph"/>
      </w:pPr>
      <w:r>
        <w:t xml:space="preserve">Both the IoT and crisis sub-models independently infer disaster type from raw data—the system never requires manual hazard selection, saving critical minutes at incident onset.</w:t>
      </w:r>
    </w:p>
    <w:bookmarkEnd w:id="35"/>
    <w:bookmarkEnd w:id="36"/>
    <w:bookmarkEnd w:id="37"/>
    <w:bookmarkStart w:id="41" w:name="explainability-framework"/>
    <w:p>
      <w:pPr>
        <w:pStyle w:val="Heading1"/>
      </w:pPr>
      <w:r>
        <w:t xml:space="preserve">Explainability Framework</w:t>
      </w:r>
    </w:p>
    <w:bookmarkStart w:id="38" w:name="gradient-weighted-attention-rollout"/>
    <w:p>
      <w:pPr>
        <w:pStyle w:val="Heading2"/>
      </w:pPr>
      <w:r>
        <w:t xml:space="preserve">Gradient-Weighted Attention Rollout</w:t>
      </w:r>
    </w:p>
    <w:p>
      <w:pPr>
        <w:pStyle w:val="FirstParagraph"/>
      </w:pPr>
      <w:r>
        <w:t xml:space="preserve">Standard Grad-CAM fails on Vision Transformers because only the CLS token is used for classification, leaving patch-token gradients near-zero. We propose</w:t>
      </w:r>
      <w:r>
        <w:t xml:space="preserve"> </w:t>
      </w:r>
      <w:r>
        <w:rPr>
          <w:b/>
          <w:bCs/>
        </w:rPr>
        <w:t xml:space="preserve">Gradient-Weighted Attention Rollout</w:t>
      </w:r>
      <w:r>
        <w:t xml:space="preserve"> </w:t>
      </w:r>
      <w:r>
        <w:t xml:space="preserve">that operates on attention weight tensors:</w:t>
      </w:r>
    </w:p>
    <w:p>
      <w:pPr>
        <w:numPr>
          <w:ilvl w:val="0"/>
          <w:numId w:val="1004"/>
        </w:numPr>
      </w:pPr>
      <w:r>
        <w:t xml:space="preserve">Forward pass with</w:t>
      </w:r>
      <w:r>
        <w:t xml:space="preserve"> </w:t>
      </w:r>
      <w:r>
        <w:rPr>
          <w:rStyle w:val="VerbatimChar"/>
        </w:rPr>
        <w:t xml:space="preserve">output_attentions=True</w:t>
      </w:r>
      <w:r>
        <w:t xml:space="preserve"> </w:t>
      </w:r>
      <w:r>
        <w:t xml:space="preserve">captures attention matrices</w:t>
      </w:r>
      <w:r>
        <w:t xml:space="preserve"> </w:t>
      </w:r>
      <m:oMath>
        <m:sSup>
          <m:e>
            <m:r>
              <m:rPr>
                <m:sty m:val="b"/>
              </m:rPr>
              <m:t>A</m:t>
            </m:r>
          </m:e>
          <m:sup>
            <m:r>
              <m:rPr>
                <m:sty m:val="p"/>
              </m:rPr>
              <m:t>(</m:t>
            </m:r>
            <m:r>
              <m:t>l</m:t>
            </m:r>
            <m:r>
              <m:rPr>
                <m:sty m:val="p"/>
              </m:rPr>
              <m:t>)</m:t>
            </m:r>
          </m:sup>
        </m:sSup>
        <m:r>
          <m:rPr>
            <m:sty m:val="p"/>
          </m:rPr>
          <m:t>∈</m:t>
        </m:r>
        <m:sSup>
          <m:e>
            <m:r>
              <m:rPr>
                <m:scr m:val="double-struck"/>
                <m:sty m:val="p"/>
              </m:rPr>
              <m:t>R</m:t>
            </m:r>
          </m:e>
          <m:sup>
            <m:r>
              <m:t>H</m:t>
            </m:r>
            <m:r>
              <m:rPr>
                <m:sty m:val="p"/>
              </m:rPr>
              <m:t>×</m:t>
            </m:r>
            <m:r>
              <m:t>197</m:t>
            </m:r>
            <m:r>
              <m:rPr>
                <m:sty m:val="p"/>
              </m:rPr>
              <m:t>×</m:t>
            </m:r>
            <m:r>
              <m:t>197</m:t>
            </m:r>
          </m:sup>
        </m:sSup>
      </m:oMath>
      <w:r>
        <w:t xml:space="preserve"> </w:t>
      </w:r>
      <w:r>
        <w:t xml:space="preserve">for all 12 layers.</w:t>
      </w:r>
    </w:p>
    <w:p>
      <w:pPr>
        <w:numPr>
          <w:ilvl w:val="0"/>
          <w:numId w:val="1004"/>
        </w:numPr>
      </w:pPr>
      <w:r>
        <w:t xml:space="preserve">Backward pass from</w:t>
      </w:r>
      <w:r>
        <w:t xml:space="preserve"> </w:t>
      </w:r>
      <m:oMath>
        <m:r>
          <m:rPr>
            <m:nor/>
            <m:sty m:val="p"/>
          </m:rPr>
          <m:t>logits</m:t>
        </m:r>
        <m:r>
          <m:rPr>
            <m:sty m:val="p"/>
          </m:rPr>
          <m:t>[</m:t>
        </m:r>
        <m:acc>
          <m:accPr>
            <m:chr m:val="̂"/>
          </m:accPr>
          <m:e>
            <m:r>
              <m:t>y</m:t>
            </m:r>
          </m:e>
        </m:acc>
        <m:r>
          <m:rPr>
            <m:sty m:val="p"/>
          </m:rPr>
          <m:t>]</m:t>
        </m:r>
      </m:oMath>
      <w:r>
        <w:t xml:space="preserve"> </w:t>
      </w:r>
      <w:r>
        <w:t xml:space="preserve">captures gradient tensors</w:t>
      </w:r>
      <w:r>
        <w:t xml:space="preserve"> </w:t>
      </w:r>
      <m:oMath>
        <m:sSup>
          <m:e>
            <m:r>
              <m:rPr>
                <m:sty m:val="b"/>
              </m:rPr>
              <m:t>G</m:t>
            </m:r>
          </m:e>
          <m:sup>
            <m:r>
              <m:rPr>
                <m:sty m:val="p"/>
              </m:rPr>
              <m:t>(</m:t>
            </m:r>
            <m:r>
              <m:t>l</m:t>
            </m:r>
            <m:r>
              <m:rPr>
                <m:sty m:val="p"/>
              </m:rPr>
              <m:t>)</m:t>
            </m:r>
          </m:sup>
        </m:sSup>
      </m:oMath>
      <w:r>
        <w:t xml:space="preserve"> </w:t>
      </w:r>
      <w:r>
        <w:t xml:space="preserve">via hooks.</w:t>
      </w:r>
    </w:p>
    <w:p>
      <w:pPr>
        <w:numPr>
          <w:ilvl w:val="0"/>
          <w:numId w:val="1004"/>
        </w:numPr>
      </w:pPr>
      <w:r>
        <w:t xml:space="preserve">Gradient weighting (last 4 layers):</w:t>
      </w:r>
      <w:r>
        <w:t xml:space="preserve"> </w:t>
      </w:r>
      <m:oMath>
        <m:sSup>
          <m:e>
            <m:acc>
              <m:accPr>
                <m:chr m:val="̃"/>
              </m:accPr>
              <m:e>
                <m:r>
                  <m:rPr>
                    <m:sty m:val="b"/>
                  </m:rPr>
                  <m:t>A</m:t>
                </m:r>
              </m:e>
            </m:acc>
          </m:e>
          <m:sup>
            <m:r>
              <m:rPr>
                <m:sty m:val="p"/>
              </m:rPr>
              <m:t>(</m:t>
            </m:r>
            <m:r>
              <m:t>l</m:t>
            </m:r>
            <m:r>
              <m:rPr>
                <m:sty m:val="p"/>
              </m:rPr>
              <m:t>)</m:t>
            </m:r>
          </m:sup>
        </m:sSup>
        <m:r>
          <m:rPr>
            <m:sty m:val="p"/>
          </m:rPr>
          <m:t>=</m:t>
        </m:r>
        <m:sSup>
          <m:e>
            <m:r>
              <m:rPr>
                <m:sty m:val="b"/>
              </m:rPr>
              <m:t>A</m:t>
            </m:r>
          </m:e>
          <m:sup>
            <m:r>
              <m:rPr>
                <m:sty m:val="p"/>
              </m:rPr>
              <m:t>(</m:t>
            </m:r>
            <m:r>
              <m:t>l</m:t>
            </m:r>
            <m:r>
              <m:rPr>
                <m:sty m:val="p"/>
              </m:rPr>
              <m:t>)</m:t>
            </m:r>
          </m:sup>
        </m:sSup>
        <m:r>
          <m:rPr>
            <m:sty m:val="p"/>
          </m:rPr>
          <m:t>⋅</m:t>
        </m:r>
        <m:r>
          <m:rPr>
            <m:sty m:val="p"/>
          </m:rPr>
          <m:t>max</m:t>
        </m:r>
        <m:r>
          <m:rPr>
            <m:sty m:val="p"/>
          </m:rPr>
          <m:t>(</m:t>
        </m:r>
        <m:sSup>
          <m:e>
            <m:r>
              <m:rPr>
                <m:sty m:val="b"/>
              </m:rPr>
              <m:t>G</m:t>
            </m:r>
          </m:e>
          <m:sup>
            <m:r>
              <m:rPr>
                <m:sty m:val="p"/>
              </m:rPr>
              <m:t>(</m:t>
            </m:r>
            <m:r>
              <m:t>l</m:t>
            </m:r>
            <m:r>
              <m:rPr>
                <m:sty m:val="p"/>
              </m:rPr>
              <m:t>)</m:t>
            </m:r>
          </m:sup>
        </m:sSup>
        <m:r>
          <m:rPr>
            <m:sty m:val="p"/>
          </m:rPr>
          <m:t>,</m:t>
        </m:r>
        <m:r>
          <m:t>0</m:t>
        </m:r>
        <m:r>
          <m:rPr>
            <m:sty m:val="p"/>
          </m:rPr>
          <m:t>)</m:t>
        </m:r>
      </m:oMath>
      <w:r>
        <w:t xml:space="preserve">.</w:t>
      </w:r>
    </w:p>
    <w:p>
      <w:pPr>
        <w:numPr>
          <w:ilvl w:val="0"/>
          <w:numId w:val="1004"/>
        </w:numPr>
      </w:pPr>
      <w:r>
        <w:t xml:space="preserve">Attention rollout with residual:</w:t>
      </w:r>
      <w:r>
        <w:t xml:space="preserve"> </w:t>
      </w:r>
      <m:oMath>
        <m:sSup>
          <m:e>
            <m:r>
              <m:rPr>
                <m:sty m:val="b"/>
              </m:rPr>
              <m:t>R</m:t>
            </m:r>
          </m:e>
          <m:sup>
            <m:r>
              <m:rPr>
                <m:sty m:val="p"/>
              </m:rPr>
              <m:t>(</m:t>
            </m:r>
            <m:r>
              <m:t>l</m:t>
            </m:r>
            <m:r>
              <m:rPr>
                <m:sty m:val="p"/>
              </m:rPr>
              <m:t>)</m:t>
            </m:r>
          </m:sup>
        </m:sSup>
        <m:r>
          <m:rPr>
            <m:sty m:val="p"/>
          </m:rPr>
          <m:t>=</m:t>
        </m:r>
        <m:r>
          <m:t>0.5</m:t>
        </m:r>
        <m:r>
          <m:rPr>
            <m:sty m:val="p"/>
          </m:rPr>
          <m:t>⋅</m:t>
        </m:r>
        <m:sSup>
          <m:e>
            <m:acc>
              <m:accPr>
                <m:chr m:val="‾"/>
              </m:accPr>
              <m:e>
                <m:r>
                  <m:rPr>
                    <m:sty m:val="b"/>
                  </m:rPr>
                  <m:t>A</m:t>
                </m:r>
              </m:e>
            </m:acc>
          </m:e>
          <m:sup>
            <m:r>
              <m:rPr>
                <m:sty m:val="p"/>
              </m:rPr>
              <m:t>(</m:t>
            </m:r>
            <m:r>
              <m:t>l</m:t>
            </m:r>
            <m:r>
              <m:rPr>
                <m:sty m:val="p"/>
              </m:rPr>
              <m:t>)</m:t>
            </m:r>
          </m:sup>
        </m:sSup>
        <m:r>
          <m:rPr>
            <m:sty m:val="p"/>
          </m:rPr>
          <m:t>+</m:t>
        </m:r>
        <m:r>
          <m:t>0.5</m:t>
        </m:r>
        <m:r>
          <m:rPr>
            <m:sty m:val="p"/>
          </m:rPr>
          <m:t>⋅</m:t>
        </m:r>
        <m:r>
          <m:rPr>
            <m:sty m:val="b"/>
          </m:rPr>
          <m:t>I</m:t>
        </m:r>
      </m:oMath>
      <w:r>
        <w:t xml:space="preserve">, row-normalized, then multiplied across layers.</w:t>
      </w:r>
    </w:p>
    <w:p>
      <w:pPr>
        <w:numPr>
          <w:ilvl w:val="0"/>
          <w:numId w:val="1004"/>
        </w:numPr>
      </w:pPr>
      <w:r>
        <w:t xml:space="preserve">CLS row extraction, reshape to</w:t>
      </w:r>
      <w:r>
        <w:t xml:space="preserve"> </w:t>
      </w:r>
      <m:oMath>
        <m:r>
          <m:t>14</m:t>
        </m:r>
        <m:r>
          <m:rPr>
            <m:sty m:val="p"/>
          </m:rPr>
          <m:t>×</m:t>
        </m:r>
        <m:r>
          <m:t>14</m:t>
        </m:r>
      </m:oMath>
      <w:r>
        <w:t xml:space="preserve">, upsample to</w:t>
      </w:r>
      <w:r>
        <w:t xml:space="preserve"> </w:t>
      </w:r>
      <m:oMath>
        <m:r>
          <m:t>224</m:t>
        </m:r>
        <m:r>
          <m:rPr>
            <m:sty m:val="p"/>
          </m:rPr>
          <m:t>×</m:t>
        </m:r>
        <m:r>
          <m:t>224</m:t>
        </m:r>
      </m:oMath>
      <w:r>
        <w:t xml:space="preserve">, threshold at 40th percentile, Gaussian blur.</w:t>
      </w:r>
    </w:p>
    <w:bookmarkEnd w:id="38"/>
    <w:bookmarkStart w:id="39" w:name="three-tier-xai-fallback-chain"/>
    <w:p>
      <w:pPr>
        <w:pStyle w:val="Heading2"/>
      </w:pPr>
      <w:r>
        <w:t xml:space="preserve">Three-Tier XAI Fallback Chain</w:t>
      </w:r>
    </w:p>
    <w:p>
      <w:pPr>
        <w:pStyle w:val="FirstParagraph"/>
      </w:pPr>
      <w:r>
        <w:t xml:space="preserve">To guarantee interpretable output regardless of model internals or computation failures, we implement a cascading fallback:</w:t>
      </w:r>
    </w:p>
    <w:p>
      <w:pPr>
        <w:numPr>
          <w:ilvl w:val="0"/>
          <w:numId w:val="1005"/>
        </w:numPr>
      </w:pPr>
      <w:r>
        <w:rPr>
          <w:b/>
          <w:bCs/>
        </w:rPr>
        <w:t xml:space="preserve">Tier 1</w:t>
      </w:r>
      <w:r>
        <w:t xml:space="preserve">: Gradient-Weighted Attention Rollout (default, highest quality)</w:t>
      </w:r>
    </w:p>
    <w:p>
      <w:pPr>
        <w:numPr>
          <w:ilvl w:val="0"/>
          <w:numId w:val="1005"/>
        </w:numPr>
      </w:pPr>
      <w:r>
        <w:rPr>
          <w:b/>
          <w:bCs/>
        </w:rPr>
        <w:t xml:space="preserve">Tier 2</w:t>
      </w:r>
      <w:r>
        <w:t xml:space="preserve">: Pure Attention Rollout (when gradients fail)</w:t>
      </w:r>
    </w:p>
    <w:p>
      <w:pPr>
        <w:numPr>
          <w:ilvl w:val="0"/>
          <w:numId w:val="1005"/>
        </w:numPr>
      </w:pPr>
      <w:r>
        <w:rPr>
          <w:b/>
          <w:bCs/>
        </w:rPr>
        <w:t xml:space="preserve">Tier 3</w:t>
      </w:r>
      <w:r>
        <w:t xml:space="preserve">: Input Gradient Saliency (when attention is unavailable)</w:t>
      </w:r>
    </w:p>
    <w:p>
      <w:pPr>
        <w:numPr>
          <w:ilvl w:val="0"/>
          <w:numId w:val="1005"/>
        </w:numPr>
      </w:pPr>
      <w:r>
        <w:rPr>
          <w:b/>
          <w:bCs/>
        </w:rPr>
        <w:t xml:space="preserve">Tier 4</w:t>
      </w:r>
      <w:r>
        <w:t xml:space="preserve">: Graceful empty result (all methods fail)</w:t>
      </w:r>
    </w:p>
    <w:bookmarkEnd w:id="39"/>
    <w:bookmarkStart w:id="40" w:name="hybrid-visual-natural-language-xai"/>
    <w:p>
      <w:pPr>
        <w:pStyle w:val="Heading2"/>
      </w:pPr>
      <w:r>
        <w:t xml:space="preserve">Hybrid Visual + Natural Language XAI</w:t>
      </w:r>
    </w:p>
    <w:p>
      <w:pPr>
        <w:pStyle w:val="FirstParagraph"/>
      </w:pPr>
      <w:r>
        <w:t xml:space="preserve">A Grad-CAM heatmap (visual) is combined with a structured GPT-4o briefing (textual) in a unified view, providing field responders with both spatial guidance and actionable operational recommendations.</w:t>
      </w:r>
    </w:p>
    <w:bookmarkEnd w:id="40"/>
    <w:bookmarkEnd w:id="41"/>
    <w:bookmarkStart w:id="45" w:name="experimental-setup"/>
    <w:p>
      <w:pPr>
        <w:pStyle w:val="Heading1"/>
      </w:pPr>
      <w:r>
        <w:t xml:space="preserve">Experimental Setup</w:t>
      </w:r>
    </w:p>
    <w:bookmarkStart w:id="42" w:name="datasets"/>
    <w:p>
      <w:pPr>
        <w:pStyle w:val="Heading2"/>
      </w:pPr>
      <w:r>
        <w:t xml:space="preserve">Datasets</w:t>
      </w:r>
    </w:p>
    <w:p>
      <w:pPr>
        <w:pStyle w:val="FirstParagraph"/>
      </w:pPr>
      <w:r>
        <w:rPr>
          <w:b/>
          <w:bCs/>
        </w:rPr>
        <w:t xml:space="preserve">IoT sensor data.</w:t>
      </w:r>
      <w:r>
        <w:t xml:space="preserve"> </w:t>
      </w:r>
      <w:r>
        <w:t xml:space="preserve">We compiled 63,527 samples from six real-world sources: California Wildfire records (14,988 rows), Historical Tropical Storm Tracks (59,228), Atlantic Storms (22,705), Global Earthquakes (8,394), Iran Earthquakes (52,268), and Sri Lanka Flood Risk (25,000). After preprocessing, class support: fire (4,971), storm (13,162), earthquake (18,394), flood (25,000), unknown (2,000). All features are encoded into a unified 32-dim vector with cyclic time encoding (sin/cos for month and hour).</w:t>
      </w:r>
    </w:p>
    <w:p>
      <w:pPr>
        <w:pStyle w:val="BodyText"/>
      </w:pPr>
      <w:r>
        <w:rPr>
          <w:b/>
          <w:bCs/>
        </w:rPr>
        <w:t xml:space="preserve">Crisis social media.</w:t>
      </w:r>
      <w:r>
        <w:t xml:space="preserve"> </w:t>
      </w:r>
      <w:r>
        <w:t xml:space="preserve">The CrisisMMD dataset </w:t>
      </w:r>
      <w:r>
        <w:t xml:space="preserve"> </w:t>
      </w:r>
      <w:r>
        <w:t xml:space="preserve">with 8,079 image–text pairs across 5 humanitarian categories. Train/val/test split: 6,126/998/955 samples.</w:t>
      </w:r>
    </w:p>
    <w:p>
      <w:pPr>
        <w:pStyle w:val="BodyText"/>
      </w:pPr>
      <w:r>
        <w:rPr>
          <w:b/>
          <w:bCs/>
        </w:rPr>
        <w:t xml:space="preserve">Satellite imagery.</w:t>
      </w:r>
      <w:r>
        <w:t xml:space="preserve"> </w:t>
      </w:r>
      <w:r>
        <w:t xml:space="preserve">The xBD dataset </w:t>
      </w:r>
      <w:r>
        <w:t xml:space="preserve"> </w:t>
      </w:r>
      <w:r>
        <w:t xml:space="preserve">with 10,000 post-disaster satellite images (</w:t>
      </w:r>
      <m:oMath>
        <m:r>
          <m:t>512</m:t>
        </m:r>
        <m:r>
          <m:rPr>
            <m:sty m:val="p"/>
          </m:rPr>
          <m:t>×</m:t>
        </m:r>
        <m:r>
          <m:t>512</m:t>
        </m:r>
      </m:oMath>
      <w:r>
        <w:t xml:space="preserve">) across 4 damage classes (no-damage, minor, major, destroyed). Train/val split: 80/20.</w:t>
      </w:r>
    </w:p>
    <w:p>
      <w:pPr>
        <w:pStyle w:val="BodyText"/>
      </w:pPr>
      <w:r>
        <w:rPr>
          <w:b/>
          <w:bCs/>
        </w:rPr>
        <w:t xml:space="preserve">Tri-fusion training.</w:t>
      </w:r>
      <w:r>
        <w:t xml:space="preserve"> </w:t>
      </w:r>
      <w:r>
        <w:t xml:space="preserve">13,608 samples from the CrisisMMD humanitarian split with synthetic IoT embeddings (generated through pre-trained AdaptiveIoTClassifier) and real crisis embeddings. Train/val split: 80/20 (10,886/2,722).</w:t>
      </w:r>
    </w:p>
    <w:bookmarkEnd w:id="42"/>
    <w:bookmarkStart w:id="44" w:name="implementation-details"/>
    <w:p>
      <w:pPr>
        <w:pStyle w:val="Heading2"/>
      </w:pPr>
      <w:r>
        <w:t xml:space="preserve">Implementation Details</w:t>
      </w:r>
    </w:p>
    <w:p>
      <w:pPr>
        <w:pStyle w:val="FirstParagraph"/>
      </w:pPr>
      <w:r>
        <w:t xml:space="preserve">All models are implemented in PyTorch. Training details for each sub-model are summarized in Table </w:t>
      </w:r>
      <w:hyperlink w:anchor="tab:training_config">
        <w:r>
          <w:rPr>
            <w:rStyle w:val="Hyperlink"/>
          </w:rPr>
          <w:t xml:space="preserve">2</w:t>
        </w:r>
      </w:hyperlink>
      <w:r>
        <w:t xml:space="preserve">.</w:t>
      </w:r>
    </w:p>
    <w:bookmarkStart w:id="43" w:name="tab:training_config"/>
    <w:p>
      <w:pPr>
        <w:pStyle w:val="TableCaption"/>
      </w:pPr>
      <w:r>
        <w:t xml:space="preserve">Training Configuration for Each Sub-Model</w:t>
      </w:r>
    </w:p>
    <w:tbl>
      <w:tblPr>
        <w:tblStyle w:val="Table"/>
        <w:tblW w:type="auto" w:w="0"/>
        <w:tblLook w:firstRow="1" w:lastRow="0" w:firstColumn="0" w:lastColumn="0" w:noHBand="0" w:noVBand="0" w:val="0020"/>
        <w:tblCaption w:val="Training Configuration for Each Sub-Model"/>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IoT</w:t>
            </w:r>
          </w:p>
        </w:tc>
        <w:tc>
          <w:tcPr/>
          <w:p>
            <w:pPr>
              <w:pStyle w:val="Compact"/>
              <w:jc w:val="center"/>
            </w:pPr>
            <w:r>
              <w:rPr>
                <w:b/>
                <w:bCs/>
              </w:rPr>
              <w:t xml:space="preserve">Crisis</w:t>
            </w:r>
          </w:p>
        </w:tc>
        <w:tc>
          <w:tcPr/>
          <w:p>
            <w:pPr>
              <w:pStyle w:val="Compact"/>
              <w:jc w:val="center"/>
            </w:pPr>
            <w:r>
              <w:rPr>
                <w:b/>
                <w:bCs/>
              </w:rPr>
              <w:t xml:space="preserve">Tri-Fusion</w:t>
            </w:r>
          </w:p>
        </w:tc>
      </w:tr>
      <w:tr>
        <w:tc>
          <w:tcPr/>
          <w:p>
            <w:pPr>
              <w:pStyle w:val="Compact"/>
              <w:jc w:val="left"/>
            </w:pPr>
            <w:r>
              <w:t xml:space="preserve">Epochs</w:t>
            </w:r>
          </w:p>
        </w:tc>
        <w:tc>
          <w:tcPr/>
          <w:p>
            <w:pPr>
              <w:pStyle w:val="Compact"/>
              <w:jc w:val="center"/>
            </w:pPr>
            <w:r>
              <w:t xml:space="preserve">40</w:t>
            </w:r>
          </w:p>
        </w:tc>
        <w:tc>
          <w:tcPr/>
          <w:p>
            <w:pPr>
              <w:pStyle w:val="Compact"/>
              <w:jc w:val="center"/>
            </w:pPr>
            <w:r>
              <w:t xml:space="preserve">10</w:t>
            </w:r>
          </w:p>
        </w:tc>
        <w:tc>
          <w:tcPr/>
          <w:p>
            <w:pPr>
              <w:pStyle w:val="Compact"/>
              <w:jc w:val="center"/>
            </w:pPr>
            <w:r>
              <w:t xml:space="preserve">40</w:t>
            </w:r>
          </w:p>
        </w:tc>
      </w:tr>
      <w:tr>
        <w:tc>
          <w:tcPr/>
          <w:p>
            <w:pPr>
              <w:pStyle w:val="Compact"/>
              <w:jc w:val="left"/>
            </w:pPr>
            <w:r>
              <w:t xml:space="preserve">Batch size</w:t>
            </w:r>
          </w:p>
        </w:tc>
        <w:tc>
          <w:tcPr/>
          <w:p>
            <w:pPr>
              <w:pStyle w:val="Compact"/>
              <w:jc w:val="center"/>
            </w:pPr>
            <w:r>
              <w:t xml:space="preserve">256</w:t>
            </w:r>
          </w:p>
        </w:tc>
        <w:tc>
          <w:tcPr/>
          <w:p>
            <w:pPr>
              <w:pStyle w:val="Compact"/>
              <w:jc w:val="center"/>
            </w:pPr>
            <w:r>
              <w:t xml:space="preserve">32</w:t>
            </w:r>
          </w:p>
        </w:tc>
        <w:tc>
          <w:tcPr/>
          <w:p>
            <w:pPr>
              <w:pStyle w:val="Compact"/>
              <w:jc w:val="center"/>
            </w:pPr>
            <w:r>
              <w:t xml:space="preserve">128</w:t>
            </w:r>
          </w:p>
        </w:tc>
      </w:tr>
      <w:tr>
        <w:tc>
          <w:tcPr/>
          <w:p>
            <w:pPr>
              <w:pStyle w:val="Compact"/>
              <w:jc w:val="left"/>
            </w:pPr>
            <w:r>
              <w:t xml:space="preserve">Optimizer</w:t>
            </w:r>
          </w:p>
        </w:tc>
        <w:tc>
          <w:tcPr/>
          <w:p>
            <w:pPr>
              <w:pStyle w:val="Compact"/>
              <w:jc w:val="center"/>
            </w:pPr>
            <w:r>
              <w:t xml:space="preserve">AdamW</w:t>
            </w:r>
          </w:p>
        </w:tc>
        <w:tc>
          <w:tcPr/>
          <w:p>
            <w:pPr>
              <w:pStyle w:val="Compact"/>
              <w:jc w:val="center"/>
            </w:pPr>
            <w:r>
              <w:t xml:space="preserve">AdamW</w:t>
            </w:r>
          </w:p>
        </w:tc>
        <w:tc>
          <w:tcPr/>
          <w:p>
            <w:pPr>
              <w:pStyle w:val="Compact"/>
              <w:jc w:val="center"/>
            </w:pPr>
            <w:r>
              <w:t xml:space="preserve">AdamW</w:t>
            </w:r>
          </w:p>
        </w:tc>
      </w:tr>
      <w:tr>
        <w:tc>
          <w:tcPr/>
          <w:p>
            <w:pPr>
              <w:pStyle w:val="Compact"/>
              <w:jc w:val="left"/>
            </w:pPr>
            <w:r>
              <w:t xml:space="preserve">Learning rate</w:t>
            </w:r>
          </w:p>
        </w:tc>
        <w:tc>
          <w:tcPr/>
          <w:p>
            <w:pPr>
              <w:pStyle w:val="Compact"/>
              <w:jc w:val="center"/>
            </w:pPr>
            <w:r>
              <w:t xml:space="preserve">1e-3</w:t>
            </w:r>
          </w:p>
        </w:tc>
        <w:tc>
          <w:tcPr/>
          <w:p>
            <w:pPr>
              <w:pStyle w:val="Compact"/>
              <w:jc w:val="center"/>
            </w:pPr>
            <w:r>
              <w:t xml:space="preserve">2e-5</w:t>
            </w:r>
          </w:p>
        </w:tc>
        <w:tc>
          <w:tcPr/>
          <w:p>
            <w:pPr>
              <w:pStyle w:val="Compact"/>
              <w:jc w:val="center"/>
            </w:pPr>
            <w:r>
              <w:t xml:space="preserve">1e-3</w:t>
            </w:r>
          </w:p>
        </w:tc>
      </w:tr>
      <w:tr>
        <w:tc>
          <w:tcPr/>
          <w:p>
            <w:pPr>
              <w:pStyle w:val="Compact"/>
              <w:jc w:val="left"/>
            </w:pPr>
            <w:r>
              <w:t xml:space="preserve">Scheduler</w:t>
            </w:r>
          </w:p>
        </w:tc>
        <w:tc>
          <w:tcPr/>
          <w:p>
            <w:pPr>
              <w:pStyle w:val="Compact"/>
              <w:jc w:val="center"/>
            </w:pPr>
            <w:r>
              <w:t xml:space="preserve">Cosine</w:t>
            </w:r>
          </w:p>
        </w:tc>
        <w:tc>
          <w:tcPr/>
          <w:p>
            <w:pPr>
              <w:pStyle w:val="Compact"/>
              <w:jc w:val="center"/>
            </w:pPr>
            <w:r>
              <w:t xml:space="preserve">CosineWR</w:t>
            </w:r>
          </w:p>
        </w:tc>
        <w:tc>
          <w:tcPr/>
          <w:p>
            <w:pPr>
              <w:pStyle w:val="Compact"/>
              <w:jc w:val="center"/>
            </w:pPr>
            <w:r>
              <w:t xml:space="preserve">Cosine</w:t>
            </w:r>
          </w:p>
        </w:tc>
      </w:tr>
      <w:tr>
        <w:tc>
          <w:tcPr/>
          <w:p>
            <w:pPr>
              <w:pStyle w:val="Compact"/>
              <w:jc w:val="left"/>
            </w:pPr>
            <w:r>
              <w:t xml:space="preserve">Parameters</w:t>
            </w:r>
          </w:p>
        </w:tc>
        <w:tc>
          <w:tcPr/>
          <w:p>
            <w:pPr>
              <w:pStyle w:val="Compact"/>
              <w:jc w:val="center"/>
            </w:pPr>
            <w:r>
              <w:t xml:space="preserve">897 KB</w:t>
            </w:r>
          </w:p>
        </w:tc>
        <w:tc>
          <w:tcPr/>
          <w:p>
            <w:pPr>
              <w:pStyle w:val="Compact"/>
              <w:jc w:val="center"/>
            </w:pPr>
            <w:r>
              <w:t xml:space="preserve">367M</w:t>
            </w:r>
          </w:p>
        </w:tc>
        <w:tc>
          <w:tcPr/>
          <w:p>
            <w:pPr>
              <w:pStyle w:val="Compact"/>
              <w:jc w:val="center"/>
            </w:pPr>
            <w:r>
              <w:t xml:space="preserve">3.16M</w:t>
            </w:r>
          </w:p>
        </w:tc>
      </w:tr>
      <w:tr>
        <w:tc>
          <w:tcPr/>
          <w:p>
            <w:pPr>
              <w:pStyle w:val="Compact"/>
              <w:jc w:val="left"/>
            </w:pPr>
            <w:r>
              <w:t xml:space="preserve">Device</w:t>
            </w:r>
          </w:p>
        </w:tc>
        <w:tc>
          <w:tcPr/>
          <w:p>
            <w:pPr>
              <w:pStyle w:val="Compact"/>
              <w:jc w:val="center"/>
            </w:pPr>
            <w:r>
              <w:t xml:space="preserve">CPU</w:t>
            </w:r>
          </w:p>
        </w:tc>
        <w:tc>
          <w:tcPr/>
          <w:p>
            <w:pPr>
              <w:pStyle w:val="Compact"/>
              <w:jc w:val="center"/>
            </w:pPr>
            <w:r>
              <w:t xml:space="preserve">CPU</w:t>
            </w:r>
          </w:p>
        </w:tc>
        <w:tc>
          <w:tcPr/>
          <w:p>
            <w:pPr>
              <w:pStyle w:val="Compact"/>
              <w:jc w:val="center"/>
            </w:pPr>
            <w:r>
              <w:t xml:space="preserve">CPU</w:t>
            </w:r>
          </w:p>
        </w:tc>
      </w:tr>
    </w:tbl>
    <w:bookmarkEnd w:id="43"/>
    <w:bookmarkEnd w:id="44"/>
    <w:bookmarkEnd w:id="45"/>
    <w:bookmarkStart w:id="89" w:name="experimental-results"/>
    <w:p>
      <w:pPr>
        <w:pStyle w:val="Heading1"/>
      </w:pPr>
      <w:r>
        <w:t xml:space="preserve">Experimental Results</w:t>
      </w:r>
    </w:p>
    <w:bookmarkStart w:id="63" w:name="iot-model-performance"/>
    <w:p>
      <w:pPr>
        <w:pStyle w:val="Heading2"/>
      </w:pPr>
      <w:r>
        <w:t xml:space="preserve">IoT Model Performance</w:t>
      </w:r>
    </w:p>
    <w:p>
      <w:pPr>
        <w:pStyle w:val="FirstParagraph"/>
      </w:pPr>
      <w:r>
        <w:t xml:space="preserve">The AdaptiveIoTClassifier achieves</w:t>
      </w:r>
      <w:r>
        <w:t xml:space="preserve"> </w:t>
      </w:r>
      <w:r>
        <w:rPr>
          <w:b/>
          <w:bCs/>
        </w:rPr>
        <w:t xml:space="preserve">97.64% overall accuracy</w:t>
      </w:r>
      <w:r>
        <w:t xml:space="preserve"> </w:t>
      </w:r>
      <w:r>
        <w:t xml:space="preserve">with a</w:t>
      </w:r>
      <w:r>
        <w:t xml:space="preserve"> </w:t>
      </w:r>
      <w:r>
        <w:rPr>
          <w:b/>
          <w:bCs/>
        </w:rPr>
        <w:t xml:space="preserve">macro F1 of 89.99%</w:t>
      </w:r>
      <w:r>
        <w:t xml:space="preserve"> </w:t>
      </w:r>
      <w:r>
        <w:t xml:space="preserve">on 63,527 samples. Table </w:t>
      </w:r>
      <w:hyperlink w:anchor="tab:iot_per_class">
        <w:r>
          <w:rPr>
            <w:rStyle w:val="Hyperlink"/>
          </w:rPr>
          <w:t xml:space="preserve">3</w:t>
        </w:r>
      </w:hyperlink>
      <w:r>
        <w:t xml:space="preserve"> </w:t>
      </w:r>
      <w:r>
        <w:t xml:space="preserve">presents per-class results.</w:t>
      </w:r>
    </w:p>
    <w:bookmarkStart w:id="46" w:name="tab:iot_per_class"/>
    <w:p>
      <w:pPr>
        <w:pStyle w:val="TableCaption"/>
      </w:pPr>
      <w:r>
        <w:t xml:space="preserve">IoT Model Per-Class Classification Results</w:t>
      </w:r>
    </w:p>
    <w:tbl>
      <w:tblPr>
        <w:tblStyle w:val="Table"/>
        <w:tblW w:type="auto" w:w="0"/>
        <w:tblLook w:firstRow="1" w:lastRow="0" w:firstColumn="0" w:lastColumn="0" w:noHBand="0" w:noVBand="0" w:val="0020"/>
        <w:tblCaption w:val="IoT Model Per-Class Classification Results"/>
      </w:tblPr>
      <w:tblGrid>
        <w:gridCol w:w="1320"/>
        <w:gridCol w:w="1320"/>
        <w:gridCol w:w="1320"/>
        <w:gridCol w:w="1320"/>
        <w:gridCol w:w="1320"/>
        <w:gridCol w:w="1320"/>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AUC</w:t>
            </w:r>
          </w:p>
        </w:tc>
        <w:tc>
          <w:tcPr/>
          <w:p>
            <w:pPr>
              <w:pStyle w:val="Compact"/>
              <w:jc w:val="right"/>
            </w:pPr>
            <w:r>
              <w:rPr>
                <w:b/>
                <w:bCs/>
              </w:rPr>
              <w:t xml:space="preserve">Support</w:t>
            </w:r>
          </w:p>
        </w:tc>
      </w:tr>
      <w:tr>
        <w:tc>
          <w:tcPr/>
          <w:p>
            <w:pPr>
              <w:pStyle w:val="Compact"/>
              <w:jc w:val="left"/>
            </w:pPr>
            <w:r>
              <w:t xml:space="preserve">Fire</w:t>
            </w:r>
          </w:p>
        </w:tc>
        <w:tc>
          <w:tcPr/>
          <w:p>
            <w:pPr>
              <w:pStyle w:val="Compact"/>
              <w:jc w:val="center"/>
            </w:pPr>
            <w:r>
              <w:t xml:space="preserve">0.877</w:t>
            </w:r>
          </w:p>
        </w:tc>
        <w:tc>
          <w:tcPr/>
          <w:p>
            <w:pPr>
              <w:pStyle w:val="Compact"/>
              <w:jc w:val="center"/>
            </w:pPr>
            <w:r>
              <w:t xml:space="preserve">0.812</w:t>
            </w:r>
          </w:p>
        </w:tc>
        <w:tc>
          <w:tcPr/>
          <w:p>
            <w:pPr>
              <w:pStyle w:val="Compact"/>
              <w:jc w:val="center"/>
            </w:pPr>
            <w:r>
              <w:t xml:space="preserve">0.843</w:t>
            </w:r>
          </w:p>
        </w:tc>
        <w:tc>
          <w:tcPr/>
          <w:p>
            <w:pPr>
              <w:pStyle w:val="Compact"/>
              <w:jc w:val="center"/>
            </w:pPr>
            <w:r>
              <w:t xml:space="preserve">0.994</w:t>
            </w:r>
          </w:p>
        </w:tc>
        <w:tc>
          <w:tcPr/>
          <w:p>
            <w:pPr>
              <w:pStyle w:val="Compact"/>
              <w:jc w:val="right"/>
            </w:pPr>
            <w:r>
              <w:t xml:space="preserve">4,971</w:t>
            </w:r>
          </w:p>
        </w:tc>
      </w:tr>
      <w:tr>
        <w:tc>
          <w:tcPr/>
          <w:p>
            <w:pPr>
              <w:pStyle w:val="Compact"/>
              <w:jc w:val="left"/>
            </w:pPr>
            <w:r>
              <w:t xml:space="preserve">Storm</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c>
          <w:tcPr/>
          <w:p>
            <w:pPr>
              <w:pStyle w:val="Compact"/>
              <w:jc w:val="right"/>
            </w:pPr>
            <w:r>
              <w:t xml:space="preserve">13,162</w:t>
            </w:r>
          </w:p>
        </w:tc>
      </w:tr>
      <w:tr>
        <w:tc>
          <w:tcPr/>
          <w:p>
            <w:pPr>
              <w:pStyle w:val="Compact"/>
              <w:jc w:val="left"/>
            </w:pPr>
            <w:r>
              <w:t xml:space="preserve">Earthquake</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c>
          <w:tcPr/>
          <w:p>
            <w:pPr>
              <w:pStyle w:val="Compact"/>
              <w:jc w:val="right"/>
            </w:pPr>
            <w:r>
              <w:t xml:space="preserve">18,394</w:t>
            </w:r>
          </w:p>
        </w:tc>
      </w:tr>
      <w:tr>
        <w:tc>
          <w:tcPr/>
          <w:p>
            <w:pPr>
              <w:pStyle w:val="Compact"/>
              <w:jc w:val="left"/>
            </w:pPr>
            <w:r>
              <w:t xml:space="preserve">Flood</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c>
          <w:tcPr/>
          <w:p>
            <w:pPr>
              <w:pStyle w:val="Compact"/>
              <w:jc w:val="right"/>
            </w:pPr>
            <w:r>
              <w:t xml:space="preserve">25,000</w:t>
            </w:r>
          </w:p>
        </w:tc>
      </w:tr>
      <w:tr>
        <w:tc>
          <w:tcPr/>
          <w:p>
            <w:pPr>
              <w:pStyle w:val="Compact"/>
              <w:jc w:val="left"/>
            </w:pPr>
            <w:r>
              <w:t xml:space="preserve">Unknown</w:t>
            </w:r>
          </w:p>
        </w:tc>
        <w:tc>
          <w:tcPr/>
          <w:p>
            <w:pPr>
              <w:pStyle w:val="Compact"/>
              <w:jc w:val="center"/>
            </w:pPr>
            <w:r>
              <w:t xml:space="preserve">0.605</w:t>
            </w:r>
          </w:p>
        </w:tc>
        <w:tc>
          <w:tcPr/>
          <w:p>
            <w:pPr>
              <w:pStyle w:val="Compact"/>
              <w:jc w:val="center"/>
            </w:pPr>
            <w:r>
              <w:t xml:space="preserve">0.718</w:t>
            </w:r>
          </w:p>
        </w:tc>
        <w:tc>
          <w:tcPr/>
          <w:p>
            <w:pPr>
              <w:pStyle w:val="Compact"/>
              <w:jc w:val="center"/>
            </w:pPr>
            <w:r>
              <w:t xml:space="preserve">0.657</w:t>
            </w:r>
          </w:p>
        </w:tc>
        <w:tc>
          <w:tcPr/>
          <w:p>
            <w:pPr>
              <w:pStyle w:val="Compact"/>
              <w:jc w:val="center"/>
            </w:pPr>
            <w:r>
              <w:t xml:space="preserve">0.987</w:t>
            </w:r>
          </w:p>
        </w:tc>
        <w:tc>
          <w:tcPr/>
          <w:p>
            <w:pPr>
              <w:pStyle w:val="Compact"/>
              <w:jc w:val="right"/>
            </w:pPr>
            <w:r>
              <w:t xml:space="preserve">2,000</w:t>
            </w:r>
          </w:p>
        </w:tc>
      </w:tr>
      <w:tr>
        <w:tc>
          <w:tcPr/>
          <w:p>
            <w:pPr>
              <w:pStyle w:val="Compact"/>
              <w:jc w:val="left"/>
            </w:pPr>
            <w:r>
              <w:rPr>
                <w:b/>
                <w:bCs/>
              </w:rPr>
              <w:t xml:space="preserve">Macro</w:t>
            </w:r>
          </w:p>
        </w:tc>
        <w:tc>
          <w:tcPr/>
          <w:p>
            <w:pPr>
              <w:pStyle w:val="Compact"/>
              <w:jc w:val="center"/>
            </w:pPr>
            <w:r>
              <w:t xml:space="preserve">0.896</w:t>
            </w:r>
          </w:p>
        </w:tc>
        <w:tc>
          <w:tcPr/>
          <w:p>
            <w:pPr>
              <w:pStyle w:val="Compact"/>
              <w:jc w:val="center"/>
            </w:pPr>
            <w:r>
              <w:t xml:space="preserve">0.906</w:t>
            </w:r>
          </w:p>
        </w:tc>
        <w:tc>
          <w:tcPr/>
          <w:p>
            <w:pPr>
              <w:pStyle w:val="Compact"/>
              <w:jc w:val="center"/>
            </w:pPr>
            <w:r>
              <w:t xml:space="preserve">0.900</w:t>
            </w:r>
          </w:p>
        </w:tc>
        <w:tc>
          <w:tcPr/>
          <w:p>
            <w:pPr>
              <w:pStyle w:val="Compact"/>
              <w:jc w:val="center"/>
            </w:pPr>
            <w:r>
              <w:rPr>
                <w:b/>
                <w:bCs/>
              </w:rPr>
              <w:t xml:space="preserve">0.996</w:t>
            </w:r>
          </w:p>
        </w:tc>
        <w:tc>
          <w:tcPr/>
          <w:p>
            <w:pPr>
              <w:pStyle w:val="Compact"/>
              <w:jc w:val="right"/>
            </w:pPr>
            <w:r>
              <w:t xml:space="preserve">63,527</w:t>
            </w:r>
          </w:p>
        </w:tc>
      </w:tr>
    </w:tbl>
    <w:bookmarkEnd w:id="46"/>
    <w:p>
      <w:pPr>
        <w:pStyle w:val="BodyText"/>
      </w:pPr>
      <w:r>
        <w:t xml:space="preserve">The model achieves perfect classification (F1 = 1.0) for storm, earthquake, and flood categories. The fire–unknown confusion stems from overlapping weather-group features. Severity regression achieves MAE = 0.0452 and</w:t>
      </w:r>
      <w:r>
        <w:t xml:space="preserve"> </w:t>
      </w:r>
      <m:oMath>
        <m:sSup>
          <m:e>
            <m:r>
              <m:t>R</m:t>
            </m:r>
          </m:e>
          <m:sup>
            <m:r>
              <m:t>2</m:t>
            </m:r>
          </m:sup>
        </m:sSup>
        <m:r>
          <m:rPr>
            <m:sty m:val="p"/>
          </m:rPr>
          <m:t>=</m:t>
        </m:r>
        <m:r>
          <m:t>0.745</m:t>
        </m:r>
      </m:oMath>
      <w:r>
        <w:t xml:space="preserve">.</w:t>
      </w:r>
    </w:p>
    <w:bookmarkStart w:id="50" w:name="fig:sensor_weights"/>
    <w:p>
      <w:pPr>
        <w:pStyle w:val="CaptionedFigure"/>
      </w:pPr>
      <w:r>
        <w:drawing>
          <wp:inline>
            <wp:extent cx="5334000" cy="1775523"/>
            <wp:effectExtent b="0" l="0" r="0" t="0"/>
            <wp:docPr descr="" title="" id="48" name="Picture"/>
            <a:graphic>
              <a:graphicData uri="http://schemas.openxmlformats.org/drawingml/2006/picture">
                <pic:pic>
                  <pic:nvPicPr>
                    <pic:cNvPr descr="iot_sensor_group_weights.png" id="49" name="Picture"/>
                    <pic:cNvPicPr>
                      <a:picLocks noChangeArrowheads="1" noChangeAspect="1"/>
                    </pic:cNvPicPr>
                  </pic:nvPicPr>
                  <pic:blipFill>
                    <a:blip r:embed="rId47"/>
                    <a:stretch>
                      <a:fillRect/>
                    </a:stretch>
                  </pic:blipFill>
                  <pic:spPr bwMode="auto">
                    <a:xfrm>
                      <a:off x="0" y="0"/>
                      <a:ext cx="5334000" cy="1775523"/>
                    </a:xfrm>
                    <a:prstGeom prst="rect">
                      <a:avLst/>
                    </a:prstGeom>
                    <a:noFill/>
                    <a:ln w="9525">
                      <a:noFill/>
                      <a:headEnd/>
                      <a:tailEnd/>
                    </a:ln>
                  </pic:spPr>
                </pic:pic>
              </a:graphicData>
            </a:graphic>
          </wp:inline>
        </w:drawing>
      </w:r>
    </w:p>
    <w:p>
      <w:pPr>
        <w:pStyle w:val="ImageCaption"/>
      </w:pPr>
      <w:r>
        <w:t xml:space="preserve">Learned sensor group weights per disaster class. The model correctly assigns dominant weight to the most relevant sensor group: storm sensors for storms (99.9%), seismic for earthquakes (82.8%), hydro for floods (76.7%), and weather for fires (75.8%).</w:t>
      </w:r>
    </w:p>
    <w:bookmarkEnd w:id="50"/>
    <w:bookmarkStart w:id="54" w:name="fig:iot_cm"/>
    <w:p>
      <w:pPr>
        <w:pStyle w:val="CaptionedFigure"/>
      </w:pPr>
      <w:r>
        <w:drawing>
          <wp:inline>
            <wp:extent cx="5334000" cy="2015492"/>
            <wp:effectExtent b="0" l="0" r="0" t="0"/>
            <wp:docPr descr="" title="" id="52" name="Picture"/>
            <a:graphic>
              <a:graphicData uri="http://schemas.openxmlformats.org/drawingml/2006/picture">
                <pic:pic>
                  <pic:nvPicPr>
                    <pic:cNvPr descr="iot_confusion_matrix.png" id="53" name="Picture"/>
                    <pic:cNvPicPr>
                      <a:picLocks noChangeArrowheads="1" noChangeAspect="1"/>
                    </pic:cNvPicPr>
                  </pic:nvPicPr>
                  <pic:blipFill>
                    <a:blip r:embed="rId51"/>
                    <a:stretch>
                      <a:fillRect/>
                    </a:stretch>
                  </pic:blipFill>
                  <pic:spPr bwMode="auto">
                    <a:xfrm>
                      <a:off x="0" y="0"/>
                      <a:ext cx="5334000" cy="2015492"/>
                    </a:xfrm>
                    <a:prstGeom prst="rect">
                      <a:avLst/>
                    </a:prstGeom>
                    <a:noFill/>
                    <a:ln w="9525">
                      <a:noFill/>
                      <a:headEnd/>
                      <a:tailEnd/>
                    </a:ln>
                  </pic:spPr>
                </pic:pic>
              </a:graphicData>
            </a:graphic>
          </wp:inline>
        </w:drawing>
      </w:r>
    </w:p>
    <w:p>
      <w:pPr>
        <w:pStyle w:val="ImageCaption"/>
      </w:pPr>
      <w:r>
        <w:t xml:space="preserve">IoT model confusion matrix (counts and normalized). Storm, earthquake, and flood are perfectly separated. Fire–unknown confusion accounts for most errors.</w:t>
      </w:r>
    </w:p>
    <w:bookmarkEnd w:id="54"/>
    <w:bookmarkStart w:id="58" w:name="fig:iot_roc"/>
    <w:p>
      <w:pPr>
        <w:pStyle w:val="CaptionedFigure"/>
      </w:pPr>
      <w:r>
        <w:drawing>
          <wp:inline>
            <wp:extent cx="5334000" cy="3405112"/>
            <wp:effectExtent b="0" l="0" r="0" t="0"/>
            <wp:docPr descr="" title="" id="56" name="Picture"/>
            <a:graphic>
              <a:graphicData uri="http://schemas.openxmlformats.org/drawingml/2006/picture">
                <pic:pic>
                  <pic:nvPicPr>
                    <pic:cNvPr descr="iot_roc_curves.png" id="57" name="Picture"/>
                    <pic:cNvPicPr>
                      <a:picLocks noChangeArrowheads="1" noChangeAspect="1"/>
                    </pic:cNvPicPr>
                  </pic:nvPicPr>
                  <pic:blipFill>
                    <a:blip r:embed="rId55"/>
                    <a:stretch>
                      <a:fillRect/>
                    </a:stretch>
                  </pic:blipFill>
                  <pic:spPr bwMode="auto">
                    <a:xfrm>
                      <a:off x="0" y="0"/>
                      <a:ext cx="5334000" cy="3405112"/>
                    </a:xfrm>
                    <a:prstGeom prst="rect">
                      <a:avLst/>
                    </a:prstGeom>
                    <a:noFill/>
                    <a:ln w="9525">
                      <a:noFill/>
                      <a:headEnd/>
                      <a:tailEnd/>
                    </a:ln>
                  </pic:spPr>
                </pic:pic>
              </a:graphicData>
            </a:graphic>
          </wp:inline>
        </w:drawing>
      </w:r>
    </w:p>
    <w:p>
      <w:pPr>
        <w:pStyle w:val="ImageCaption"/>
      </w:pPr>
      <w:r>
        <w:t xml:space="preserve">Per-class ROC curves for the AdaptiveIoTClassifier. Macro-average AUC = 0.9962. Storm, earthquake, and flood achieve AUC = 1.0.</w:t>
      </w:r>
    </w:p>
    <w:bookmarkEnd w:id="58"/>
    <w:bookmarkStart w:id="62" w:name="fig:iot_severity"/>
    <w:p>
      <w:pPr>
        <w:pStyle w:val="CaptionedFigure"/>
      </w:pPr>
      <w:r>
        <w:drawing>
          <wp:inline>
            <wp:extent cx="5334000" cy="1847573"/>
            <wp:effectExtent b="0" l="0" r="0" t="0"/>
            <wp:docPr descr="" title="" id="60" name="Picture"/>
            <a:graphic>
              <a:graphicData uri="http://schemas.openxmlformats.org/drawingml/2006/picture">
                <pic:pic>
                  <pic:nvPicPr>
                    <pic:cNvPr descr="iot_severity_regression.png" id="61" name="Picture"/>
                    <pic:cNvPicPr>
                      <a:picLocks noChangeArrowheads="1" noChangeAspect="1"/>
                    </pic:cNvPicPr>
                  </pic:nvPicPr>
                  <pic:blipFill>
                    <a:blip r:embed="rId59"/>
                    <a:stretch>
                      <a:fillRect/>
                    </a:stretch>
                  </pic:blipFill>
                  <pic:spPr bwMode="auto">
                    <a:xfrm>
                      <a:off x="0" y="0"/>
                      <a:ext cx="5334000" cy="1847573"/>
                    </a:xfrm>
                    <a:prstGeom prst="rect">
                      <a:avLst/>
                    </a:prstGeom>
                    <a:noFill/>
                    <a:ln w="9525">
                      <a:noFill/>
                      <a:headEnd/>
                      <a:tailEnd/>
                    </a:ln>
                  </pic:spPr>
                </pic:pic>
              </a:graphicData>
            </a:graphic>
          </wp:inline>
        </w:drawing>
      </w:r>
    </w:p>
    <w:p>
      <w:pPr>
        <w:pStyle w:val="ImageCaption"/>
      </w:pPr>
      <w:r>
        <w:t xml:space="preserve">Severity regression performance. Left: predicted vs. true severity (</w:t>
      </w:r>
      <m:oMath>
        <m:sSup>
          <m:e>
            <m:r>
              <m:t>R</m:t>
            </m:r>
          </m:e>
          <m:sup>
            <m:r>
              <m:t>2</m:t>
            </m:r>
          </m:sup>
        </m:sSup>
        <m:r>
          <m:rPr>
            <m:sty m:val="p"/>
          </m:rPr>
          <m:t>=</m:t>
        </m:r>
        <m:r>
          <m:t>0.745</m:t>
        </m:r>
      </m:oMath>
      <w:r>
        <w:t xml:space="preserve">). Right: residual distribution (MAE = 0.0452, RMSE = 0.1188).</w:t>
      </w:r>
    </w:p>
    <w:bookmarkEnd w:id="62"/>
    <w:bookmarkEnd w:id="63"/>
    <w:bookmarkStart w:id="78" w:name="crisis-model-performance"/>
    <w:p>
      <w:pPr>
        <w:pStyle w:val="Heading2"/>
      </w:pPr>
      <w:r>
        <w:t xml:space="preserve">Crisis Model Performance</w:t>
      </w:r>
    </w:p>
    <w:p>
      <w:pPr>
        <w:pStyle w:val="FirstParagraph"/>
      </w:pPr>
      <w:r>
        <w:t xml:space="preserve">The AdaptiveFusionClassifier achieves</w:t>
      </w:r>
      <w:r>
        <w:t xml:space="preserve"> </w:t>
      </w:r>
      <w:r>
        <w:rPr>
          <w:b/>
          <w:bCs/>
        </w:rPr>
        <w:t xml:space="preserve">86.39% test accuracy</w:t>
      </w:r>
      <w:r>
        <w:t xml:space="preserve"> </w:t>
      </w:r>
      <w:r>
        <w:t xml:space="preserve">and</w:t>
      </w:r>
      <w:r>
        <w:t xml:space="preserve"> </w:t>
      </w:r>
      <w:r>
        <w:rPr>
          <w:b/>
          <w:bCs/>
        </w:rPr>
        <w:t xml:space="preserve">87.48% validation F1</w:t>
      </w:r>
      <w:r>
        <w:t xml:space="preserve"> </w:t>
      </w:r>
      <w:r>
        <w:t xml:space="preserve">on the CrisisMMD benchmark, representing a</w:t>
      </w:r>
      <w:r>
        <w:t xml:space="preserve"> </w:t>
      </w:r>
      <w:r>
        <w:rPr>
          <w:b/>
          <w:bCs/>
        </w:rPr>
        <w:t xml:space="preserve">+12.39%</w:t>
      </w:r>
      <w:r>
        <w:t xml:space="preserve"> </w:t>
      </w:r>
      <w:r>
        <w:t xml:space="preserve">absolute improvement over logistic regression and SVM baselines. Table </w:t>
      </w:r>
      <w:hyperlink w:anchor="tab:crisis_per_class">
        <w:r>
          <w:rPr>
            <w:rStyle w:val="Hyperlink"/>
          </w:rPr>
          <w:t xml:space="preserve">4</w:t>
        </w:r>
      </w:hyperlink>
      <w:r>
        <w:t xml:space="preserve"> </w:t>
      </w:r>
      <w:r>
        <w:t xml:space="preserve">presents per-class results.</w:t>
      </w:r>
    </w:p>
    <w:bookmarkStart w:id="64" w:name="tab:crisis_per_class"/>
    <w:p>
      <w:pPr>
        <w:pStyle w:val="TableCaption"/>
      </w:pPr>
      <w:r>
        <w:t xml:space="preserve">Crisis Model Per-Class Test Results</w:t>
      </w:r>
    </w:p>
    <w:tbl>
      <w:tblPr>
        <w:tblStyle w:val="Table"/>
        <w:tblW w:type="auto" w:w="0"/>
        <w:tblLook w:firstRow="1" w:lastRow="0" w:firstColumn="0" w:lastColumn="0" w:noHBand="0" w:noVBand="0" w:val="0020"/>
        <w:tblCaption w:val="Crisis Model Per-Class Test Results"/>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right"/>
            </w:pPr>
            <w:r>
              <w:rPr>
                <w:b/>
                <w:bCs/>
              </w:rPr>
              <w:t xml:space="preserve">AUC</w:t>
            </w:r>
          </w:p>
        </w:tc>
      </w:tr>
      <w:tr>
        <w:tc>
          <w:tcPr/>
          <w:p>
            <w:pPr>
              <w:pStyle w:val="Compact"/>
              <w:jc w:val="left"/>
            </w:pPr>
            <w:r>
              <w:t xml:space="preserve">Affected individuals</w:t>
            </w:r>
          </w:p>
        </w:tc>
        <w:tc>
          <w:tcPr/>
          <w:p>
            <w:pPr>
              <w:pStyle w:val="Compact"/>
              <w:jc w:val="center"/>
            </w:pPr>
            <w:r>
              <w:t xml:space="preserve">0.36</w:t>
            </w:r>
          </w:p>
        </w:tc>
        <w:tc>
          <w:tcPr/>
          <w:p>
            <w:pPr>
              <w:pStyle w:val="Compact"/>
              <w:jc w:val="center"/>
            </w:pPr>
            <w:r>
              <w:t xml:space="preserve">0.56</w:t>
            </w:r>
          </w:p>
        </w:tc>
        <w:tc>
          <w:tcPr/>
          <w:p>
            <w:pPr>
              <w:pStyle w:val="Compact"/>
              <w:jc w:val="center"/>
            </w:pPr>
            <w:r>
              <w:t xml:space="preserve">0.43</w:t>
            </w:r>
          </w:p>
        </w:tc>
        <w:tc>
          <w:tcPr/>
          <w:p>
            <w:pPr>
              <w:pStyle w:val="Compact"/>
              <w:jc w:val="right"/>
            </w:pPr>
            <w:r>
              <w:t xml:space="preserve">0.96</w:t>
            </w:r>
          </w:p>
        </w:tc>
      </w:tr>
      <w:tr>
        <w:tc>
          <w:tcPr/>
          <w:p>
            <w:pPr>
              <w:pStyle w:val="Compact"/>
              <w:jc w:val="left"/>
            </w:pPr>
            <w:r>
              <w:t xml:space="preserve">Infrastructure damage</w:t>
            </w:r>
          </w:p>
        </w:tc>
        <w:tc>
          <w:tcPr/>
          <w:p>
            <w:pPr>
              <w:pStyle w:val="Compact"/>
              <w:jc w:val="center"/>
            </w:pPr>
            <w:r>
              <w:t xml:space="preserve">0.87</w:t>
            </w:r>
          </w:p>
        </w:tc>
        <w:tc>
          <w:tcPr/>
          <w:p>
            <w:pPr>
              <w:pStyle w:val="Compact"/>
              <w:jc w:val="center"/>
            </w:pPr>
            <w:r>
              <w:t xml:space="preserve">0.90</w:t>
            </w:r>
          </w:p>
        </w:tc>
        <w:tc>
          <w:tcPr/>
          <w:p>
            <w:pPr>
              <w:pStyle w:val="Compact"/>
              <w:jc w:val="center"/>
            </w:pPr>
            <w:r>
              <w:rPr>
                <w:b/>
                <w:bCs/>
              </w:rPr>
              <w:t xml:space="preserve">0.88</w:t>
            </w:r>
          </w:p>
        </w:tc>
        <w:tc>
          <w:tcPr/>
          <w:p>
            <w:pPr>
              <w:pStyle w:val="Compact"/>
              <w:jc w:val="right"/>
            </w:pPr>
            <w:r>
              <w:rPr>
                <w:b/>
                <w:bCs/>
              </w:rPr>
              <w:t xml:space="preserve">0.98</w:t>
            </w:r>
          </w:p>
        </w:tc>
      </w:tr>
      <w:tr>
        <w:tc>
          <w:tcPr/>
          <w:p>
            <w:pPr>
              <w:pStyle w:val="Compact"/>
              <w:jc w:val="left"/>
            </w:pPr>
            <w:r>
              <w:t xml:space="preserve">Not humanitarian</w:t>
            </w:r>
          </w:p>
        </w:tc>
        <w:tc>
          <w:tcPr/>
          <w:p>
            <w:pPr>
              <w:pStyle w:val="Compact"/>
              <w:jc w:val="center"/>
            </w:pPr>
            <w:r>
              <w:t xml:space="preserve">0.90</w:t>
            </w:r>
          </w:p>
        </w:tc>
        <w:tc>
          <w:tcPr/>
          <w:p>
            <w:pPr>
              <w:pStyle w:val="Compact"/>
              <w:jc w:val="center"/>
            </w:pPr>
            <w:r>
              <w:t xml:space="preserve">0.87</w:t>
            </w:r>
          </w:p>
        </w:tc>
        <w:tc>
          <w:tcPr/>
          <w:p>
            <w:pPr>
              <w:pStyle w:val="Compact"/>
              <w:jc w:val="center"/>
            </w:pPr>
            <w:r>
              <w:rPr>
                <w:b/>
                <w:bCs/>
              </w:rPr>
              <w:t xml:space="preserve">0.89</w:t>
            </w:r>
          </w:p>
        </w:tc>
        <w:tc>
          <w:tcPr/>
          <w:p>
            <w:pPr>
              <w:pStyle w:val="Compact"/>
              <w:jc w:val="right"/>
            </w:pPr>
            <w:r>
              <w:t xml:space="preserve">0.96</w:t>
            </w:r>
          </w:p>
        </w:tc>
      </w:tr>
      <w:tr>
        <w:tc>
          <w:tcPr/>
          <w:p>
            <w:pPr>
              <w:pStyle w:val="Compact"/>
              <w:jc w:val="left"/>
            </w:pPr>
            <w:r>
              <w:t xml:space="preserve">Other relevant info</w:t>
            </w:r>
          </w:p>
        </w:tc>
        <w:tc>
          <w:tcPr/>
          <w:p>
            <w:pPr>
              <w:pStyle w:val="Compact"/>
              <w:jc w:val="center"/>
            </w:pPr>
            <w:r>
              <w:t xml:space="preserve">0.85</w:t>
            </w:r>
          </w:p>
        </w:tc>
        <w:tc>
          <w:tcPr/>
          <w:p>
            <w:pPr>
              <w:pStyle w:val="Compact"/>
              <w:jc w:val="center"/>
            </w:pPr>
            <w:r>
              <w:t xml:space="preserve">0.86</w:t>
            </w:r>
          </w:p>
        </w:tc>
        <w:tc>
          <w:tcPr/>
          <w:p>
            <w:pPr>
              <w:pStyle w:val="Compact"/>
              <w:jc w:val="center"/>
            </w:pPr>
            <w:r>
              <w:rPr>
                <w:b/>
                <w:bCs/>
              </w:rPr>
              <w:t xml:space="preserve">0.86</w:t>
            </w:r>
          </w:p>
        </w:tc>
        <w:tc>
          <w:tcPr/>
          <w:p>
            <w:pPr>
              <w:pStyle w:val="Compact"/>
              <w:jc w:val="right"/>
            </w:pPr>
            <w:r>
              <w:t xml:space="preserve">0.97</w:t>
            </w:r>
          </w:p>
        </w:tc>
      </w:tr>
      <w:tr>
        <w:tc>
          <w:tcPr/>
          <w:p>
            <w:pPr>
              <w:pStyle w:val="Compact"/>
              <w:jc w:val="left"/>
            </w:pPr>
            <w:r>
              <w:t xml:space="preserve">Rescue/donation effort</w:t>
            </w:r>
          </w:p>
        </w:tc>
        <w:tc>
          <w:tcPr/>
          <w:p>
            <w:pPr>
              <w:pStyle w:val="Compact"/>
              <w:jc w:val="center"/>
            </w:pPr>
            <w:r>
              <w:t xml:space="preserve">0.79</w:t>
            </w:r>
          </w:p>
        </w:tc>
        <w:tc>
          <w:tcPr/>
          <w:p>
            <w:pPr>
              <w:pStyle w:val="Compact"/>
              <w:jc w:val="center"/>
            </w:pPr>
            <w:r>
              <w:t xml:space="preserve">0.83</w:t>
            </w:r>
          </w:p>
        </w:tc>
        <w:tc>
          <w:tcPr/>
          <w:p>
            <w:pPr>
              <w:pStyle w:val="Compact"/>
              <w:jc w:val="center"/>
            </w:pPr>
            <w:r>
              <w:rPr>
                <w:b/>
                <w:bCs/>
              </w:rPr>
              <w:t xml:space="preserve">0.81</w:t>
            </w:r>
          </w:p>
        </w:tc>
        <w:tc>
          <w:tcPr/>
          <w:p>
            <w:pPr>
              <w:pStyle w:val="Compact"/>
              <w:jc w:val="right"/>
            </w:pPr>
            <w:r>
              <w:rPr>
                <w:b/>
                <w:bCs/>
              </w:rPr>
              <w:t xml:space="preserve">0.98</w:t>
            </w:r>
          </w:p>
        </w:tc>
      </w:tr>
      <w:tr>
        <w:tc>
          <w:tcPr/>
          <w:p>
            <w:pPr>
              <w:pStyle w:val="Compact"/>
              <w:jc w:val="left"/>
            </w:pPr>
            <w:r>
              <w:rPr>
                <w:b/>
                <w:bCs/>
              </w:rPr>
              <w:t xml:space="preserve">Macro Average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0.774</w:t>
            </w:r>
          </w:p>
        </w:tc>
        <w:tc>
          <w:tcPr/>
          <w:p>
            <w:pPr>
              <w:pStyle w:val="Compact"/>
              <w:jc w:val="right"/>
            </w:pPr>
            <w:r>
              <w:rPr>
                <w:b/>
                <w:bCs/>
              </w:rPr>
              <w:t xml:space="preserve">0.97</w:t>
            </w:r>
          </w:p>
        </w:tc>
      </w:tr>
    </w:tbl>
    <w:bookmarkEnd w:id="64"/>
    <w:bookmarkStart w:id="68" w:name="fig:crisis_training"/>
    <w:p>
      <w:pPr>
        <w:pStyle w:val="CaptionedFigure"/>
      </w:pPr>
      <w:r>
        <w:drawing>
          <wp:inline>
            <wp:extent cx="5334000" cy="1967992"/>
            <wp:effectExtent b="0" l="0" r="0" t="0"/>
            <wp:docPr descr="" title="" id="66" name="Picture"/>
            <a:graphic>
              <a:graphicData uri="http://schemas.openxmlformats.org/drawingml/2006/picture">
                <pic:pic>
                  <pic:nvPicPr>
                    <pic:cNvPr descr="crisis_training_history.png" id="67" name="Picture"/>
                    <pic:cNvPicPr>
                      <a:picLocks noChangeArrowheads="1" noChangeAspect="1"/>
                    </pic:cNvPicPr>
                  </pic:nvPicPr>
                  <pic:blipFill>
                    <a:blip r:embed="rId65"/>
                    <a:stretch>
                      <a:fillRect/>
                    </a:stretch>
                  </pic:blipFill>
                  <pic:spPr bwMode="auto">
                    <a:xfrm>
                      <a:off x="0" y="0"/>
                      <a:ext cx="5334000" cy="1967992"/>
                    </a:xfrm>
                    <a:prstGeom prst="rect">
                      <a:avLst/>
                    </a:prstGeom>
                    <a:noFill/>
                    <a:ln w="9525">
                      <a:noFill/>
                      <a:headEnd/>
                      <a:tailEnd/>
                    </a:ln>
                  </pic:spPr>
                </pic:pic>
              </a:graphicData>
            </a:graphic>
          </wp:inline>
        </w:drawing>
      </w:r>
    </w:p>
    <w:p>
      <w:pPr>
        <w:pStyle w:val="ImageCaption"/>
      </w:pPr>
      <w:r>
        <w:t xml:space="preserve">Crisis model training over 10 epochs. Left: classification accuracy reaches 87.27% on validation (best checkpoint selected via early stopping). Right: adaptive modality confidence scores—vision (</w:t>
      </w:r>
      <m:oMath>
        <m:r>
          <m:rPr>
            <m:sty m:val="p"/>
          </m:rPr>
          <m:t>∼</m:t>
        </m:r>
      </m:oMath>
      <w:r>
        <w:t xml:space="preserve">0.50) and text (</w:t>
      </w:r>
      <m:oMath>
        <m:r>
          <m:rPr>
            <m:sty m:val="p"/>
          </m:rPr>
          <m:t>∼</m:t>
        </m:r>
      </m:oMath>
      <w:r>
        <w:t xml:space="preserve">0.45) remain balanced throughout training, confirming the learned weighting mechanism avoids modality collapse.</w:t>
      </w:r>
    </w:p>
    <w:bookmarkEnd w:id="68"/>
    <w:bookmarkStart w:id="72" w:name="fig:crisis_cm"/>
    <w:p>
      <w:pPr>
        <w:pStyle w:val="CaptionedFigure"/>
      </w:pPr>
      <w:r>
        <w:drawing>
          <wp:inline>
            <wp:extent cx="5334000" cy="4572000"/>
            <wp:effectExtent b="0" l="0" r="0" t="0"/>
            <wp:docPr descr="" title="" id="70" name="Picture"/>
            <a:graphic>
              <a:graphicData uri="http://schemas.openxmlformats.org/drawingml/2006/picture">
                <pic:pic>
                  <pic:nvPicPr>
                    <pic:cNvPr descr="crisis_confusion_matrix.png" id="71" name="Picture"/>
                    <pic:cNvPicPr>
                      <a:picLocks noChangeArrowheads="1" noChangeAspect="1"/>
                    </pic:cNvPicPr>
                  </pic:nvPicPr>
                  <pic:blipFill>
                    <a:blip r:embed="rId69"/>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Crisis model confusion matrix on test set. The dominant class (not_humanitarian, 504 samples) achieves 87.3% diagonal accuracy. Low support for affected_individuals (9 samples) explains its lower F1.</w:t>
      </w:r>
    </w:p>
    <w:bookmarkEnd w:id="72"/>
    <w:bookmarkStart w:id="76" w:name="fig:crisis_roc"/>
    <w:p>
      <w:pPr>
        <w:pStyle w:val="CaptionedFigure"/>
      </w:pPr>
      <w:r>
        <w:drawing>
          <wp:inline>
            <wp:extent cx="5334000" cy="4572000"/>
            <wp:effectExtent b="0" l="0" r="0" t="0"/>
            <wp:docPr descr="" title="" id="74" name="Picture"/>
            <a:graphic>
              <a:graphicData uri="http://schemas.openxmlformats.org/drawingml/2006/picture">
                <pic:pic>
                  <pic:nvPicPr>
                    <pic:cNvPr descr="crisis_roc_curves.png" id="75" name="Picture"/>
                    <pic:cNvPicPr>
                      <a:picLocks noChangeArrowheads="1" noChangeAspect="1"/>
                    </pic:cNvPicPr>
                  </pic:nvPicPr>
                  <pic:blipFill>
                    <a:blip r:embed="rId73"/>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Per-class ROC curves for the crisis model. All classes achieve AUC</w:t>
      </w:r>
      <w:r>
        <w:t xml:space="preserve"> </w:t>
      </w:r>
      <m:oMath>
        <m:r>
          <m:rPr>
            <m:sty m:val="p"/>
          </m:rPr>
          <m:t>≥</m:t>
        </m:r>
      </m:oMath>
      <w:r>
        <w:t xml:space="preserve"> </w:t>
      </w:r>
      <w:r>
        <w:t xml:space="preserve">0.96, with infrastructure damage and rescue efforts reaching 0.98.</w:t>
      </w:r>
    </w:p>
    <w:bookmarkEnd w:id="76"/>
    <w:bookmarkStart w:id="77" w:name="tab:baseline_comparison"/>
    <w:p>
      <w:pPr>
        <w:pStyle w:val="TableCaption"/>
      </w:pPr>
      <w:r>
        <w:t xml:space="preserve">Comparison with Baseline Models on CrisisMMD</w:t>
      </w:r>
    </w:p>
    <w:tbl>
      <w:tblPr>
        <w:tblStyle w:val="Table"/>
        <w:tblW w:type="auto" w:w="0"/>
        <w:tblLook w:firstRow="1" w:lastRow="0" w:firstColumn="0" w:lastColumn="0" w:noHBand="0" w:noVBand="0" w:val="0020"/>
        <w:tblCaption w:val="Comparison with Baseline Models on CrisisMMD"/>
      </w:tblPr>
      <w:tblGrid>
        <w:gridCol w:w="2640"/>
        <w:gridCol w:w="2640"/>
        <w:gridCol w:w="2640"/>
      </w:tblGrid>
      <w:tr>
        <w:trPr>
          <w:tblHeader w:val="on"/>
        </w:trPr>
        <w:tc>
          <w:tcPr/>
          <w:p>
            <w:pPr>
              <w:pStyle w:val="Compact"/>
              <w:jc w:val="left"/>
            </w:pPr>
            <w:r>
              <w:rPr>
                <w:b/>
                <w:bCs/>
              </w:rPr>
              <w:t xml:space="preserve">Model</w:t>
            </w:r>
          </w:p>
        </w:tc>
        <w:tc>
          <w:tcPr/>
          <w:p>
            <w:pPr>
              <w:pStyle w:val="Compact"/>
              <w:jc w:val="center"/>
            </w:pPr>
            <w:r>
              <w:rPr>
                <w:b/>
                <w:bCs/>
              </w:rPr>
              <w:t xml:space="preserve">Accuracy</w:t>
            </w:r>
          </w:p>
        </w:tc>
        <w:tc>
          <w:tcPr/>
          <w:p>
            <w:pPr>
              <w:pStyle w:val="Compact"/>
              <w:jc w:val="center"/>
            </w:pPr>
            <w:r>
              <w:rPr>
                <w:b/>
                <w:bCs/>
              </w:rPr>
              <w:t xml:space="preserve">Improvement</w:t>
            </w:r>
          </w:p>
        </w:tc>
      </w:tr>
      <w:tr>
        <w:tc>
          <w:tcPr/>
          <w:p>
            <w:pPr>
              <w:pStyle w:val="Compact"/>
              <w:jc w:val="left"/>
            </w:pPr>
            <w:r>
              <w:t xml:space="preserve">Logistic Regression</w:t>
            </w:r>
          </w:p>
        </w:tc>
        <w:tc>
          <w:tcPr/>
          <w:p>
            <w:pPr>
              <w:pStyle w:val="Compact"/>
              <w:jc w:val="center"/>
            </w:pPr>
            <w:r>
              <w:t xml:space="preserve">74.00%</w:t>
            </w:r>
          </w:p>
        </w:tc>
        <w:tc>
          <w:tcPr/>
          <w:p>
            <w:pPr>
              <w:pStyle w:val="Compact"/>
              <w:jc w:val="center"/>
            </w:pPr>
            <w:r>
              <w:t xml:space="preserve">—</w:t>
            </w:r>
          </w:p>
        </w:tc>
      </w:tr>
      <w:tr>
        <w:tc>
          <w:tcPr/>
          <w:p>
            <w:pPr>
              <w:pStyle w:val="Compact"/>
              <w:jc w:val="left"/>
            </w:pPr>
            <w:r>
              <w:t xml:space="preserve">SVM</w:t>
            </w:r>
          </w:p>
        </w:tc>
        <w:tc>
          <w:tcPr/>
          <w:p>
            <w:pPr>
              <w:pStyle w:val="Compact"/>
              <w:jc w:val="center"/>
            </w:pPr>
            <w:r>
              <w:t xml:space="preserve">74.00%</w:t>
            </w:r>
          </w:p>
        </w:tc>
        <w:tc>
          <w:tcPr/>
          <w:p>
            <w:pPr>
              <w:pStyle w:val="Compact"/>
              <w:jc w:val="center"/>
            </w:pPr>
            <w:r>
              <w:t xml:space="preserve">—</w:t>
            </w:r>
          </w:p>
        </w:tc>
      </w:tr>
      <w:tr>
        <w:tc>
          <w:tcPr/>
          <w:p>
            <w:pPr>
              <w:pStyle w:val="Compact"/>
              <w:jc w:val="left"/>
            </w:pPr>
            <w:r>
              <w:rPr>
                <w:b/>
                <w:bCs/>
              </w:rPr>
              <w:t xml:space="preserve">AdaptiveFusionClassifier (Ours)</w:t>
            </w:r>
          </w:p>
        </w:tc>
        <w:tc>
          <w:tcPr/>
          <w:p>
            <w:pPr>
              <w:pStyle w:val="Compact"/>
              <w:jc w:val="center"/>
            </w:pPr>
            <w:r>
              <w:rPr>
                <w:b/>
                <w:bCs/>
              </w:rPr>
              <w:t xml:space="preserve">86.39%</w:t>
            </w:r>
          </w:p>
        </w:tc>
        <w:tc>
          <w:tcPr/>
          <w:p>
            <w:pPr>
              <w:pStyle w:val="Compact"/>
              <w:jc w:val="center"/>
            </w:pPr>
            <w:r>
              <w:rPr>
                <w:b/>
                <w:bCs/>
              </w:rPr>
              <w:t xml:space="preserve">+12.39%</w:t>
            </w:r>
          </w:p>
        </w:tc>
      </w:tr>
    </w:tbl>
    <w:bookmarkEnd w:id="77"/>
    <w:bookmarkEnd w:id="78"/>
    <w:bookmarkStart w:id="84" w:name="xbd-satellite-model-performance"/>
    <w:p>
      <w:pPr>
        <w:pStyle w:val="Heading2"/>
      </w:pPr>
      <w:r>
        <w:t xml:space="preserve">xBD Satellite Model Performance</w:t>
      </w:r>
    </w:p>
    <w:p>
      <w:pPr>
        <w:pStyle w:val="FirstParagraph"/>
      </w:pPr>
      <w:r>
        <w:t xml:space="preserve">The modified DeepLabV3+ achieves best validation Mean IoU of</w:t>
      </w:r>
      <w:r>
        <w:t xml:space="preserve"> </w:t>
      </w:r>
      <w:r>
        <w:rPr>
          <w:b/>
          <w:bCs/>
        </w:rPr>
        <w:t xml:space="preserve">0.2802</w:t>
      </w:r>
      <w:r>
        <w:t xml:space="preserve"> </w:t>
      </w:r>
      <w:r>
        <w:t xml:space="preserve">at epoch 18, with Mean F1 of</w:t>
      </w:r>
      <w:r>
        <w:t xml:space="preserve"> </w:t>
      </w:r>
      <w:r>
        <w:rPr>
          <w:b/>
          <w:bCs/>
        </w:rPr>
        <w:t xml:space="preserve">0.3477</w:t>
      </w:r>
      <w:r>
        <w:t xml:space="preserve">. Table </w:t>
      </w:r>
      <w:hyperlink w:anchor="tab:xbd_results">
        <w:r>
          <w:rPr>
            <w:rStyle w:val="Hyperlink"/>
          </w:rPr>
          <w:t xml:space="preserve">6</w:t>
        </w:r>
      </w:hyperlink>
      <w:r>
        <w:t xml:space="preserve"> </w:t>
      </w:r>
      <w:r>
        <w:t xml:space="preserve">shows per-class results.</w:t>
      </w:r>
    </w:p>
    <w:bookmarkStart w:id="79" w:name="tab:xbd_results"/>
    <w:p>
      <w:pPr>
        <w:pStyle w:val="TableCaption"/>
      </w:pPr>
      <w:r>
        <w:t xml:space="preserve">xBD Satellite Model Per-Class Results (Best Checkpoint)</w:t>
      </w:r>
    </w:p>
    <w:tbl>
      <w:tblPr>
        <w:tblStyle w:val="Table"/>
        <w:tblW w:type="auto" w:w="0"/>
        <w:tblLook w:firstRow="1" w:lastRow="0" w:firstColumn="0" w:lastColumn="0" w:noHBand="0" w:noVBand="0" w:val="0020"/>
        <w:tblCaption w:val="xBD Satellite Model Per-Class Results (Best Checkpoint)"/>
      </w:tblPr>
      <w:tblGrid>
        <w:gridCol w:w="2640"/>
        <w:gridCol w:w="2640"/>
        <w:gridCol w:w="2640"/>
      </w:tblGrid>
      <w:tr>
        <w:trPr>
          <w:tblHeader w:val="on"/>
        </w:trPr>
        <w:tc>
          <w:tcPr/>
          <w:p>
            <w:pPr>
              <w:pStyle w:val="Compact"/>
              <w:jc w:val="left"/>
            </w:pPr>
            <w:r>
              <w:rPr>
                <w:b/>
                <w:bCs/>
              </w:rPr>
              <w:t xml:space="preserve">Class</w:t>
            </w:r>
          </w:p>
        </w:tc>
        <w:tc>
          <w:tcPr/>
          <w:p>
            <w:pPr>
              <w:pStyle w:val="Compact"/>
              <w:jc w:val="center"/>
            </w:pPr>
            <w:r>
              <w:rPr>
                <w:b/>
                <w:bCs/>
              </w:rPr>
              <w:t xml:space="preserve">IoU</w:t>
            </w:r>
          </w:p>
        </w:tc>
        <w:tc>
          <w:tcPr/>
          <w:p>
            <w:pPr>
              <w:pStyle w:val="Compact"/>
              <w:jc w:val="center"/>
            </w:pPr>
            <w:r>
              <w:rPr>
                <w:b/>
                <w:bCs/>
              </w:rPr>
              <w:t xml:space="preserve">F1-Score</w:t>
            </w:r>
          </w:p>
        </w:tc>
      </w:tr>
      <w:tr>
        <w:tc>
          <w:tcPr/>
          <w:p>
            <w:pPr>
              <w:pStyle w:val="Compact"/>
              <w:jc w:val="left"/>
            </w:pPr>
            <w:r>
              <w:t xml:space="preserve">No-Damage</w:t>
            </w:r>
          </w:p>
        </w:tc>
        <w:tc>
          <w:tcPr/>
          <w:p>
            <w:pPr>
              <w:pStyle w:val="Compact"/>
              <w:jc w:val="center"/>
            </w:pPr>
            <w:r>
              <w:rPr>
                <w:b/>
                <w:bCs/>
              </w:rPr>
              <w:t xml:space="preserve">0.8567</w:t>
            </w:r>
          </w:p>
        </w:tc>
        <w:tc>
          <w:tcPr/>
          <w:p>
            <w:pPr>
              <w:pStyle w:val="Compact"/>
              <w:jc w:val="center"/>
            </w:pPr>
            <w:r>
              <w:rPr>
                <w:b/>
                <w:bCs/>
              </w:rPr>
              <w:t xml:space="preserve">0.9215</w:t>
            </w:r>
          </w:p>
        </w:tc>
      </w:tr>
      <w:tr>
        <w:tc>
          <w:tcPr/>
          <w:p>
            <w:pPr>
              <w:pStyle w:val="Compact"/>
              <w:jc w:val="left"/>
            </w:pPr>
            <w:r>
              <w:t xml:space="preserve">Minor-Damage</w:t>
            </w:r>
          </w:p>
        </w:tc>
        <w:tc>
          <w:tcPr/>
          <w:p>
            <w:pPr>
              <w:pStyle w:val="Compact"/>
              <w:jc w:val="center"/>
            </w:pPr>
            <w:r>
              <w:t xml:space="preserve">0.0695</w:t>
            </w:r>
          </w:p>
        </w:tc>
        <w:tc>
          <w:tcPr/>
          <w:p>
            <w:pPr>
              <w:pStyle w:val="Compact"/>
              <w:jc w:val="center"/>
            </w:pPr>
            <w:r>
              <w:t xml:space="preserve">0.1273</w:t>
            </w:r>
          </w:p>
        </w:tc>
      </w:tr>
      <w:tr>
        <w:tc>
          <w:tcPr/>
          <w:p>
            <w:pPr>
              <w:pStyle w:val="Compact"/>
              <w:jc w:val="left"/>
            </w:pPr>
            <w:r>
              <w:t xml:space="preserve">Major-Damage</w:t>
            </w:r>
          </w:p>
        </w:tc>
        <w:tc>
          <w:tcPr/>
          <w:p>
            <w:pPr>
              <w:pStyle w:val="Compact"/>
              <w:jc w:val="center"/>
            </w:pPr>
            <w:r>
              <w:t xml:space="preserve">0.1231</w:t>
            </w:r>
          </w:p>
        </w:tc>
        <w:tc>
          <w:tcPr/>
          <w:p>
            <w:pPr>
              <w:pStyle w:val="Compact"/>
              <w:jc w:val="center"/>
            </w:pPr>
            <w:r>
              <w:t xml:space="preserve">0.2111</w:t>
            </w:r>
          </w:p>
        </w:tc>
      </w:tr>
      <w:tr>
        <w:tc>
          <w:tcPr/>
          <w:p>
            <w:pPr>
              <w:pStyle w:val="Compact"/>
              <w:jc w:val="left"/>
            </w:pPr>
            <w:r>
              <w:t xml:space="preserve">Destroyed</w:t>
            </w:r>
          </w:p>
        </w:tc>
        <w:tc>
          <w:tcPr/>
          <w:p>
            <w:pPr>
              <w:pStyle w:val="Compact"/>
              <w:jc w:val="center"/>
            </w:pPr>
            <w:r>
              <w:t xml:space="preserve">0.0715</w:t>
            </w:r>
          </w:p>
        </w:tc>
        <w:tc>
          <w:tcPr/>
          <w:p>
            <w:pPr>
              <w:pStyle w:val="Compact"/>
              <w:jc w:val="center"/>
            </w:pPr>
            <w:r>
              <w:t xml:space="preserve">0.1310</w:t>
            </w:r>
          </w:p>
        </w:tc>
      </w:tr>
      <w:tr>
        <w:tc>
          <w:tcPr/>
          <w:p>
            <w:pPr>
              <w:pStyle w:val="Compact"/>
              <w:jc w:val="left"/>
            </w:pPr>
            <w:r>
              <w:rPr>
                <w:b/>
                <w:bCs/>
              </w:rPr>
              <w:t xml:space="preserve">Mean</w:t>
            </w:r>
          </w:p>
        </w:tc>
        <w:tc>
          <w:tcPr/>
          <w:p>
            <w:pPr>
              <w:pStyle w:val="Compact"/>
              <w:jc w:val="center"/>
            </w:pPr>
            <w:r>
              <w:rPr>
                <w:b/>
                <w:bCs/>
              </w:rPr>
              <w:t xml:space="preserve">0.2802</w:t>
            </w:r>
          </w:p>
        </w:tc>
        <w:tc>
          <w:tcPr/>
          <w:p>
            <w:pPr>
              <w:pStyle w:val="Compact"/>
              <w:jc w:val="center"/>
            </w:pPr>
            <w:r>
              <w:rPr>
                <w:b/>
                <w:bCs/>
              </w:rPr>
              <w:t xml:space="preserve">0.3477</w:t>
            </w:r>
          </w:p>
        </w:tc>
      </w:tr>
    </w:tbl>
    <w:bookmarkEnd w:id="79"/>
    <w:p>
      <w:pPr>
        <w:pStyle w:val="BodyText"/>
      </w:pPr>
      <w:r>
        <w:t xml:space="preserve">The high no-damage performance (IoU = 0.857) combined with lower damage-class scores reflects the severe class imbalance in xBD. We identify and correct several issues including a validation normalization bug (blue channel std 0.245</w:t>
      </w:r>
      <w:r>
        <w:t xml:space="preserve"> </w:t>
      </w:r>
      <m:oMath>
        <m:r>
          <m:rPr>
            <m:sty m:val="p"/>
          </m:rPr>
          <m:t>→</m:t>
        </m:r>
      </m:oMath>
      <w:r>
        <w:t xml:space="preserve"> </w:t>
      </w:r>
      <w:r>
        <w:t xml:space="preserve">0.225), insufficient loss function (CrossEntropy</w:t>
      </w:r>
      <w:r>
        <w:t xml:space="preserve"> </w:t>
      </w:r>
      <m:oMath>
        <m:r>
          <m:rPr>
            <m:sty m:val="p"/>
          </m:rPr>
          <m:t>→</m:t>
        </m:r>
      </m:oMath>
      <w:r>
        <w:t xml:space="preserve"> </w:t>
      </w:r>
      <w:r>
        <w:t xml:space="preserve">Dice + Focal), and under-tuned encoder learning rates. With these fixes, we project IoU</w:t>
      </w:r>
      <w:r>
        <w:t xml:space="preserve"> </w:t>
      </w:r>
      <m:oMath>
        <m:r>
          <m:rPr>
            <m:sty m:val="p"/>
          </m:rPr>
          <m:t>&gt;</m:t>
        </m:r>
      </m:oMath>
      <w:r>
        <w:t xml:space="preserve"> </w:t>
      </w:r>
      <w:r>
        <w:t xml:space="preserve">0.50 on damage classes.</w:t>
      </w:r>
    </w:p>
    <w:bookmarkStart w:id="83" w:name="fig:xbd_training"/>
    <w:p>
      <w:pPr>
        <w:pStyle w:val="CaptionedFigure"/>
      </w:pPr>
      <w:r>
        <w:drawing>
          <wp:inline>
            <wp:extent cx="5334000" cy="3151909"/>
            <wp:effectExtent b="0" l="0" r="0" t="0"/>
            <wp:docPr descr="" title="" id="81" name="Picture"/>
            <a:graphic>
              <a:graphicData uri="http://schemas.openxmlformats.org/drawingml/2006/picture">
                <pic:pic>
                  <pic:nvPicPr>
                    <pic:cNvPr descr="xbd_training_history.jpeg" id="82" name="Picture"/>
                    <pic:cNvPicPr>
                      <a:picLocks noChangeArrowheads="1" noChangeAspect="1"/>
                    </pic:cNvPicPr>
                  </pic:nvPicPr>
                  <pic:blipFill>
                    <a:blip r:embed="rId80"/>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xBD model training history over 32 epochs. Top-left: train/val loss convergence. Top-right: validation Mean IoU reaching best at epoch 18 (0.2802). Bottom-left: Mean F1 progression. Bottom-right: cosine annealing learning rate schedule.</w:t>
      </w:r>
    </w:p>
    <w:bookmarkEnd w:id="83"/>
    <w:bookmarkEnd w:id="84"/>
    <w:bookmarkStart w:id="86" w:name="tri-fusion-ablation-study"/>
    <w:p>
      <w:pPr>
        <w:pStyle w:val="Heading2"/>
      </w:pPr>
      <w:r>
        <w:t xml:space="preserve">Tri-Fusion Ablation Study</w:t>
      </w:r>
    </w:p>
    <w:p>
      <w:pPr>
        <w:pStyle w:val="FirstParagraph"/>
      </w:pPr>
      <w:r>
        <w:t xml:space="preserve">The central result of this work is the ablation study demonstrating each modality’s contribution to fusion performance. Table </w:t>
      </w:r>
      <w:hyperlink w:anchor="tab:ablation">
        <w:r>
          <w:rPr>
            <w:rStyle w:val="Hyperlink"/>
          </w:rPr>
          <w:t xml:space="preserve">[tab:ablation]</w:t>
        </w:r>
      </w:hyperlink>
      <w:r>
        <w:t xml:space="preserve"> </w:t>
      </w:r>
      <w:r>
        <w:t xml:space="preserve">presents results across four configurations on 2,722 validation samples.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Configuration</w:t>
            </w:r>
          </w:p>
        </w:tc>
        <w:tc>
          <w:tcPr/>
          <w:p>
            <w:pPr>
              <w:pStyle w:val="Compact"/>
              <w:jc w:val="center"/>
            </w:pPr>
            <w:r>
              <w:rPr>
                <w:b/>
                <w:bCs/>
              </w:rPr>
              <w:t xml:space="preserve">Severity MAE</w:t>
            </w:r>
            <w:r>
              <w:t xml:space="preserve"> </w:t>
            </w:r>
            <m:oMath>
              <m:r>
                <m:rPr>
                  <m:sty m:val="p"/>
                </m:rPr>
                <m:t>↓</m:t>
              </m:r>
            </m:oMath>
          </w:p>
        </w:tc>
        <w:tc>
          <w:tcPr/>
          <w:p>
            <w:pPr>
              <w:pStyle w:val="Compact"/>
              <w:jc w:val="center"/>
            </w:pPr>
            <w:r>
              <w:rPr>
                <w:b/>
                <w:bCs/>
              </w:rPr>
              <w:t xml:space="preserve">Priority Acc.</w:t>
            </w:r>
            <w:r>
              <w:t xml:space="preserve"> </w:t>
            </w:r>
            <m:oMath>
              <m:r>
                <m:rPr>
                  <m:sty m:val="p"/>
                </m:rPr>
                <m:t>↑</m:t>
              </m:r>
            </m:oMath>
          </w:p>
        </w:tc>
        <w:tc>
          <w:tcPr/>
          <w:p>
            <w:pPr>
              <w:pStyle w:val="Compact"/>
              <w:jc w:val="center"/>
            </w:pPr>
            <w:r>
              <w:rPr>
                <w:b/>
                <w:bCs/>
              </w:rPr>
              <w:t xml:space="preserve">Disaster Acc.</w:t>
            </w:r>
            <w:r>
              <w:t xml:space="preserve"> </w:t>
            </w:r>
            <m:oMath>
              <m:r>
                <m:rPr>
                  <m:sty m:val="p"/>
                </m:rPr>
                <m:t>↑</m:t>
              </m:r>
            </m:oMath>
          </w:p>
        </w:tc>
        <w:tc>
          <w:tcPr/>
          <w:p>
            <w:pPr>
              <w:pStyle w:val="Compact"/>
              <w:jc w:val="center"/>
            </w:pPr>
            <w:r>
              <w:rPr>
                <w:b/>
                <w:bCs/>
              </w:rPr>
              <w:t xml:space="preserve">Population MAE</w:t>
            </w:r>
            <w:r>
              <w:t xml:space="preserve"> </w:t>
            </w:r>
            <m:oMath>
              <m:r>
                <m:rPr>
                  <m:sty m:val="p"/>
                </m:rPr>
                <m:t>↓</m:t>
              </m:r>
            </m:oMath>
          </w:p>
        </w:tc>
        <w:tc>
          <w:tcPr/>
          <w:p>
            <w:pPr>
              <w:pStyle w:val="Compact"/>
              <w:jc w:val="center"/>
            </w:pPr>
            <w:r>
              <w:rPr>
                <w:b/>
                <w:bCs/>
              </w:rPr>
              <w:t xml:space="preserve">Resource MAE</w:t>
            </w:r>
            <w:r>
              <w:t xml:space="preserve"> </w:t>
            </w:r>
            <m:oMath>
              <m:r>
                <m:rPr>
                  <m:sty m:val="p"/>
                </m:rPr>
                <m:t>↓</m:t>
              </m:r>
            </m:oMath>
          </w:p>
        </w:tc>
      </w:tr>
      <w:tr>
        <w:tc>
          <w:tcPr/>
          <w:p>
            <w:pPr>
              <w:pStyle w:val="Compact"/>
              <w:jc w:val="left"/>
            </w:pPr>
            <w:r>
              <w:t xml:space="preserve">Crisis only</w:t>
            </w:r>
          </w:p>
        </w:tc>
        <w:tc>
          <w:tcPr/>
          <w:p>
            <w:pPr>
              <w:pStyle w:val="Compact"/>
              <w:jc w:val="center"/>
            </w:pPr>
            <w:r>
              <w:t xml:space="preserve">0.1165</w:t>
            </w:r>
          </w:p>
        </w:tc>
        <w:tc>
          <w:tcPr/>
          <w:p>
            <w:pPr>
              <w:pStyle w:val="Compact"/>
              <w:jc w:val="center"/>
            </w:pPr>
            <w:r>
              <w:t xml:space="preserve">68.96%</w:t>
            </w:r>
          </w:p>
        </w:tc>
        <w:tc>
          <w:tcPr/>
          <w:p>
            <w:pPr>
              <w:pStyle w:val="Compact"/>
              <w:jc w:val="center"/>
            </w:pPr>
            <w:r>
              <w:t xml:space="preserve">100.00%</w:t>
            </w:r>
          </w:p>
        </w:tc>
        <w:tc>
          <w:tcPr/>
          <w:p>
            <w:pPr>
              <w:pStyle w:val="Compact"/>
              <w:jc w:val="center"/>
            </w:pPr>
            <w:r>
              <w:t xml:space="preserve">0.0877</w:t>
            </w:r>
          </w:p>
        </w:tc>
        <w:tc>
          <w:tcPr/>
          <w:p>
            <w:pPr>
              <w:pStyle w:val="Compact"/>
              <w:jc w:val="center"/>
            </w:pPr>
            <w:r>
              <w:t xml:space="preserve">0.0468</w:t>
            </w:r>
          </w:p>
        </w:tc>
      </w:tr>
      <w:tr>
        <w:tc>
          <w:tcPr/>
          <w:p>
            <w:pPr>
              <w:pStyle w:val="Compact"/>
              <w:jc w:val="left"/>
            </w:pPr>
            <w:r>
              <w:t xml:space="preserve">Crisis + IoT</w:t>
            </w:r>
          </w:p>
        </w:tc>
        <w:tc>
          <w:tcPr/>
          <w:p>
            <w:pPr>
              <w:pStyle w:val="Compact"/>
              <w:jc w:val="center"/>
            </w:pPr>
            <w:r>
              <w:t xml:space="preserve">0.0989</w:t>
            </w:r>
            <w:r>
              <w:t xml:space="preserve"> </w:t>
            </w:r>
            <w:r>
              <w:t xml:space="preserve">(–15.1%)</w:t>
            </w:r>
          </w:p>
        </w:tc>
        <w:tc>
          <w:tcPr/>
          <w:p>
            <w:pPr>
              <w:pStyle w:val="Compact"/>
              <w:jc w:val="center"/>
            </w:pPr>
            <w:r>
              <w:t xml:space="preserve">72.37%</w:t>
            </w:r>
            <w:r>
              <w:t xml:space="preserve"> </w:t>
            </w:r>
            <w:r>
              <w:t xml:space="preserve">(+3.41pp)</w:t>
            </w:r>
          </w:p>
        </w:tc>
        <w:tc>
          <w:tcPr/>
          <w:p>
            <w:pPr>
              <w:pStyle w:val="Compact"/>
              <w:jc w:val="center"/>
            </w:pPr>
            <w:r>
              <w:t xml:space="preserve">100.00%</w:t>
            </w:r>
          </w:p>
        </w:tc>
        <w:tc>
          <w:tcPr/>
          <w:p>
            <w:pPr>
              <w:pStyle w:val="Compact"/>
              <w:jc w:val="center"/>
            </w:pPr>
            <w:r>
              <w:t xml:space="preserve">0.0691</w:t>
            </w:r>
            <w:r>
              <w:t xml:space="preserve"> </w:t>
            </w:r>
            <w:r>
              <w:t xml:space="preserve">(–21.2%)</w:t>
            </w:r>
          </w:p>
        </w:tc>
        <w:tc>
          <w:tcPr/>
          <w:p>
            <w:pPr>
              <w:pStyle w:val="Compact"/>
              <w:jc w:val="center"/>
            </w:pPr>
            <w:r>
              <w:t xml:space="preserve">0.0393</w:t>
            </w:r>
            <w:r>
              <w:t xml:space="preserve"> </w:t>
            </w:r>
            <w:r>
              <w:t xml:space="preserve">(–16.0%)</w:t>
            </w:r>
          </w:p>
        </w:tc>
      </w:tr>
      <w:tr>
        <w:tc>
          <w:tcPr/>
          <w:p>
            <w:pPr>
              <w:pStyle w:val="Compact"/>
              <w:jc w:val="left"/>
            </w:pPr>
            <w:r>
              <w:t xml:space="preserve">Crisis + Satellite</w:t>
            </w:r>
          </w:p>
        </w:tc>
        <w:tc>
          <w:tcPr/>
          <w:p>
            <w:pPr>
              <w:pStyle w:val="Compact"/>
              <w:jc w:val="center"/>
            </w:pPr>
            <w:r>
              <w:t xml:space="preserve">0.0415</w:t>
            </w:r>
            <w:r>
              <w:t xml:space="preserve"> </w:t>
            </w:r>
            <w:r>
              <w:t xml:space="preserve">(–64.4%)</w:t>
            </w:r>
          </w:p>
        </w:tc>
        <w:tc>
          <w:tcPr/>
          <w:p>
            <w:pPr>
              <w:pStyle w:val="Compact"/>
              <w:jc w:val="center"/>
            </w:pPr>
            <w:r>
              <w:t xml:space="preserve">98.75%</w:t>
            </w:r>
            <w:r>
              <w:t xml:space="preserve"> </w:t>
            </w:r>
            <w:r>
              <w:t xml:space="preserve">(+29.8pp)</w:t>
            </w:r>
          </w:p>
        </w:tc>
        <w:tc>
          <w:tcPr/>
          <w:p>
            <w:pPr>
              <w:pStyle w:val="Compact"/>
              <w:jc w:val="center"/>
            </w:pPr>
            <w:r>
              <w:t xml:space="preserve">100.00%</w:t>
            </w:r>
          </w:p>
        </w:tc>
        <w:tc>
          <w:tcPr/>
          <w:p>
            <w:pPr>
              <w:pStyle w:val="Compact"/>
              <w:jc w:val="center"/>
            </w:pPr>
            <w:r>
              <w:t xml:space="preserve">0.0274</w:t>
            </w:r>
            <w:r>
              <w:t xml:space="preserve"> </w:t>
            </w:r>
            <w:r>
              <w:t xml:space="preserve">(–68.8%)</w:t>
            </w:r>
          </w:p>
        </w:tc>
        <w:tc>
          <w:tcPr/>
          <w:p>
            <w:pPr>
              <w:pStyle w:val="Compact"/>
              <w:jc w:val="center"/>
            </w:pPr>
            <w:r>
              <w:t xml:space="preserve">0.0164</w:t>
            </w:r>
            <w:r>
              <w:t xml:space="preserve"> </w:t>
            </w:r>
            <w:r>
              <w:t xml:space="preserve">(–65.0%)</w:t>
            </w:r>
          </w:p>
        </w:tc>
      </w:tr>
      <w:tr>
        <w:tc>
          <w:tcPr/>
          <w:p>
            <w:pPr>
              <w:pStyle w:val="Compact"/>
              <w:jc w:val="left"/>
            </w:pPr>
            <w:r>
              <w:rPr>
                <w:b/>
                <w:bCs/>
              </w:rPr>
              <w:t xml:space="preserve">Crisis + IoT + Satellite</w:t>
            </w:r>
          </w:p>
        </w:tc>
        <w:tc>
          <w:tcPr/>
          <w:p>
            <w:pPr>
              <w:pStyle w:val="Compact"/>
              <w:jc w:val="center"/>
            </w:pPr>
            <w:r>
              <w:rPr>
                <w:b/>
                <w:bCs/>
              </w:rPr>
              <w:t xml:space="preserve">0.0398</w:t>
            </w:r>
            <w:r>
              <w:t xml:space="preserve"> </w:t>
            </w:r>
            <w:r>
              <w:rPr>
                <w:b/>
                <w:bCs/>
              </w:rPr>
              <w:t xml:space="preserve">(–65.8%)</w:t>
            </w:r>
          </w:p>
        </w:tc>
        <w:tc>
          <w:tcPr/>
          <w:p>
            <w:pPr>
              <w:pStyle w:val="Compact"/>
              <w:jc w:val="center"/>
            </w:pPr>
            <w:r>
              <w:rPr>
                <w:b/>
                <w:bCs/>
              </w:rPr>
              <w:t xml:space="preserve">99.41%</w:t>
            </w:r>
            <w:r>
              <w:t xml:space="preserve"> </w:t>
            </w:r>
            <w:r>
              <w:rPr>
                <w:b/>
                <w:bCs/>
              </w:rPr>
              <w:t xml:space="preserve">(+30.5pp)</w:t>
            </w:r>
          </w:p>
        </w:tc>
        <w:tc>
          <w:tcPr/>
          <w:p>
            <w:pPr>
              <w:pStyle w:val="Compact"/>
              <w:jc w:val="center"/>
            </w:pPr>
            <w:r>
              <w:rPr>
                <w:b/>
                <w:bCs/>
              </w:rPr>
              <w:t xml:space="preserve">100.00%</w:t>
            </w:r>
          </w:p>
        </w:tc>
        <w:tc>
          <w:tcPr/>
          <w:p>
            <w:pPr>
              <w:pStyle w:val="Compact"/>
              <w:jc w:val="center"/>
            </w:pPr>
            <w:r>
              <w:rPr>
                <w:b/>
                <w:bCs/>
              </w:rPr>
              <w:t xml:space="preserve">0.0248</w:t>
            </w:r>
            <w:r>
              <w:t xml:space="preserve"> </w:t>
            </w:r>
            <w:r>
              <w:rPr>
                <w:b/>
                <w:bCs/>
              </w:rPr>
              <w:t xml:space="preserve">(–71.7%)</w:t>
            </w:r>
          </w:p>
        </w:tc>
        <w:tc>
          <w:tcPr/>
          <w:p>
            <w:pPr>
              <w:pStyle w:val="Compact"/>
              <w:jc w:val="center"/>
            </w:pPr>
            <w:r>
              <w:rPr>
                <w:b/>
                <w:bCs/>
              </w:rPr>
              <w:t xml:space="preserve">0.0161</w:t>
            </w:r>
            <w:r>
              <w:t xml:space="preserve"> </w:t>
            </w:r>
            <w:r>
              <w:rPr>
                <w:b/>
                <w:bCs/>
              </w:rPr>
              <w:t xml:space="preserve">(–65.6%)</w:t>
            </w:r>
          </w:p>
        </w:tc>
      </w:tr>
    </w:tbl>
    <w:bookmarkStart w:id="85" w:name="key-findings"/>
    <w:p>
      <w:pPr>
        <w:pStyle w:val="Heading3"/>
      </w:pPr>
      <w:r>
        <w:t xml:space="preserve">Key Findings</w:t>
      </w:r>
    </w:p>
    <w:p>
      <w:pPr>
        <w:pStyle w:val="FirstParagraph"/>
      </w:pPr>
      <w:r>
        <w:rPr>
          <w:b/>
          <w:bCs/>
        </w:rPr>
        <w:t xml:space="preserve">Satellite modality is the strongest contributor.</w:t>
      </w:r>
      <w:r>
        <w:t xml:space="preserve"> </w:t>
      </w:r>
      <w:r>
        <w:t xml:space="preserve">Adding satellite alone reduces Severity MAE by 64.4% (0.1165</w:t>
      </w:r>
      <w:r>
        <w:t xml:space="preserve"> </w:t>
      </w:r>
      <m:oMath>
        <m:r>
          <m:rPr>
            <m:sty m:val="p"/>
          </m:rPr>
          <m:t>→</m:t>
        </m:r>
      </m:oMath>
      <w:r>
        <w:t xml:space="preserve"> </w:t>
      </w:r>
      <w:r>
        <w:t xml:space="preserve">0.0415) and boosts Priority Accuracy by +29.8 percentage points (68.96%</w:t>
      </w:r>
      <w:r>
        <w:t xml:space="preserve"> </w:t>
      </w:r>
      <m:oMath>
        <m:r>
          <m:rPr>
            <m:sty m:val="p"/>
          </m:rPr>
          <m:t>→</m:t>
        </m:r>
      </m:oMath>
      <w:r>
        <w:t xml:space="preserve"> </w:t>
      </w:r>
      <w:r>
        <w:t xml:space="preserve">98.75%). This reflects the direct physical damage evidence provided by segmentation-based features.</w:t>
      </w:r>
    </w:p>
    <w:p>
      <w:pPr>
        <w:pStyle w:val="BodyText"/>
      </w:pPr>
      <w:r>
        <w:rPr>
          <w:b/>
          <w:bCs/>
        </w:rPr>
        <w:t xml:space="preserve">IoT provides incremental but meaningful improvement.</w:t>
      </w:r>
      <w:r>
        <w:t xml:space="preserve"> </w:t>
      </w:r>
      <w:r>
        <w:t xml:space="preserve">Adding IoT reduces Severity MAE by 15.1% and boosts Priority Accuracy by +3.4pp. IoT contributes environmental context (weather, seismic, hydrological signals) that complements visual evidence.</w:t>
      </w:r>
    </w:p>
    <w:p>
      <w:pPr>
        <w:pStyle w:val="BodyText"/>
      </w:pPr>
      <w:r>
        <w:rPr>
          <w:b/>
          <w:bCs/>
        </w:rPr>
        <w:t xml:space="preserve">Full tri-fusion achieves best results across all metrics.</w:t>
      </w:r>
      <w:r>
        <w:t xml:space="preserve"> </w:t>
      </w:r>
      <w:r>
        <w:t xml:space="preserve">The complete system outperforms the best bimodal configuration (crisis+satellite) by a further 4.1% severity reduction and +0.66pp priority accuracy, confirming the value of all three modalities.</w:t>
      </w:r>
    </w:p>
    <w:p>
      <w:pPr>
        <w:pStyle w:val="BodyText"/>
      </w:pPr>
      <w:r>
        <w:rPr>
          <w:b/>
          <w:bCs/>
        </w:rPr>
        <w:t xml:space="preserve">Graceful degradation is confirmed.</w:t>
      </w:r>
      <w:r>
        <w:t xml:space="preserve"> </w:t>
      </w:r>
      <w:r>
        <w:t xml:space="preserve">Each added modality monotonically improves all metrics. The crisis-only baseline still achieves 68.96% priority accuracy—a usable fallback. The 30% modality dropout training strategy successfully enables robust missing-modality handling.</w:t>
      </w:r>
    </w:p>
    <w:p>
      <w:pPr>
        <w:pStyle w:val="BodyText"/>
      </w:pPr>
      <w:r>
        <w:rPr>
          <w:b/>
          <w:bCs/>
        </w:rPr>
        <w:t xml:space="preserve">Disaster type classification is saturated.</w:t>
      </w:r>
      <w:r>
        <w:t xml:space="preserve"> </w:t>
      </w:r>
      <w:r>
        <w:t xml:space="preserve">All configurations achieve 100% accuracy on the 5-class disaster type task, indicating the type categories are well-separated in all embedding spaces.</w:t>
      </w:r>
    </w:p>
    <w:bookmarkEnd w:id="85"/>
    <w:bookmarkEnd w:id="86"/>
    <w:bookmarkStart w:id="88" w:name="training-convergence"/>
    <w:p>
      <w:pPr>
        <w:pStyle w:val="Heading2"/>
      </w:pPr>
      <w:r>
        <w:t xml:space="preserve">Training Convergence</w:t>
      </w:r>
    </w:p>
    <w:p>
      <w:pPr>
        <w:pStyle w:val="FirstParagraph"/>
      </w:pPr>
      <w:r>
        <w:t xml:space="preserve">Table </w:t>
      </w:r>
      <w:hyperlink w:anchor="tab:convergence">
        <w:r>
          <w:rPr>
            <w:rStyle w:val="Hyperlink"/>
          </w:rPr>
          <w:t xml:space="preserve">7</w:t>
        </w:r>
      </w:hyperlink>
      <w:r>
        <w:t xml:space="preserve"> </w:t>
      </w:r>
      <w:r>
        <w:t xml:space="preserve">shows the tri-fusion model’s rapid convergence, reaching best validation loss at epoch 15.</w:t>
      </w:r>
    </w:p>
    <w:bookmarkStart w:id="87" w:name="tab:convergence"/>
    <w:p>
      <w:pPr>
        <w:pStyle w:val="TableCaption"/>
      </w:pPr>
      <w:r>
        <w:t xml:space="preserve">Tri-Fusion Training Convergence</w:t>
      </w:r>
    </w:p>
    <w:tbl>
      <w:tblPr>
        <w:tblStyle w:val="Table"/>
        <w:tblW w:type="auto" w:w="0"/>
        <w:tblLook w:firstRow="1" w:lastRow="0" w:firstColumn="0" w:lastColumn="0" w:noHBand="0" w:noVBand="0" w:val="0020"/>
        <w:tblCaption w:val="Tri-Fusion Training Convergence"/>
      </w:tblPr>
      <w:tblGrid>
        <w:gridCol w:w="1584"/>
        <w:gridCol w:w="1584"/>
        <w:gridCol w:w="1584"/>
        <w:gridCol w:w="1584"/>
        <w:gridCol w:w="1584"/>
      </w:tblGrid>
      <w:tr>
        <w:trPr>
          <w:tblHeader w:val="on"/>
        </w:trPr>
        <w:tc>
          <w:tcPr/>
          <w:p>
            <w:pPr>
              <w:pStyle w:val="Compact"/>
              <w:jc w:val="center"/>
            </w:pPr>
            <w:r>
              <w:rPr>
                <w:b/>
                <w:bCs/>
              </w:rPr>
              <w:t xml:space="preserve">Epoch</w:t>
            </w:r>
          </w:p>
        </w:tc>
        <w:tc>
          <w:tcPr/>
          <w:p>
            <w:pPr>
              <w:pStyle w:val="Compact"/>
              <w:jc w:val="center"/>
            </w:pPr>
            <w:r>
              <w:rPr>
                <w:b/>
                <w:bCs/>
              </w:rPr>
              <w:t xml:space="preserve">Train Loss</w:t>
            </w:r>
          </w:p>
        </w:tc>
        <w:tc>
          <w:tcPr/>
          <w:p>
            <w:pPr>
              <w:pStyle w:val="Compact"/>
              <w:jc w:val="center"/>
            </w:pPr>
            <w:r>
              <w:rPr>
                <w:b/>
                <w:bCs/>
              </w:rPr>
              <w:t xml:space="preserve">Val Loss</w:t>
            </w:r>
          </w:p>
        </w:tc>
        <w:tc>
          <w:tcPr/>
          <w:p>
            <w:pPr>
              <w:pStyle w:val="Compact"/>
              <w:jc w:val="center"/>
            </w:pPr>
            <w:r>
              <w:rPr>
                <w:b/>
                <w:bCs/>
              </w:rPr>
              <w:t xml:space="preserve">Pri. Acc</w:t>
            </w:r>
          </w:p>
        </w:tc>
        <w:tc>
          <w:tcPr/>
          <w:p>
            <w:pPr>
              <w:pStyle w:val="Compact"/>
              <w:jc w:val="center"/>
            </w:pPr>
            <w:r>
              <w:rPr>
                <w:b/>
                <w:bCs/>
              </w:rPr>
              <w:t xml:space="preserve">Dis. Acc</w:t>
            </w:r>
          </w:p>
        </w:tc>
      </w:tr>
      <w:tr>
        <w:tc>
          <w:tcPr/>
          <w:p>
            <w:pPr>
              <w:pStyle w:val="Compact"/>
              <w:jc w:val="center"/>
            </w:pPr>
            <w:r>
              <w:t xml:space="preserve">1</w:t>
            </w:r>
          </w:p>
        </w:tc>
        <w:tc>
          <w:tcPr/>
          <w:p>
            <w:pPr>
              <w:pStyle w:val="Compact"/>
              <w:jc w:val="center"/>
            </w:pPr>
            <w:r>
              <w:t xml:space="preserve">0.4855</w:t>
            </w:r>
          </w:p>
        </w:tc>
        <w:tc>
          <w:tcPr/>
          <w:p>
            <w:pPr>
              <w:pStyle w:val="Compact"/>
              <w:jc w:val="center"/>
            </w:pPr>
            <w:r>
              <w:t xml:space="preserve">0.0613</w:t>
            </w:r>
          </w:p>
        </w:tc>
        <w:tc>
          <w:tcPr/>
          <w:p>
            <w:pPr>
              <w:pStyle w:val="Compact"/>
              <w:jc w:val="center"/>
            </w:pPr>
            <w:r>
              <w:t xml:space="preserve">99.2%</w:t>
            </w:r>
          </w:p>
        </w:tc>
        <w:tc>
          <w:tcPr/>
          <w:p>
            <w:pPr>
              <w:pStyle w:val="Compact"/>
              <w:jc w:val="center"/>
            </w:pPr>
            <w:r>
              <w:t xml:space="preserve">100.0%</w:t>
            </w:r>
          </w:p>
        </w:tc>
      </w:tr>
      <w:tr>
        <w:tc>
          <w:tcPr/>
          <w:p>
            <w:pPr>
              <w:pStyle w:val="Compact"/>
              <w:jc w:val="center"/>
            </w:pPr>
            <w:r>
              <w:t xml:space="preserve">5</w:t>
            </w:r>
          </w:p>
        </w:tc>
        <w:tc>
          <w:tcPr/>
          <w:p>
            <w:pPr>
              <w:pStyle w:val="Compact"/>
              <w:jc w:val="center"/>
            </w:pPr>
            <w:r>
              <w:t xml:space="preserve">0.2077</w:t>
            </w:r>
          </w:p>
        </w:tc>
        <w:tc>
          <w:tcPr/>
          <w:p>
            <w:pPr>
              <w:pStyle w:val="Compact"/>
              <w:jc w:val="center"/>
            </w:pPr>
            <w:r>
              <w:t xml:space="preserve">0.0318</w:t>
            </w:r>
          </w:p>
        </w:tc>
        <w:tc>
          <w:tcPr/>
          <w:p>
            <w:pPr>
              <w:pStyle w:val="Compact"/>
              <w:jc w:val="center"/>
            </w:pPr>
            <w:r>
              <w:t xml:space="preserve">99.4%</w:t>
            </w:r>
          </w:p>
        </w:tc>
        <w:tc>
          <w:tcPr/>
          <w:p>
            <w:pPr>
              <w:pStyle w:val="Compact"/>
              <w:jc w:val="center"/>
            </w:pPr>
            <w:r>
              <w:t xml:space="preserve">100.0%</w:t>
            </w:r>
          </w:p>
        </w:tc>
      </w:tr>
      <w:tr>
        <w:tc>
          <w:tcPr/>
          <w:p>
            <w:pPr>
              <w:pStyle w:val="Compact"/>
              <w:jc w:val="center"/>
            </w:pPr>
            <w:r>
              <w:t xml:space="preserve">10</w:t>
            </w:r>
          </w:p>
        </w:tc>
        <w:tc>
          <w:tcPr/>
          <w:p>
            <w:pPr>
              <w:pStyle w:val="Compact"/>
              <w:jc w:val="center"/>
            </w:pPr>
            <w:r>
              <w:t xml:space="preserve">0.1909</w:t>
            </w:r>
          </w:p>
        </w:tc>
        <w:tc>
          <w:tcPr/>
          <w:p>
            <w:pPr>
              <w:pStyle w:val="Compact"/>
              <w:jc w:val="center"/>
            </w:pPr>
            <w:r>
              <w:t xml:space="preserve">0.0313</w:t>
            </w:r>
          </w:p>
        </w:tc>
        <w:tc>
          <w:tcPr/>
          <w:p>
            <w:pPr>
              <w:pStyle w:val="Compact"/>
              <w:jc w:val="center"/>
            </w:pPr>
            <w:r>
              <w:t xml:space="preserve">99.4%</w:t>
            </w:r>
          </w:p>
        </w:tc>
        <w:tc>
          <w:tcPr/>
          <w:p>
            <w:pPr>
              <w:pStyle w:val="Compact"/>
              <w:jc w:val="center"/>
            </w:pPr>
            <w:r>
              <w:t xml:space="preserve">100.0%</w:t>
            </w:r>
          </w:p>
        </w:tc>
      </w:tr>
      <w:tr>
        <w:tc>
          <w:tcPr/>
          <w:p>
            <w:pPr>
              <w:pStyle w:val="Compact"/>
              <w:jc w:val="center"/>
            </w:pPr>
            <w:r>
              <w:rPr>
                <w:b/>
                <w:bCs/>
              </w:rPr>
              <w:t xml:space="preserve">15</w:t>
            </w:r>
          </w:p>
        </w:tc>
        <w:tc>
          <w:tcPr/>
          <w:p>
            <w:pPr>
              <w:pStyle w:val="Compact"/>
              <w:jc w:val="center"/>
            </w:pPr>
            <w:r>
              <w:rPr>
                <w:b/>
                <w:bCs/>
              </w:rPr>
              <w:t xml:space="preserve">0.1914</w:t>
            </w:r>
          </w:p>
        </w:tc>
        <w:tc>
          <w:tcPr/>
          <w:p>
            <w:pPr>
              <w:pStyle w:val="Compact"/>
              <w:jc w:val="center"/>
            </w:pPr>
            <w:r>
              <w:rPr>
                <w:b/>
                <w:bCs/>
              </w:rPr>
              <w:t xml:space="preserve">0.0288</w:t>
            </w:r>
          </w:p>
        </w:tc>
        <w:tc>
          <w:tcPr/>
          <w:p>
            <w:pPr>
              <w:pStyle w:val="Compact"/>
              <w:jc w:val="center"/>
            </w:pPr>
            <w:r>
              <w:rPr>
                <w:b/>
                <w:bCs/>
              </w:rPr>
              <w:t xml:space="preserve">99.4%</w:t>
            </w:r>
          </w:p>
        </w:tc>
        <w:tc>
          <w:tcPr/>
          <w:p>
            <w:pPr>
              <w:pStyle w:val="Compact"/>
              <w:jc w:val="center"/>
            </w:pPr>
            <w:r>
              <w:rPr>
                <w:b/>
                <w:bCs/>
              </w:rPr>
              <w:t xml:space="preserve">100.0%</w:t>
            </w:r>
          </w:p>
        </w:tc>
      </w:tr>
      <w:tr>
        <w:tc>
          <w:tcPr/>
          <w:p>
            <w:pPr>
              <w:pStyle w:val="Compact"/>
              <w:jc w:val="center"/>
            </w:pPr>
            <w:r>
              <w:t xml:space="preserve">20</w:t>
            </w:r>
          </w:p>
        </w:tc>
        <w:tc>
          <w:tcPr/>
          <w:p>
            <w:pPr>
              <w:pStyle w:val="Compact"/>
              <w:jc w:val="center"/>
            </w:pPr>
            <w:r>
              <w:t xml:space="preserve">0.1856</w:t>
            </w:r>
          </w:p>
        </w:tc>
        <w:tc>
          <w:tcPr/>
          <w:p>
            <w:pPr>
              <w:pStyle w:val="Compact"/>
              <w:jc w:val="center"/>
            </w:pPr>
            <w:r>
              <w:t xml:space="preserve">0.0290</w:t>
            </w:r>
          </w:p>
        </w:tc>
        <w:tc>
          <w:tcPr/>
          <w:p>
            <w:pPr>
              <w:pStyle w:val="Compact"/>
              <w:jc w:val="center"/>
            </w:pPr>
            <w:r>
              <w:t xml:space="preserve">99.4%</w:t>
            </w:r>
          </w:p>
        </w:tc>
        <w:tc>
          <w:tcPr/>
          <w:p>
            <w:pPr>
              <w:pStyle w:val="Compact"/>
              <w:jc w:val="center"/>
            </w:pPr>
            <w:r>
              <w:t xml:space="preserve">100.0%</w:t>
            </w:r>
          </w:p>
        </w:tc>
      </w:tr>
      <w:tr>
        <w:tc>
          <w:tcPr/>
          <w:p>
            <w:pPr>
              <w:pStyle w:val="Compact"/>
              <w:jc w:val="center"/>
            </w:pPr>
            <w:r>
              <w:t xml:space="preserve">30</w:t>
            </w:r>
          </w:p>
        </w:tc>
        <w:tc>
          <w:tcPr/>
          <w:p>
            <w:pPr>
              <w:pStyle w:val="Compact"/>
              <w:jc w:val="center"/>
            </w:pPr>
            <w:r>
              <w:t xml:space="preserve">0.1793</w:t>
            </w:r>
          </w:p>
        </w:tc>
        <w:tc>
          <w:tcPr/>
          <w:p>
            <w:pPr>
              <w:pStyle w:val="Compact"/>
              <w:jc w:val="center"/>
            </w:pPr>
            <w:r>
              <w:t xml:space="preserve">0.0322</w:t>
            </w:r>
          </w:p>
        </w:tc>
        <w:tc>
          <w:tcPr/>
          <w:p>
            <w:pPr>
              <w:pStyle w:val="Compact"/>
              <w:jc w:val="center"/>
            </w:pPr>
            <w:r>
              <w:t xml:space="preserve">99.4%</w:t>
            </w:r>
          </w:p>
        </w:tc>
        <w:tc>
          <w:tcPr/>
          <w:p>
            <w:pPr>
              <w:pStyle w:val="Compact"/>
              <w:jc w:val="center"/>
            </w:pPr>
            <w:r>
              <w:t xml:space="preserve">100.0%</w:t>
            </w:r>
          </w:p>
        </w:tc>
      </w:tr>
      <w:tr>
        <w:tc>
          <w:tcPr/>
          <w:p>
            <w:pPr>
              <w:pStyle w:val="Compact"/>
              <w:jc w:val="center"/>
            </w:pPr>
            <w:r>
              <w:t xml:space="preserve">40</w:t>
            </w:r>
          </w:p>
        </w:tc>
        <w:tc>
          <w:tcPr/>
          <w:p>
            <w:pPr>
              <w:pStyle w:val="Compact"/>
              <w:jc w:val="center"/>
            </w:pPr>
            <w:r>
              <w:t xml:space="preserve">0.1574</w:t>
            </w:r>
          </w:p>
        </w:tc>
        <w:tc>
          <w:tcPr/>
          <w:p>
            <w:pPr>
              <w:pStyle w:val="Compact"/>
              <w:jc w:val="center"/>
            </w:pPr>
            <w:r>
              <w:t xml:space="preserve">0.0380</w:t>
            </w:r>
          </w:p>
        </w:tc>
        <w:tc>
          <w:tcPr/>
          <w:p>
            <w:pPr>
              <w:pStyle w:val="Compact"/>
              <w:jc w:val="center"/>
            </w:pPr>
            <w:r>
              <w:t xml:space="preserve">99.4%</w:t>
            </w:r>
          </w:p>
        </w:tc>
        <w:tc>
          <w:tcPr/>
          <w:p>
            <w:pPr>
              <w:pStyle w:val="Compact"/>
              <w:jc w:val="center"/>
            </w:pPr>
            <w:r>
              <w:t xml:space="preserve">100.0%</w:t>
            </w:r>
          </w:p>
        </w:tc>
      </w:tr>
    </w:tbl>
    <w:bookmarkEnd w:id="87"/>
    <w:bookmarkEnd w:id="88"/>
    <w:bookmarkEnd w:id="89"/>
    <w:bookmarkStart w:id="94" w:name="discussion"/>
    <w:p>
      <w:pPr>
        <w:pStyle w:val="Heading1"/>
      </w:pPr>
      <w:r>
        <w:t xml:space="preserve">Discussion</w:t>
      </w:r>
    </w:p>
    <w:bookmarkStart w:id="90" w:name="modality-complementarity"/>
    <w:p>
      <w:pPr>
        <w:pStyle w:val="Heading2"/>
      </w:pPr>
      <w:r>
        <w:t xml:space="preserve">Modality Complementarity</w:t>
      </w:r>
    </w:p>
    <w:p>
      <w:pPr>
        <w:pStyle w:val="FirstParagraph"/>
      </w:pPr>
      <w:r>
        <w:t xml:space="preserve">The ablation study reveals a clear hierarchy of modality contributions. Satellite imagery contributes the most to priority and severity estimation because it provides direct physical evidence of structural damage. IoT sensors contribute environmental context that is less directly observable from imagery but enriches the model’s understanding of cascading hazards. Social media provides the human dimension—who is affected, what help is needed—that neither sensors nor satellites capture.</w:t>
      </w:r>
    </w:p>
    <w:p>
      <w:pPr>
        <w:pStyle w:val="BodyText"/>
      </w:pPr>
      <w:r>
        <w:t xml:space="preserve">The learned sensor group weights (Table </w:t>
      </w:r>
      <w:hyperlink w:anchor="tab:sensor_weights">
        <w:r>
          <w:rPr>
            <w:rStyle w:val="Hyperlink"/>
          </w:rPr>
          <w:t xml:space="preserve">1</w:t>
        </w:r>
      </w:hyperlink>
      <w:r>
        <w:t xml:space="preserve">) demonstrate that the model has learned physically meaningful relationships: storm detection relies 99.9% on storm sensors, earthquake detection on seismic sensors (82.8%), and flood detection on hydrological sensors (76.7%). This interpretability is a significant advantage for deployment in operational settings where trust in AI systems is essential.</w:t>
      </w:r>
    </w:p>
    <w:bookmarkEnd w:id="90"/>
    <w:bookmarkStart w:id="91" w:name="graceful-degradation-in-practice"/>
    <w:p>
      <w:pPr>
        <w:pStyle w:val="Heading2"/>
      </w:pPr>
      <w:r>
        <w:t xml:space="preserve">Graceful Degradation in Practice</w:t>
      </w:r>
    </w:p>
    <w:p>
      <w:pPr>
        <w:pStyle w:val="FirstParagraph"/>
      </w:pPr>
      <w:r>
        <w:t xml:space="preserve">The 30% modality dropout strategy during training is critical for real-world deployment. In practice, satellite imagery may have a 30–60 minute delay after event onset, IoT sensor networks may be damaged or offline, and social media reports may be sparse in remote areas. The system’s ability to operate at progressively higher accuracy as more data streams become available mirrors the natural information acquisition pattern during disaster response.</w:t>
      </w:r>
    </w:p>
    <w:bookmarkEnd w:id="91"/>
    <w:bookmarkStart w:id="92" w:name="limitations"/>
    <w:p>
      <w:pPr>
        <w:pStyle w:val="Heading2"/>
      </w:pPr>
      <w:r>
        <w:t xml:space="preserve">Limitations</w:t>
      </w:r>
    </w:p>
    <w:p>
      <w:pPr>
        <w:pStyle w:val="FirstParagraph"/>
      </w:pPr>
      <w:r>
        <w:t xml:space="preserve">Several limitations should be noted. First, the tri-fusion layer is trained with synthetic pairing of IoT and crisis embeddings due to the absence of a naturally paired tri-modal disaster dataset. While the 99.41% priority accuracy demonstrates effective fusion, performance on naturally co-occurring data may differ. Second, the xBD model’s performance on damage classes (minor, major, destroyed) remains below production thresholds due to severe class imbalance, though our identified fixes are expected to improve these metrics. Third, all training was conducted on CPU, limiting the exploration of larger model configurations.</w:t>
      </w:r>
    </w:p>
    <w:bookmarkEnd w:id="92"/>
    <w:bookmarkStart w:id="93" w:name="operational-impact"/>
    <w:p>
      <w:pPr>
        <w:pStyle w:val="Heading2"/>
      </w:pPr>
      <w:r>
        <w:t xml:space="preserve">Operational Impact</w:t>
      </w:r>
    </w:p>
    <w:p>
      <w:pPr>
        <w:pStyle w:val="FirstParagraph"/>
      </w:pPr>
      <w:r>
        <w:t xml:space="preserve">The system produces a complete operational assessment—severity, priority level, disaster type, population impact, and resource needs—from a single forward pass through the fusion layer. Combined with zero-input disaster type detection (no manual hazard selection required) and the XAI framework providing both visual and textual explanations, this architecture is designed for deployment in time-critical response scenarios.</w:t>
      </w:r>
    </w:p>
    <w:bookmarkEnd w:id="93"/>
    <w:bookmarkEnd w:id="94"/>
    <w:bookmarkStart w:id="95" w:name="conclusion"/>
    <w:p>
      <w:pPr>
        <w:pStyle w:val="Heading1"/>
      </w:pPr>
      <w:r>
        <w:t xml:space="preserve">Conclusion</w:t>
      </w:r>
    </w:p>
    <w:p>
      <w:pPr>
        <w:pStyle w:val="FirstParagraph"/>
      </w:pPr>
      <w:r>
        <w:t xml:space="preserve">We presented a Tri-Modal Fusion architecture for real-time disaster intelligence that unifies IoT sensor streams, satellite damage imagery, and social media image–text pairs through pairwise cross-attention with adaptive gating. The system achieves 99.41% priority classification accuracy and 0.0398 severity MAE—a 65.8% improvement over crisis-only baselines. An ablation study across four modality configurations confirms monotonic improvement with each added data source and robust degradation under missing modalities. The adaptive confidence-weighted sensor fusion correctly learns disaster-specific sensor importance, and the gradient-weighted attention rollout provides interpretable explanations for Vision Transformer predictions.</w:t>
      </w:r>
    </w:p>
    <w:p>
      <w:pPr>
        <w:pStyle w:val="BodyText"/>
      </w:pPr>
      <w:r>
        <w:t xml:space="preserve">Future work will focus on: (1) retraining the xBD model with Dice + Focal loss and improved augmentation to achieve</w:t>
      </w:r>
      <w:r>
        <w:t xml:space="preserve"> </w:t>
      </w:r>
      <m:oMath>
        <m:r>
          <m:rPr>
            <m:sty m:val="p"/>
          </m:rPr>
          <m:t>&gt;</m:t>
        </m:r>
      </m:oMath>
      <w:r>
        <w:t xml:space="preserve">0.50 IoU on damage classes; (2) collecting naturally paired tri-modal data for end-to-end validation; (3) GPU-accelerated training for larger model configurations; and (4) field deployment with first-responder feedback integration.</w:t>
      </w:r>
    </w:p>
    <w:p>
      <w:pPr>
        <w:pStyle w:val="BodyText"/>
      </w:pPr>
      <w:r>
        <w:t xml:space="preserve">00</w:t>
      </w:r>
    </w:p>
    <w:p>
      <w:pPr>
        <w:pStyle w:val="BodyText"/>
      </w:pPr>
      <w:r>
        <w:t xml:space="preserve">Centre for Research on the Epidemiology of Disasters (CRED),</w:t>
      </w:r>
      <w:r>
        <w:t xml:space="preserve"> </w:t>
      </w:r>
      <w:r>
        <w:t xml:space="preserve">“2023 Disasters in Numbers,”</w:t>
      </w:r>
      <w:r>
        <w:t xml:space="preserve"> </w:t>
      </w:r>
      <w:r>
        <w:rPr>
          <w:i/>
          <w:iCs/>
        </w:rPr>
        <w:t xml:space="preserve">CRED/UCLouvain</w:t>
      </w:r>
      <w:r>
        <w:t xml:space="preserve">, Brussels, Belgium, 2024.</w:t>
      </w:r>
    </w:p>
    <w:p>
      <w:pPr>
        <w:pStyle w:val="BodyText"/>
      </w:pPr>
      <w:r>
        <w:t xml:space="preserve">T. Sakaki, M. Okazaki, and Y. Matsuo,</w:t>
      </w:r>
      <w:r>
        <w:t xml:space="preserve"> </w:t>
      </w:r>
      <w:r>
        <w:t xml:space="preserve">“Earthquake shakes Twitter users: Real-time event detection by social sensors,”</w:t>
      </w:r>
      <w:r>
        <w:t xml:space="preserve"> </w:t>
      </w:r>
      <w:r>
        <w:t xml:space="preserve">in</w:t>
      </w:r>
      <w:r>
        <w:t xml:space="preserve"> </w:t>
      </w:r>
      <w:r>
        <w:rPr>
          <w:i/>
          <w:iCs/>
        </w:rPr>
        <w:t xml:space="preserve">Proc. 19th Int. Conf. World Wide Web (WWW)</w:t>
      </w:r>
      <w:r>
        <w:t xml:space="preserve">, 2010, pp. 851–860.</w:t>
      </w:r>
    </w:p>
    <w:p>
      <w:pPr>
        <w:pStyle w:val="BodyText"/>
      </w:pPr>
      <w:r>
        <w:t xml:space="preserve">F. Alam, F. Ofli, and M. Imran,</w:t>
      </w:r>
      <w:r>
        <w:t xml:space="preserve"> </w:t>
      </w:r>
      <w:r>
        <w:t xml:space="preserve">“CrisisMMD: Multimodal Twitter datasets from natural disasters,”</w:t>
      </w:r>
      <w:r>
        <w:t xml:space="preserve"> </w:t>
      </w:r>
      <w:r>
        <w:t xml:space="preserve">in</w:t>
      </w:r>
      <w:r>
        <w:t xml:space="preserve"> </w:t>
      </w:r>
      <w:r>
        <w:rPr>
          <w:i/>
          <w:iCs/>
        </w:rPr>
        <w:t xml:space="preserve">Proc. 12th Int. AAAI Conf. Web Social Media (ICWSM)</w:t>
      </w:r>
      <w:r>
        <w:t xml:space="preserve">, 2018, pp. 465–473.</w:t>
      </w:r>
    </w:p>
    <w:p>
      <w:pPr>
        <w:pStyle w:val="BodyText"/>
      </w:pPr>
      <w:r>
        <w:t xml:space="preserve">M. Imran, C. Castillo, F. Diaz, and S. Vieweg,</w:t>
      </w:r>
      <w:r>
        <w:t xml:space="preserve"> </w:t>
      </w:r>
      <w:r>
        <w:t xml:space="preserve">“Processing social media messages in mass emergency: A survey,”</w:t>
      </w:r>
      <w:r>
        <w:t xml:space="preserve"> </w:t>
      </w:r>
      <w:r>
        <w:rPr>
          <w:i/>
          <w:iCs/>
        </w:rPr>
        <w:t xml:space="preserve">ACM Computing Surveys</w:t>
      </w:r>
      <w:r>
        <w:t xml:space="preserve">, vol. 47, no. 4, pp. 1–38, 2015.</w:t>
      </w:r>
    </w:p>
    <w:p>
      <w:pPr>
        <w:pStyle w:val="BodyText"/>
      </w:pPr>
      <w:r>
        <w:t xml:space="preserve">R. Gupta, R. Hosfelt, S. Saber, N. Ashton, R. Mullan, S. Campbell, and others,</w:t>
      </w:r>
      <w:r>
        <w:t xml:space="preserve"> </w:t>
      </w:r>
      <w:r>
        <w:t xml:space="preserve">“xBD: A dataset for assessing building damage from satellite imagery,”</w:t>
      </w:r>
      <w:r>
        <w:t xml:space="preserve"> </w:t>
      </w:r>
      <w:r>
        <w:t xml:space="preserve">in</w:t>
      </w:r>
      <w:r>
        <w:t xml:space="preserve"> </w:t>
      </w:r>
      <w:r>
        <w:rPr>
          <w:i/>
          <w:iCs/>
        </w:rPr>
        <w:t xml:space="preserve">Proc. IEEE/CVF Conf. Computer Vision and Pattern Recognition Workshops (CVPRW)</w:t>
      </w:r>
      <w:r>
        <w:t xml:space="preserve">, 2019.</w:t>
      </w:r>
    </w:p>
    <w:p>
      <w:pPr>
        <w:pStyle w:val="BodyText"/>
      </w:pPr>
      <w:r>
        <w:t xml:space="preserve">Defense Innovation Unit,</w:t>
      </w:r>
      <w:r>
        <w:t xml:space="preserve"> </w:t>
      </w:r>
      <w:r>
        <w:t xml:space="preserve">“xView2 Challenge: Assessing building damage,”</w:t>
      </w:r>
      <w:r>
        <w:t xml:space="preserve"> </w:t>
      </w:r>
      <w:r>
        <w:t xml:space="preserve">2019. [Online]. Available: https://xview2.org</w:t>
      </w:r>
    </w:p>
    <w:p>
      <w:pPr>
        <w:pStyle w:val="BodyText"/>
      </w:pPr>
      <w:r>
        <w:t xml:space="preserve">E. Weber and H. Kan,</w:t>
      </w:r>
      <w:r>
        <w:t xml:space="preserve"> </w:t>
      </w:r>
      <w:r>
        <w:t xml:space="preserve">“Building disaster damage assessment in satellite imagery with multi-temporal fusion,”</w:t>
      </w:r>
      <w:r>
        <w:t xml:space="preserve"> </w:t>
      </w:r>
      <w:r>
        <w:t xml:space="preserve">in</w:t>
      </w:r>
      <w:r>
        <w:t xml:space="preserve"> </w:t>
      </w:r>
      <w:r>
        <w:rPr>
          <w:i/>
          <w:iCs/>
        </w:rPr>
        <w:t xml:space="preserve">Proc. IEEE Int. Conf. Big Data</w:t>
      </w:r>
      <w:r>
        <w:t xml:space="preserve">, 2020.</w:t>
      </w:r>
    </w:p>
    <w:p>
      <w:pPr>
        <w:pStyle w:val="BodyText"/>
      </w:pPr>
      <w:r>
        <w:t xml:space="preserve">A. Olteanu, C. Castillo, F. Diaz, and S. Vieweg,</w:t>
      </w:r>
      <w:r>
        <w:t xml:space="preserve"> </w:t>
      </w:r>
      <w:r>
        <w:t xml:space="preserve">“CrisisLex: A lexicon for collecting and filtering microblogged communications in crises,”</w:t>
      </w:r>
      <w:r>
        <w:t xml:space="preserve"> </w:t>
      </w:r>
      <w:r>
        <w:t xml:space="preserve">in</w:t>
      </w:r>
      <w:r>
        <w:t xml:space="preserve"> </w:t>
      </w:r>
      <w:r>
        <w:rPr>
          <w:i/>
          <w:iCs/>
        </w:rPr>
        <w:t xml:space="preserve">Proc. 8th Int. AAAI Conf. Weblogs and Social Media (ICWSM)</w:t>
      </w:r>
      <w:r>
        <w:t xml:space="preserve">, 2014.</w:t>
      </w:r>
    </w:p>
    <w:p>
      <w:pPr>
        <w:pStyle w:val="BodyText"/>
      </w:pPr>
      <w:r>
        <w:t xml:space="preserve">M. Abavisani, L. Wu, S. Hu, J. Tetreault, and A. Jaimes,</w:t>
      </w:r>
      <w:r>
        <w:t xml:space="preserve"> </w:t>
      </w:r>
      <w:r>
        <w:t xml:space="preserve">“Multimodal categorization of crisis events in social media,”</w:t>
      </w:r>
      <w:r>
        <w:t xml:space="preserve"> </w:t>
      </w:r>
      <w:r>
        <w:t xml:space="preserve">in</w:t>
      </w:r>
      <w:r>
        <w:t xml:space="preserve"> </w:t>
      </w:r>
      <w:r>
        <w:rPr>
          <w:i/>
          <w:iCs/>
        </w:rPr>
        <w:t xml:space="preserve">Proc. IEEE/CVF Conf. Computer Vision and Pattern Recognition (CVPR)</w:t>
      </w:r>
      <w:r>
        <w:t xml:space="preserve">, 2020.</w:t>
      </w:r>
    </w:p>
    <w:p>
      <w:pPr>
        <w:pStyle w:val="BodyText"/>
      </w:pPr>
      <w:r>
        <w:t xml:space="preserve">R. M. Allen,</w:t>
      </w:r>
      <w:r>
        <w:t xml:space="preserve"> </w:t>
      </w:r>
      <w:r>
        <w:t xml:space="preserve">“Real-time earthquake detection and hazard assessment by ElarmS across California,”</w:t>
      </w:r>
      <w:r>
        <w:t xml:space="preserve"> </w:t>
      </w:r>
      <w:r>
        <w:rPr>
          <w:i/>
          <w:iCs/>
        </w:rPr>
        <w:t xml:space="preserve">Geophysical Research Letters</w:t>
      </w:r>
      <w:r>
        <w:t xml:space="preserve">, vol. 36, no. 5, 2009.</w:t>
      </w:r>
    </w:p>
    <w:p>
      <w:pPr>
        <w:pStyle w:val="BodyText"/>
      </w:pPr>
      <w:r>
        <w:t xml:space="preserve">E. Basha and D. Rus,</w:t>
      </w:r>
      <w:r>
        <w:t xml:space="preserve"> </w:t>
      </w:r>
      <w:r>
        <w:t xml:space="preserve">“Design of early warning flood detection systems for developing countries,”</w:t>
      </w:r>
      <w:r>
        <w:t xml:space="preserve"> </w:t>
      </w:r>
      <w:r>
        <w:t xml:space="preserve">in</w:t>
      </w:r>
      <w:r>
        <w:t xml:space="preserve"> </w:t>
      </w:r>
      <w:r>
        <w:rPr>
          <w:i/>
          <w:iCs/>
        </w:rPr>
        <w:t xml:space="preserve">Proc. Int. Conf. Information and Communication Technologies and Development (ICTD)</w:t>
      </w:r>
      <w:r>
        <w:t xml:space="preserve">, 2008.</w:t>
      </w:r>
    </w:p>
    <w:p>
      <w:pPr>
        <w:pStyle w:val="BodyText"/>
      </w:pPr>
      <w:r>
        <w:t xml:space="preserve">F. Ofli, F. Alam, and M. Imran,</w:t>
      </w:r>
      <w:r>
        <w:t xml:space="preserve"> </w:t>
      </w:r>
      <w:r>
        <w:t xml:space="preserve">“Analysis of social media data using multimodal deep learning for disaster response,”</w:t>
      </w:r>
      <w:r>
        <w:t xml:space="preserve"> </w:t>
      </w:r>
      <w:r>
        <w:t xml:space="preserve">in</w:t>
      </w:r>
      <w:r>
        <w:t xml:space="preserve"> </w:t>
      </w:r>
      <w:r>
        <w:rPr>
          <w:i/>
          <w:iCs/>
        </w:rPr>
        <w:t xml:space="preserve">Proc. 17th Int. Conf. Information Systems for Crisis Response and Management (ISCRAM)</w:t>
      </w:r>
      <w:r>
        <w:t xml:space="preserve">, 2020.</w:t>
      </w:r>
    </w:p>
    <w:p>
      <w:pPr>
        <w:pStyle w:val="BodyText"/>
      </w:pPr>
      <w:r>
        <w:t xml:space="preserve">T. G. J. Rudner, M. Rußwurm, J. Fil, R. Pelich, B. Bischke, V. Kopacková, and P. Bilinski,</w:t>
      </w:r>
      <w:r>
        <w:t xml:space="preserve"> </w:t>
      </w:r>
      <w:r>
        <w:t xml:space="preserve">“Multi3Net: Segmenting flooded buildings via fusion of multiresolution, multisensor, and multitemporal satellite imagery,”</w:t>
      </w:r>
      <w:r>
        <w:t xml:space="preserve"> </w:t>
      </w:r>
      <w:r>
        <w:t xml:space="preserve">in</w:t>
      </w:r>
      <w:r>
        <w:t xml:space="preserve"> </w:t>
      </w:r>
      <w:r>
        <w:rPr>
          <w:i/>
          <w:iCs/>
        </w:rPr>
        <w:t xml:space="preserve">Proc. AAAI Conf. Artificial Intelligence</w:t>
      </w:r>
      <w:r>
        <w:t xml:space="preserve">, 2019.</w:t>
      </w:r>
    </w:p>
    <w:p>
      <w:pPr>
        <w:pStyle w:val="BodyText"/>
      </w:pPr>
      <w:r>
        <w:t xml:space="preserve">A. Vaswani, N. Shazeer, N. Parmar, J. Uszkoreit, L. Jones, A. N. Gomez, Ł. Kaiser, and I. Polosukhin,</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2017.</w:t>
      </w:r>
    </w:p>
    <w:p>
      <w:pPr>
        <w:pStyle w:val="BodyText"/>
      </w:pPr>
      <w:r>
        <w:t xml:space="preserve">J. Lu, D. Batra, D. Parikh, and S. Lee,</w:t>
      </w:r>
      <w:r>
        <w:t xml:space="preserve"> </w:t>
      </w:r>
      <w:r>
        <w:t xml:space="preserve">“ViLBERT: Pretraining task-agnostic visiolinguistic representations for vision-and-language tasks,”</w:t>
      </w:r>
      <w:r>
        <w:t xml:space="preserve"> </w:t>
      </w:r>
      <w:r>
        <w:t xml:space="preserve">in</w:t>
      </w:r>
      <w:r>
        <w:t xml:space="preserve"> </w:t>
      </w:r>
      <w:r>
        <w:rPr>
          <w:i/>
          <w:iCs/>
        </w:rPr>
        <w:t xml:space="preserve">Advances in Neural Information Processing Systems (NeurIPS)</w:t>
      </w:r>
      <w:r>
        <w:t xml:space="preserve">, 2019.</w:t>
      </w:r>
    </w:p>
    <w:p>
      <w:pPr>
        <w:pStyle w:val="BodyText"/>
      </w:pPr>
      <w:r>
        <w:t xml:space="preserve">H. Tan and M. Bansal,</w:t>
      </w:r>
      <w:r>
        <w:t xml:space="preserve"> </w:t>
      </w:r>
      <w:r>
        <w:t xml:space="preserve">“LXMERT: Learning cross-modality encoder representations from transformers,”</w:t>
      </w:r>
      <w:r>
        <w:t xml:space="preserve"> </w:t>
      </w:r>
      <w:r>
        <w:t xml:space="preserve">in</w:t>
      </w:r>
      <w:r>
        <w:t xml:space="preserve"> </w:t>
      </w:r>
      <w:r>
        <w:rPr>
          <w:i/>
          <w:iCs/>
        </w:rPr>
        <w:t xml:space="preserve">Proc. Conf. Empirical Methods in Natural Language Processing (EMNLP)</w:t>
      </w:r>
      <w:r>
        <w:t xml:space="preserve">, 2019.</w:t>
      </w:r>
    </w:p>
    <w:p>
      <w:pPr>
        <w:pStyle w:val="BodyText"/>
      </w:pPr>
      <w:r>
        <w:t xml:space="preserve">J. Li, D. Li, C. Xiong, and S. Hoi,</w:t>
      </w:r>
      <w:r>
        <w:t xml:space="preserve"> </w:t>
      </w:r>
      <w:r>
        <w:t xml:space="preserve">“BLIP: Bootstrapping language-image pre-training for unified vision-language understanding and generation,”</w:t>
      </w:r>
      <w:r>
        <w:t xml:space="preserve"> </w:t>
      </w:r>
      <w:r>
        <w:t xml:space="preserve">in</w:t>
      </w:r>
      <w:r>
        <w:t xml:space="preserve"> </w:t>
      </w:r>
      <w:r>
        <w:rPr>
          <w:i/>
          <w:iCs/>
        </w:rPr>
        <w:t xml:space="preserve">Proc. Int. Conf. Machine Learning (ICML)</w:t>
      </w:r>
      <w:r>
        <w:t xml:space="preserve">, 2022.</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65" Target="media/rId65.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80" Target="media/rId8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Tri-Modal Fusion for Real-Time Disaster Intelligence: Integrating IoT Sensors, Satellite Imagery, and Social Media Through Adaptive Cross-Attention</dc:title>
  <dc:creator/>
  <cp:keywords/>
  <dcterms:created xsi:type="dcterms:W3CDTF">2026-04-03T09:53:57Z</dcterms:created>
  <dcterms:modified xsi:type="dcterms:W3CDTF">2026-04-03T09:53:57Z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Effective disaster response requires rapid situational awareness from heterogeneous data sources, yet most existing systems operate on a single modality—social media text, satellite imagery, or sensor readings—losing critical cross-modal context. We present a Tri-Modal Fusion framework that unifies IoT sensor streams (weather, seismic, storm, hydrological), satellite damage imagery, and social media image–text pairs through a novel pairwise cross-attention mechanism with adaptive gating. The architecture comprises three specialized sub-models: (1) an AdaptiveIoTClassifier with per-group confidence-weighted sensor fusion achieving 97.64% classification accuracy across 63,527 samples; (2) an AdaptiveFusionClassifier combining BLIP Vision Transformer and XLM-RoBERTa encoders with bidirectional cross-modal attention, achieving 86.39% accuracy on the CrisisMMD humanitarian benchmark (+12.39% over SVM baselines); and (3) a modified DeepLabV3+ with dual feature extraction producing both pixel-level damage segmentation and compact 640-dimensional embeddings from xBD satellite imagery. The TriFusionLayer fuses embeddings from all three sub-models via three pairwise cross-attention blocks and a learned modality gate, achieving 99.41% priority classification accuracy and 0.0398 severity MAE—a 65.8% improvement over the crisis-only baseline. An ablation study across four modality configurations confirms monotonic improvement with each added data source and robust degradation under 30% modality dropout. We further contribute a gradient-weighted attention rollout method for Vision Transformer explainability and a three-tier XAI fallback chain ensuring interpretable outputs. The system operates in real time with zero-input disaster type detection and graceful handling of missing data streams.</vt:lpwstr>
  </property>
</Properties>
</file>