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p>
    <w:p>
      <w:pPr>
        <w:spacing w:before="80" w:after="80"/>
      </w:pPr>
    </w:p>
    <w:p>
      <w:pPr>
        <w:spacing w:before="80" w:after="80"/>
      </w:pPr>
    </w:p>
    <w:p>
      <w:pPr>
        <w:spacing w:before="480" w:after="200"/>
        <w:jc w:val="center"/>
      </w:pPr>
      <w:r>
        <w:rPr>
          <w:rFonts w:ascii="Arial" w:cs="Arial" w:eastAsia="Arial" w:hAnsi="Arial"/>
          <w:b/>
          <w:bCs/>
          <w:color w:val="1F4E79"/>
          <w:sz w:val="52"/>
          <w:szCs w:val="52"/>
        </w:rPr>
        <w:t xml:space="preserve">Advanced Orravyn Research Platform</w:t>
      </w:r>
    </w:p>
    <w:p>
      <w:pPr>
        <w:spacing w:before="80" w:after="80"/>
        <w:jc w:val="center"/>
      </w:pPr>
      <w:r>
        <w:rPr>
          <w:rFonts w:ascii="Arial" w:cs="Arial" w:eastAsia="Arial" w:hAnsi="Arial"/>
          <w:color w:val="2E75B6"/>
          <w:sz w:val="36"/>
          <w:szCs w:val="36"/>
        </w:rPr>
        <w:t xml:space="preserve">Complete Research Options Guide</w:t>
      </w:r>
    </w:p>
    <w:p>
      <w:pPr>
        <w:spacing w:before="80" w:after="80"/>
        <w:jc w:val="center"/>
      </w:pPr>
      <w:r>
        <w:rPr>
          <w:rFonts w:ascii="Arial" w:cs="Arial" w:eastAsia="Arial" w:hAnsi="Arial"/>
          <w:i/>
          <w:iCs/>
          <w:color w:val="595959"/>
          <w:sz w:val="28"/>
          <w:szCs w:val="28"/>
        </w:rPr>
        <w:t xml:space="preserve">All 6 Options — Full Details</w:t>
      </w:r>
    </w:p>
    <w:p>
      <w:pPr>
        <w:pBdr>
          <w:bottom w:val="single" w:color="2E75B6" w:sz="6" w:space="1"/>
        </w:pBdr>
        <w:spacing w:before="120" w:after="120"/>
      </w:pPr>
    </w:p>
    <w:p>
      <w:pPr>
        <w:spacing w:before="120" w:after="80"/>
        <w:jc w:val="center"/>
      </w:pPr>
      <w:r>
        <w:rPr>
          <w:rFonts w:ascii="Arial" w:cs="Arial" w:eastAsia="Arial" w:hAnsi="Arial"/>
          <w:color w:val="595959"/>
          <w:sz w:val="22"/>
          <w:szCs w:val="22"/>
        </w:rPr>
        <w:t xml:space="preserve">Sairam (Maruri Sai Rama Linga Reddy)  |  VIT Andhra Pradesh  |  2026</w:t>
      </w:r>
    </w:p>
    <w:p>
      <w:pPr>
        <w:spacing w:before="40" w:after="40"/>
        <w:jc w:val="center"/>
      </w:pPr>
      <w:r>
        <w:rPr>
          <w:rFonts w:ascii="Arial" w:cs="Arial" w:eastAsia="Arial" w:hAnsi="Arial"/>
          <w:color w:val="595959"/>
          <w:sz w:val="22"/>
          <w:szCs w:val="22"/>
        </w:rPr>
        <w:t xml:space="preserve">Target: Top-Tier Conference Publication  |  Timeline: 3 Months</w:t>
      </w:r>
    </w:p>
    <w:p>
      <w:pPr>
        <w:spacing w:before="80" w:after="80"/>
      </w:pPr>
    </w:p>
    <w:p>
      <w:pPr>
        <w:spacing w:before="80" w:after="80"/>
      </w:pPr>
    </w:p>
    <w:p>
      <w:r>
        <w:br w:type="page"/>
      </w:r>
    </w:p>
    <w:p>
      <w:pPr>
        <w:pStyle w:val="Heading1"/>
        <w:spacing w:before="360" w:after="120"/>
      </w:pPr>
      <w:r>
        <w:rPr>
          <w:rFonts w:ascii="Arial" w:cs="Arial" w:eastAsia="Arial" w:hAnsi="Arial"/>
          <w:b/>
          <w:bCs/>
          <w:color w:val="1F4E79"/>
          <w:sz w:val="36"/>
          <w:szCs w:val="36"/>
        </w:rPr>
        <w:t xml:space="preserve">Quick Comparison — All 6 Options</w:t>
      </w:r>
    </w:p>
    <w:p>
      <w:pPr>
        <w:pBdr>
          <w:bottom w:val="single" w:color="2E75B6" w:sz="6" w:space="1"/>
        </w:pBdr>
        <w:spacing w:before="120" w:after="12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
        <w:gridCol w:w="1900"/>
        <w:gridCol w:w="2600"/>
        <w:gridCol w:w="1400"/>
        <w:gridCol w:w="1100"/>
        <w:gridCol w:w="800"/>
        <w:gridCol w:w="1210"/>
      </w:tblGrid>
      <w:tr>
        <w:tc>
          <w:tcPr>
            <w:tcW w:type="dxa" w:w="35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w:t>
            </w:r>
          </w:p>
        </w:tc>
        <w:tc>
          <w:tcPr>
            <w:tcW w:type="dxa" w:w="19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Option Name</w:t>
            </w:r>
          </w:p>
        </w:tc>
        <w:tc>
          <w:tcPr>
            <w:tcW w:type="dxa" w:w="26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Core Problem</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Exists in Repo?</w:t>
            </w:r>
          </w:p>
        </w:tc>
        <w:tc>
          <w:tcPr>
            <w:tcW w:type="dxa" w:w="11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Timeline</w:t>
            </w:r>
          </w:p>
        </w:tc>
        <w:tc>
          <w:tcPr>
            <w:tcW w:type="dxa" w:w="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Risk</w:t>
            </w:r>
          </w:p>
        </w:tc>
        <w:tc>
          <w:tcPr>
            <w:tcW w:type="dxa" w:w="121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Best Venue</w:t>
            </w:r>
          </w:p>
        </w:tc>
      </w:tr>
      <w:tr>
        <w:tc>
          <w:tcPr>
            <w:tcW w:type="dxa" w:w="35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1</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Group-Aware Recommendation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Papers recommended to individuals, not groups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Partial</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4–5 months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Medium</w:t>
            </w:r>
          </w:p>
        </w:tc>
        <w:tc>
          <w:tcPr>
            <w:tcW w:type="dxa" w:w="121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RecSys 2026</w:t>
            </w:r>
          </w:p>
        </w:tc>
      </w:tr>
      <w:tr>
        <w:tc>
          <w:tcPr>
            <w:tcW w:type="dxa" w:w="35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2</w:t>
            </w:r>
          </w:p>
        </w:tc>
        <w:tc>
          <w:tcPr>
            <w:tcW w:type="dxa" w:w="19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Section-Aware Summarization</w:t>
            </w:r>
          </w:p>
        </w:tc>
        <w:tc>
          <w:tcPr>
            <w:tcW w:type="dxa" w:w="2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Generic summarizers ignore section importance</w:t>
            </w:r>
          </w:p>
        </w:tc>
        <w:tc>
          <w:tcPr>
            <w:tcW w:type="dxa" w:w="1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Yes (pipeline exists)</w:t>
            </w:r>
          </w:p>
        </w:tc>
        <w:tc>
          <w:tcPr>
            <w:tcW w:type="dxa" w:w="11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2.5–3 months</w:t>
            </w:r>
          </w:p>
        </w:tc>
        <w:tc>
          <w:tcPr>
            <w:tcW w:type="dxa" w:w="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Low</w:t>
            </w:r>
          </w:p>
        </w:tc>
        <w:tc>
          <w:tcPr>
            <w:tcW w:type="dxa" w:w="121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EMNLP / COLING</w:t>
            </w:r>
          </w:p>
        </w:tc>
      </w:tr>
      <w:tr>
        <w:tc>
          <w:tcPr>
            <w:tcW w:type="dxa" w:w="35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3</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Scientific Discourse Moderation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Twitter-trained hate speech fails on academic text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Yes (0.34 F1 baseline)</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5–6 months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High</w:t>
            </w:r>
          </w:p>
        </w:tc>
        <w:tc>
          <w:tcPr>
            <w:tcW w:type="dxa" w:w="121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ACL / WebSci</w:t>
            </w:r>
          </w:p>
        </w:tc>
      </w:tr>
      <w:tr>
        <w:tc>
          <w:tcPr>
            <w:tcW w:type="dxa" w:w="35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4</w:t>
            </w:r>
          </w:p>
        </w:tc>
        <w:tc>
          <w:tcPr>
            <w:tcW w:type="dxa" w:w="19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Hierarchical Adaptive RAG</w:t>
            </w:r>
          </w:p>
        </w:tc>
        <w:tc>
          <w:tcPr>
            <w:tcW w:type="dxa" w:w="2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Standard RAG uses flat, single-pass retrieval</w:t>
            </w:r>
          </w:p>
        </w:tc>
        <w:tc>
          <w:tcPr>
            <w:tcW w:type="dxa" w:w="1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Partial</w:t>
            </w:r>
          </w:p>
        </w:tc>
        <w:tc>
          <w:tcPr>
            <w:tcW w:type="dxa" w:w="11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3–4 months</w:t>
            </w:r>
          </w:p>
        </w:tc>
        <w:tc>
          <w:tcPr>
            <w:tcW w:type="dxa" w:w="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Medium</w:t>
            </w:r>
          </w:p>
        </w:tc>
        <w:tc>
          <w:tcPr>
            <w:tcW w:type="dxa" w:w="121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SIGIR / EMNLP</w:t>
            </w:r>
          </w:p>
        </w:tc>
      </w:tr>
      <w:tr>
        <w:tc>
          <w:tcPr>
            <w:tcW w:type="dxa" w:w="35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5</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Multi-Agent Research Orchestration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Single-agent systems can't parallelize reasoning</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Partial</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4–5 months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Medium-High</w:t>
            </w:r>
          </w:p>
        </w:tc>
        <w:tc>
          <w:tcPr>
            <w:tcW w:type="dxa" w:w="121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AAAI / WSDM</w:t>
            </w:r>
          </w:p>
        </w:tc>
      </w:tr>
      <w:tr>
        <w:tc>
          <w:tcPr>
            <w:tcW w:type="dxa" w:w="35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6</w:t>
            </w:r>
          </w:p>
        </w:tc>
        <w:tc>
          <w:tcPr>
            <w:tcW w:type="dxa" w:w="19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Self-Reflective Generation (Self-RAG)</w:t>
            </w:r>
          </w:p>
        </w:tc>
        <w:tc>
          <w:tcPr>
            <w:tcW w:type="dxa" w:w="2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Models blindly retrieve without judging necessity</w:t>
            </w:r>
          </w:p>
        </w:tc>
        <w:tc>
          <w:tcPr>
            <w:tcW w:type="dxa" w:w="1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No</w:t>
            </w:r>
          </w:p>
        </w:tc>
        <w:tc>
          <w:tcPr>
            <w:tcW w:type="dxa" w:w="11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3–4 months</w:t>
            </w:r>
          </w:p>
        </w:tc>
        <w:tc>
          <w:tcPr>
            <w:tcW w:type="dxa" w:w="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Medium</w:t>
            </w:r>
          </w:p>
        </w:tc>
        <w:tc>
          <w:tcPr>
            <w:tcW w:type="dxa" w:w="121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ACL / NAACL</w:t>
            </w:r>
          </w:p>
        </w:tc>
      </w:tr>
    </w:tbl>
    <w:p>
      <w:pPr>
        <w:spacing w:before="80" w:after="80"/>
      </w:pPr>
    </w:p>
    <w:p>
      <w:pPr>
        <w:spacing w:before="80" w:after="80"/>
      </w:pPr>
      <w:r>
        <w:rPr>
          <w:rFonts w:ascii="Arial" w:cs="Arial" w:eastAsia="Arial" w:hAnsi="Arial"/>
          <w:b/>
          <w:bCs/>
          <w:color w:val="C00000"/>
          <w:sz w:val="22"/>
          <w:szCs w:val="22"/>
        </w:rPr>
        <w:t xml:space="preserve">★ RECOMMENDED FOR 3-MONTH DEADLINE: Option 2 (fastest path) or Option 4 (high novelty, feasible)</w:t>
      </w:r>
    </w:p>
    <w:p>
      <w:pPr>
        <w:spacing w:before="80" w:after="80"/>
      </w:pPr>
    </w:p>
    <w:p>
      <w:r>
        <w:br w:type="page"/>
      </w:r>
    </w:p>
    <w:p>
      <w:pPr>
        <w:spacing w:before="200" w:after="120"/>
      </w:pPr>
      <w:r>
        <w:rPr>
          <w:rFonts w:ascii="Arial" w:cs="Arial" w:eastAsia="Arial" w:hAnsi="Arial"/>
          <w:b/>
          <w:bCs/>
          <w:color w:val="FFFFFF"/>
          <w:sz w:val="32"/>
          <w:szCs w:val="32"/>
        </w:rPr>
        <w:t xml:space="preserve">OPTION 1</w:t>
      </w:r>
      <w:r>
        <w:rPr>
          <w:rFonts w:ascii="Arial" w:cs="Arial" w:eastAsia="Arial" w:hAnsi="Arial"/>
          <w:i/>
          <w:iCs/>
          <w:color w:val="595959"/>
          <w:sz w:val="22"/>
          <w:szCs w:val="22"/>
        </w:rPr>
        <w:t xml:space="preserve">   From Document Analysis</w:t>
      </w:r>
    </w:p>
    <w:p>
      <w:pPr>
        <w:pStyle w:val="Heading1"/>
        <w:spacing w:before="360" w:after="120"/>
      </w:pPr>
      <w:r>
        <w:rPr>
          <w:rFonts w:ascii="Arial" w:cs="Arial" w:eastAsia="Arial" w:hAnsi="Arial"/>
          <w:b/>
          <w:bCs/>
          <w:color w:val="1F4E79"/>
          <w:sz w:val="36"/>
          <w:szCs w:val="36"/>
        </w:rPr>
        <w:t xml:space="preserve">Group-Aware Academic Paper Recommendation</w:t>
      </w:r>
    </w:p>
    <w:p>
      <w:pPr>
        <w:pBdr>
          <w:bottom w:val="single" w:color="2E75B6" w:sz="6" w:space="1"/>
        </w:pBdr>
        <w:spacing w:before="120" w:after="12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4E79"/>
                <w:sz w:val="20"/>
                <w:szCs w:val="20"/>
              </w:rPr>
              <w:t xml:space="preserve">Core Problem</w:t>
            </w:r>
          </w:p>
        </w:tc>
        <w:tc>
          <w:tcPr>
            <w:tcW w:type="dxa" w:w="7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Recommendation systems model individuals — but research is a group activity. No system uses research group membership as a first-class signal.</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4E79"/>
                <w:sz w:val="20"/>
                <w:szCs w:val="20"/>
              </w:rPr>
              <w:t xml:space="preserve">Venue</w:t>
            </w:r>
          </w:p>
        </w:tc>
        <w:tc>
          <w:tcPr>
            <w:tcW w:type="dxa" w:w="7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RecSys 2026 (Tier 1 for Recommendation)  |  Backup: WSDM 2026, WWW 2026</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4E79"/>
                <w:sz w:val="20"/>
                <w:szCs w:val="20"/>
              </w:rPr>
              <w:t xml:space="preserve">Timeline</w:t>
            </w:r>
          </w:p>
        </w:tc>
        <w:tc>
          <w:tcPr>
            <w:tcW w:type="dxa" w:w="7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4–5 months  (Data collection is the bottleneck — 4–6 weeks alone)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4E79"/>
                <w:sz w:val="20"/>
                <w:szCs w:val="20"/>
              </w:rPr>
              <w:t xml:space="preserve">Risk Level</w:t>
            </w:r>
          </w:p>
        </w:tc>
        <w:tc>
          <w:tcPr>
            <w:tcW w:type="dxa" w:w="7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Medium  (Novel idea, but dataset construction is time-intensive)</w:t>
            </w:r>
          </w:p>
        </w:tc>
      </w:tr>
    </w:tbl>
    <w:p>
      <w:pPr>
        <w:spacing w:before="80" w:after="80"/>
      </w:pPr>
    </w:p>
    <w:p>
      <w:pPr>
        <w:pStyle w:val="Heading2"/>
        <w:spacing w:before="280" w:after="100"/>
      </w:pPr>
      <w:r>
        <w:rPr>
          <w:rFonts w:ascii="Arial" w:cs="Arial" w:eastAsia="Arial" w:hAnsi="Arial"/>
          <w:b/>
          <w:bCs/>
          <w:color w:val="2E75B6"/>
          <w:sz w:val="28"/>
          <w:szCs w:val="28"/>
        </w:rPr>
        <w:t xml:space="preserve">What Problem Does It Solve?</w:t>
      </w:r>
    </w:p>
    <w:p>
      <w:pPr>
        <w:spacing w:before="80" w:after="80"/>
      </w:pPr>
      <w:r>
        <w:rPr>
          <w:rFonts w:ascii="Arial" w:cs="Arial" w:eastAsia="Arial" w:hAnsi="Arial"/>
          <w:sz w:val="22"/>
          <w:szCs w:val="22"/>
        </w:rPr>
        <w:t xml:space="preserve">Every existing paper recommendation tool (Google Scholar, Semantic Scholar, ResearchRabbit) recommends papers to individual users based on their personal reading history. But research doesn't happen in isolation — it happens in labs, teams, and groups. What your labmates read, cite, and discuss is a massive, untapped signal that nobody is properly using.</w:t>
      </w:r>
    </w:p>
    <w:p>
      <w:pPr>
        <w:spacing w:before="80" w:after="80"/>
      </w:pPr>
    </w:p>
    <w:p>
      <w:pPr>
        <w:spacing w:before="80" w:after="80"/>
      </w:pPr>
      <w:r>
        <w:rPr>
          <w:rFonts w:ascii="Arial" w:cs="Arial" w:eastAsia="Arial" w:hAnsi="Arial"/>
          <w:sz w:val="22"/>
          <w:szCs w:val="22"/>
        </w:rPr>
        <w:t xml:space="preserve">The specific unsolved problem this addresses is the Research Group Cold Start: when a new researcher joins a group, they have zero personal reading history, but the group has years of signal. Current systems recommend nothing useful to them. Your system would use the group's history to immediately surface relevant papers for new members.</w:t>
      </w:r>
    </w:p>
    <w:p>
      <w:pPr>
        <w:spacing w:before="80" w:after="80"/>
      </w:pPr>
    </w:p>
    <w:p>
      <w:pPr>
        <w:pStyle w:val="Heading2"/>
        <w:spacing w:before="280" w:after="100"/>
      </w:pPr>
      <w:r>
        <w:rPr>
          <w:rFonts w:ascii="Arial" w:cs="Arial" w:eastAsia="Arial" w:hAnsi="Arial"/>
          <w:b/>
          <w:bCs/>
          <w:color w:val="2E75B6"/>
          <w:sz w:val="28"/>
          <w:szCs w:val="28"/>
        </w:rPr>
        <w:t xml:space="preserve">What You Build</w:t>
      </w:r>
    </w:p>
    <w:p>
      <w:pPr>
        <w:spacing w:before="80" w:after="80"/>
      </w:pPr>
      <w:r>
        <w:rPr>
          <w:rFonts w:ascii="Arial" w:cs="Arial" w:eastAsia="Arial" w:hAnsi="Arial"/>
          <w:sz w:val="22"/>
          <w:szCs w:val="22"/>
        </w:rPr>
        <w:t xml:space="preserve">A hybrid recommendation model that fuses three signals using a learned attention mechanism:</w:t>
      </w:r>
    </w:p>
    <w:p>
      <w:pPr>
        <w:pStyle w:val="ListParagraph"/>
        <w:numPr>
          <w:ilvl w:val="0"/>
          <w:numId w:val="2"/>
        </w:numPr>
        <w:spacing w:before="60" w:after="60"/>
      </w:pPr>
      <w:r>
        <w:rPr>
          <w:rFonts w:ascii="Arial" w:cs="Arial" w:eastAsia="Arial" w:hAnsi="Arial"/>
          <w:sz w:val="22"/>
          <w:szCs w:val="22"/>
        </w:rPr>
        <w:t xml:space="preserve">Individual embedding — encodes what this specific person has read using MiniLM sentence embeddings over paper abstracts and titles</w:t>
      </w:r>
    </w:p>
    <w:p>
      <w:pPr>
        <w:pStyle w:val="ListParagraph"/>
        <w:numPr>
          <w:ilvl w:val="0"/>
          <w:numId w:val="2"/>
        </w:numPr>
        <w:spacing w:before="60" w:after="60"/>
      </w:pPr>
      <w:r>
        <w:rPr>
          <w:rFonts w:ascii="Arial" w:cs="Arial" w:eastAsia="Arial" w:hAnsi="Arial"/>
          <w:sz w:val="22"/>
          <w:szCs w:val="22"/>
        </w:rPr>
        <w:t xml:space="preserve">Group co-reading patterns — papers that people within the same lab/group collectively read and cite, captured as a collaborative filtering matrix</w:t>
      </w:r>
    </w:p>
    <w:p>
      <w:pPr>
        <w:pStyle w:val="ListParagraph"/>
        <w:numPr>
          <w:ilvl w:val="0"/>
          <w:numId w:val="2"/>
        </w:numPr>
        <w:spacing w:before="60" w:after="60"/>
      </w:pPr>
      <w:r>
        <w:rPr>
          <w:rFonts w:ascii="Arial" w:cs="Arial" w:eastAsia="Arial" w:hAnsi="Arial"/>
          <w:sz w:val="22"/>
          <w:szCs w:val="22"/>
        </w:rPr>
        <w:t xml:space="preserve">Citation graph signal — papers cited together tend to be thematically related; model this with LightGCN or a graph attention network</w:t>
      </w:r>
    </w:p>
    <w:p>
      <w:pPr>
        <w:spacing w:before="80" w:after="80"/>
      </w:pPr>
    </w:p>
    <w:p>
      <w:pPr>
        <w:spacing w:before="80" w:after="80"/>
      </w:pPr>
      <w:r>
        <w:rPr>
          <w:rFonts w:ascii="Arial" w:cs="Arial" w:eastAsia="Arial" w:hAnsi="Arial"/>
          <w:sz w:val="22"/>
          <w:szCs w:val="22"/>
        </w:rPr>
        <w:t xml:space="preserve">The attention mechanism dynamically weights these three signals. When a user has rich personal history, individual embeddings dominate. When personal history is sparse (cold-start), group and citation signals take over. This adaptive fusion is the core novel mechanism.</w:t>
      </w:r>
    </w:p>
    <w:p>
      <w:pPr>
        <w:spacing w:before="80" w:after="80"/>
      </w:pPr>
    </w:p>
    <w:p>
      <w:pPr>
        <w:pStyle w:val="Heading2"/>
        <w:spacing w:before="280" w:after="100"/>
      </w:pPr>
      <w:r>
        <w:rPr>
          <w:rFonts w:ascii="Arial" w:cs="Arial" w:eastAsia="Arial" w:hAnsi="Arial"/>
          <w:b/>
          <w:bCs/>
          <w:color w:val="2E75B6"/>
          <w:sz w:val="28"/>
          <w:szCs w:val="28"/>
        </w:rPr>
        <w:t xml:space="preserve">Dataset You Need to Build</w:t>
      </w:r>
    </w:p>
    <w:p>
      <w:pPr>
        <w:spacing w:before="80" w:after="80"/>
      </w:pPr>
      <w:r>
        <w:rPr>
          <w:rFonts w:ascii="Arial" w:cs="Arial" w:eastAsia="Arial" w:hAnsi="Arial"/>
          <w:sz w:val="22"/>
          <w:szCs w:val="22"/>
        </w:rPr>
        <w:t xml:space="preserve">Scrape arXiv + Semantic Scholar API (both free and public). The key insight: co-authorship on papers = proxy for research group membership. Build a dataset of approximately 50,000 papers, cluster authors into lab groups by co-authorship, and construct reading/citation interaction matrices. This takes 4–6 weeks of data collection and cleaning work.</w:t>
      </w:r>
    </w:p>
    <w:p>
      <w:pPr>
        <w:spacing w:before="80" w:after="80"/>
      </w:pPr>
    </w:p>
    <w:p>
      <w:pPr>
        <w:pStyle w:val="Heading2"/>
        <w:spacing w:before="280" w:after="100"/>
      </w:pPr>
      <w:r>
        <w:rPr>
          <w:rFonts w:ascii="Arial" w:cs="Arial" w:eastAsia="Arial" w:hAnsi="Arial"/>
          <w:b/>
          <w:bCs/>
          <w:color w:val="2E75B6"/>
          <w:sz w:val="28"/>
          <w:szCs w:val="28"/>
        </w:rPr>
        <w:t xml:space="preserve">How You Prove It Works</w:t>
      </w:r>
    </w:p>
    <w:p>
      <w:pPr>
        <w:spacing w:before="80" w:after="80"/>
      </w:pPr>
      <w:r>
        <w:rPr>
          <w:rFonts w:ascii="Arial" w:cs="Arial" w:eastAsia="Arial" w:hAnsi="Arial"/>
          <w:sz w:val="22"/>
          <w:szCs w:val="22"/>
        </w:rPr>
        <w:t xml:space="preserve">Standard recommendation evaluation metrics:</w:t>
      </w:r>
    </w:p>
    <w:p>
      <w:pPr>
        <w:pStyle w:val="ListParagraph"/>
        <w:numPr>
          <w:ilvl w:val="0"/>
          <w:numId w:val="2"/>
        </w:numPr>
        <w:spacing w:before="60" w:after="60"/>
      </w:pPr>
      <w:r>
        <w:rPr>
          <w:rFonts w:ascii="Arial" w:cs="Arial" w:eastAsia="Arial" w:hAnsi="Arial"/>
          <w:sz w:val="22"/>
          <w:szCs w:val="22"/>
        </w:rPr>
        <w:t xml:space="preserve">NDCG@10 (primary metric) — measures ranking quality of top-10 recommendations</w:t>
      </w:r>
    </w:p>
    <w:p>
      <w:pPr>
        <w:pStyle w:val="ListParagraph"/>
        <w:numPr>
          <w:ilvl w:val="0"/>
          <w:numId w:val="2"/>
        </w:numPr>
        <w:spacing w:before="60" w:after="60"/>
      </w:pPr>
      <w:r>
        <w:rPr>
          <w:rFonts w:ascii="Arial" w:cs="Arial" w:eastAsia="Arial" w:hAnsi="Arial"/>
          <w:sz w:val="22"/>
          <w:szCs w:val="22"/>
        </w:rPr>
        <w:t xml:space="preserve">MRR — Mean Reciprocal Rank of the first relevant paper</w:t>
      </w:r>
    </w:p>
    <w:p>
      <w:pPr>
        <w:pStyle w:val="ListParagraph"/>
        <w:numPr>
          <w:ilvl w:val="0"/>
          <w:numId w:val="2"/>
        </w:numPr>
        <w:spacing w:before="60" w:after="60"/>
      </w:pPr>
      <w:r>
        <w:rPr>
          <w:rFonts w:ascii="Arial" w:cs="Arial" w:eastAsia="Arial" w:hAnsi="Arial"/>
          <w:sz w:val="22"/>
          <w:szCs w:val="22"/>
        </w:rPr>
        <w:t xml:space="preserve">Hit@5 — whether a relevant paper appears in the top 5</w:t>
      </w:r>
    </w:p>
    <w:p>
      <w:pPr>
        <w:spacing w:before="80" w:after="80"/>
      </w:pPr>
    </w:p>
    <w:p>
      <w:pPr>
        <w:spacing w:before="80" w:after="80"/>
      </w:pPr>
      <w:r>
        <w:rPr>
          <w:rFonts w:ascii="Arial" w:cs="Arial" w:eastAsia="Arial" w:hAnsi="Arial"/>
          <w:sz w:val="22"/>
          <w:szCs w:val="22"/>
        </w:rPr>
        <w:t xml:space="preserve">Baselines you must beat:</w:t>
      </w:r>
    </w:p>
    <w:p>
      <w:pPr>
        <w:pStyle w:val="ListParagraph"/>
        <w:numPr>
          <w:ilvl w:val="0"/>
          <w:numId w:val="2"/>
        </w:numPr>
        <w:spacing w:before="60" w:after="60"/>
      </w:pPr>
      <w:r>
        <w:rPr>
          <w:rFonts w:ascii="Arial" w:cs="Arial" w:eastAsia="Arial" w:hAnsi="Arial"/>
          <w:sz w:val="22"/>
          <w:szCs w:val="22"/>
        </w:rPr>
        <w:t xml:space="preserve">BM25 — pure content-based keyword matching</w:t>
      </w:r>
    </w:p>
    <w:p>
      <w:pPr>
        <w:pStyle w:val="ListParagraph"/>
        <w:numPr>
          <w:ilvl w:val="0"/>
          <w:numId w:val="2"/>
        </w:numPr>
        <w:spacing w:before="60" w:after="60"/>
      </w:pPr>
      <w:r>
        <w:rPr>
          <w:rFonts w:ascii="Arial" w:cs="Arial" w:eastAsia="Arial" w:hAnsi="Arial"/>
          <w:sz w:val="22"/>
          <w:szCs w:val="22"/>
        </w:rPr>
        <w:t xml:space="preserve">BPR — Bayesian Personalized Ranking, standard collaborative filtering</w:t>
      </w:r>
    </w:p>
    <w:p>
      <w:pPr>
        <w:pStyle w:val="ListParagraph"/>
        <w:numPr>
          <w:ilvl w:val="0"/>
          <w:numId w:val="2"/>
        </w:numPr>
        <w:spacing w:before="60" w:after="60"/>
      </w:pPr>
      <w:r>
        <w:rPr>
          <w:rFonts w:ascii="Arial" w:cs="Arial" w:eastAsia="Arial" w:hAnsi="Arial"/>
          <w:sz w:val="22"/>
          <w:szCs w:val="22"/>
        </w:rPr>
        <w:t xml:space="preserve">LightGCN — graph-based collaborative filtering (strong baseline)</w:t>
      </w:r>
    </w:p>
    <w:p>
      <w:pPr>
        <w:pStyle w:val="ListParagraph"/>
        <w:numPr>
          <w:ilvl w:val="0"/>
          <w:numId w:val="2"/>
        </w:numPr>
        <w:spacing w:before="60" w:after="60"/>
      </w:pPr>
      <w:r>
        <w:rPr>
          <w:rFonts w:ascii="Arial" w:cs="Arial" w:eastAsia="Arial" w:hAnsi="Arial"/>
          <w:sz w:val="22"/>
          <w:szCs w:val="22"/>
        </w:rPr>
        <w:t xml:space="preserve">BERT4Rec — sequential recommendation with BERT</w:t>
      </w:r>
    </w:p>
    <w:p>
      <w:pPr>
        <w:spacing w:before="80" w:after="80"/>
      </w:pPr>
    </w:p>
    <w:p>
      <w:pPr>
        <w:spacing w:before="80" w:after="80"/>
      </w:pPr>
      <w:r>
        <w:rPr>
          <w:rFonts w:ascii="Arial" w:cs="Arial" w:eastAsia="Arial" w:hAnsi="Arial"/>
          <w:sz w:val="22"/>
          <w:szCs w:val="22"/>
        </w:rPr>
        <w:t xml:space="preserve">The ablation study is critical: show content-only vs. collaborative-only vs. group-aware vs. citation-aware vs. full hybrid. Each ablation proves each component contributes.</w:t>
      </w:r>
    </w:p>
    <w:p>
      <w:pPr>
        <w:spacing w:before="80" w:after="80"/>
      </w:pPr>
    </w:p>
    <w:p>
      <w:pPr>
        <w:pStyle w:val="Heading2"/>
        <w:spacing w:before="280" w:after="100"/>
      </w:pPr>
      <w:r>
        <w:rPr>
          <w:rFonts w:ascii="Arial" w:cs="Arial" w:eastAsia="Arial" w:hAnsi="Arial"/>
          <w:b/>
          <w:bCs/>
          <w:color w:val="2E75B6"/>
          <w:sz w:val="28"/>
          <w:szCs w:val="28"/>
        </w:rPr>
        <w:t xml:space="preserve">Paper Title Suggestion</w:t>
      </w:r>
    </w:p>
    <w:p>
      <w:pPr>
        <w:spacing w:before="80" w:after="80"/>
      </w:pPr>
      <w:r>
        <w:rPr>
          <w:rFonts w:ascii="Arial" w:cs="Arial" w:eastAsia="Arial" w:hAnsi="Arial"/>
          <w:b/>
          <w:bCs/>
          <w:i/>
          <w:iCs/>
          <w:sz w:val="22"/>
          <w:szCs w:val="22"/>
        </w:rPr>
        <w:t xml:space="preserve">"GAREC: Group-Aware Research Paper Recommendation with Adaptive Signal Fusion for Cold-Start Scenarios"</w:t>
      </w:r>
    </w:p>
    <w:p>
      <w:pPr>
        <w:spacing w:before="80" w:after="80"/>
      </w:pPr>
    </w:p>
    <w:p>
      <w:pPr>
        <w:pStyle w:val="Heading2"/>
        <w:spacing w:before="280" w:after="100"/>
      </w:pPr>
      <w:r>
        <w:rPr>
          <w:rFonts w:ascii="Arial" w:cs="Arial" w:eastAsia="Arial" w:hAnsi="Arial"/>
          <w:b/>
          <w:bCs/>
          <w:color w:val="2E75B6"/>
          <w:sz w:val="28"/>
          <w:szCs w:val="28"/>
        </w:rPr>
        <w:t xml:space="preserve">Honest Assessment</w:t>
      </w:r>
    </w:p>
    <w:p>
      <w:pPr>
        <w:pStyle w:val="ListParagraph"/>
        <w:numPr>
          <w:ilvl w:val="0"/>
          <w:numId w:val="2"/>
        </w:numPr>
        <w:spacing w:before="60" w:after="60"/>
      </w:pPr>
      <w:r>
        <w:rPr>
          <w:rFonts w:ascii="Arial" w:cs="Arial" w:eastAsia="Arial" w:hAnsi="Arial"/>
          <w:sz w:val="22"/>
          <w:szCs w:val="22"/>
        </w:rPr>
        <w:t xml:space="preserve">Highest novelty of all 6 options — the group cold-start framing is genuinely unsolved</w:t>
      </w:r>
    </w:p>
    <w:p>
      <w:pPr>
        <w:pStyle w:val="ListParagraph"/>
        <w:numPr>
          <w:ilvl w:val="0"/>
          <w:numId w:val="2"/>
        </w:numPr>
        <w:spacing w:before="60" w:after="60"/>
      </w:pPr>
      <w:r>
        <w:rPr>
          <w:rFonts w:ascii="Arial" w:cs="Arial" w:eastAsia="Arial" w:hAnsi="Arial"/>
          <w:sz w:val="22"/>
          <w:szCs w:val="22"/>
        </w:rPr>
        <w:t xml:space="preserve">RecSys is a prestigious, well-respected venue that industry labs take seriously</w:t>
      </w:r>
    </w:p>
    <w:p>
      <w:pPr>
        <w:pStyle w:val="ListParagraph"/>
        <w:numPr>
          <w:ilvl w:val="0"/>
          <w:numId w:val="2"/>
        </w:numPr>
        <w:spacing w:before="60" w:after="60"/>
      </w:pPr>
      <w:r>
        <w:rPr>
          <w:rFonts w:ascii="Arial" w:cs="Arial" w:eastAsia="Arial" w:hAnsi="Arial"/>
          <w:sz w:val="22"/>
          <w:szCs w:val="22"/>
        </w:rPr>
        <w:t xml:space="preserve">MAJOR risk: dataset construction alone is 4–6 weeks. With a 3-month deadline, this is extremely tight</w:t>
      </w:r>
    </w:p>
    <w:p>
      <w:pPr>
        <w:pStyle w:val="ListParagraph"/>
        <w:numPr>
          <w:ilvl w:val="0"/>
          <w:numId w:val="2"/>
        </w:numPr>
        <w:spacing w:before="60" w:after="60"/>
      </w:pPr>
      <w:r>
        <w:rPr>
          <w:rFonts w:ascii="Arial" w:cs="Arial" w:eastAsia="Arial" w:hAnsi="Arial"/>
          <w:sz w:val="22"/>
          <w:szCs w:val="22"/>
        </w:rPr>
        <w:t xml:space="preserve">If you have more time (5–6 months), this is the strongest option for your career and resume</w:t>
      </w:r>
    </w:p>
    <w:p>
      <w:pPr>
        <w:spacing w:before="80" w:after="80"/>
      </w:pPr>
    </w:p>
    <w:p>
      <w:r>
        <w:br w:type="page"/>
      </w:r>
    </w:p>
    <w:p>
      <w:pPr>
        <w:spacing w:before="200" w:after="120"/>
      </w:pPr>
      <w:r>
        <w:rPr>
          <w:rFonts w:ascii="Arial" w:cs="Arial" w:eastAsia="Arial" w:hAnsi="Arial"/>
          <w:b/>
          <w:bCs/>
          <w:color w:val="FFFFFF"/>
          <w:sz w:val="32"/>
          <w:szCs w:val="32"/>
        </w:rPr>
        <w:t xml:space="preserve">OPTION 2</w:t>
      </w:r>
      <w:r>
        <w:rPr>
          <w:rFonts w:ascii="Arial" w:cs="Arial" w:eastAsia="Arial" w:hAnsi="Arial"/>
          <w:b/>
          <w:bCs/>
          <w:i/>
          <w:iCs/>
          <w:color w:val="2E7D32"/>
          <w:sz w:val="22"/>
          <w:szCs w:val="22"/>
        </w:rPr>
        <w:t xml:space="preserve">   From Document Analysis  |  ★ RECOMMENDED FOR 3-MONTH DEADLINE</w:t>
      </w:r>
    </w:p>
    <w:p>
      <w:pPr>
        <w:pStyle w:val="Heading1"/>
        <w:spacing w:before="360" w:after="120"/>
      </w:pPr>
      <w:r>
        <w:rPr>
          <w:rFonts w:ascii="Arial" w:cs="Arial" w:eastAsia="Arial" w:hAnsi="Arial"/>
          <w:b/>
          <w:bCs/>
          <w:color w:val="1F4E79"/>
          <w:sz w:val="36"/>
          <w:szCs w:val="36"/>
        </w:rPr>
        <w:t xml:space="preserve">Section-Aware Hierarchical Scientific Summarization</w:t>
      </w:r>
    </w:p>
    <w:p>
      <w:pPr>
        <w:pBdr>
          <w:bottom w:val="single" w:color="2E75B6" w:sz="6" w:space="1"/>
        </w:pBdr>
        <w:spacing w:before="120" w:after="12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4E79"/>
                <w:sz w:val="20"/>
                <w:szCs w:val="20"/>
              </w:rPr>
              <w:t xml:space="preserve">Core Problem</w:t>
            </w:r>
          </w:p>
        </w:tc>
        <w:tc>
          <w:tcPr>
            <w:tcW w:type="dxa" w:w="7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Generic summarizers (BART, T5) treat all sections of a paper equally. Methodology and Results contain the actual contribution — Introduction is just context.</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4E79"/>
                <w:sz w:val="20"/>
                <w:szCs w:val="20"/>
              </w:rPr>
              <w:t xml:space="preserve">Venue</w:t>
            </w:r>
          </w:p>
        </w:tc>
        <w:tc>
          <w:tcPr>
            <w:tcW w:type="dxa" w:w="7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EMNLP 2026 Findings  |  Backup: COLING 2026, IJCNLP</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4E79"/>
                <w:sz w:val="20"/>
                <w:szCs w:val="20"/>
              </w:rPr>
              <w:t xml:space="preserve">Timeline</w:t>
            </w:r>
          </w:p>
        </w:tc>
        <w:tc>
          <w:tcPr>
            <w:tcW w:type="dxa" w:w="7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2.5–3 months  (Pipeline already exists in your repo — fastest to execute)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4E79"/>
                <w:sz w:val="20"/>
                <w:szCs w:val="20"/>
              </w:rPr>
              <w:t xml:space="preserve">Risk Level</w:t>
            </w:r>
          </w:p>
        </w:tc>
        <w:tc>
          <w:tcPr>
            <w:tcW w:type="dxa" w:w="7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Low  (Core pipeline exists, benchmarks are public, evaluation is well-defined)</w:t>
            </w:r>
          </w:p>
        </w:tc>
      </w:tr>
    </w:tbl>
    <w:p>
      <w:pPr>
        <w:spacing w:before="80" w:after="80"/>
      </w:pPr>
    </w:p>
    <w:p>
      <w:pPr>
        <w:pStyle w:val="Heading2"/>
        <w:spacing w:before="280" w:after="100"/>
      </w:pPr>
      <w:r>
        <w:rPr>
          <w:rFonts w:ascii="Arial" w:cs="Arial" w:eastAsia="Arial" w:hAnsi="Arial"/>
          <w:b/>
          <w:bCs/>
          <w:color w:val="2E75B6"/>
          <w:sz w:val="28"/>
          <w:szCs w:val="28"/>
        </w:rPr>
        <w:t xml:space="preserve">What Problem Does It Solve?</w:t>
      </w:r>
    </w:p>
    <w:p>
      <w:pPr>
        <w:spacing w:before="80" w:after="80"/>
      </w:pPr>
      <w:r>
        <w:rPr>
          <w:rFonts w:ascii="Arial" w:cs="Arial" w:eastAsia="Arial" w:hAnsi="Arial"/>
          <w:sz w:val="22"/>
          <w:szCs w:val="22"/>
        </w:rPr>
        <w:t xml:space="preserve">When you feed a 12-page paper to BART or GPT and ask for a summary, it treats every sentence with equal importance. But a research paper's sections carry radically different informational weight: the Methodology and Results sections contain the novel scientific contribution, while the Introduction just motivates the work, Related Work provides background, and the Conclusion mostly repeats what was already said.</w:t>
      </w:r>
    </w:p>
    <w:p>
      <w:pPr>
        <w:spacing w:before="80" w:after="80"/>
      </w:pPr>
    </w:p>
    <w:p>
      <w:pPr>
        <w:spacing w:before="80" w:after="80"/>
      </w:pPr>
      <w:r>
        <w:rPr>
          <w:rFonts w:ascii="Arial" w:cs="Arial" w:eastAsia="Arial" w:hAnsi="Arial"/>
          <w:sz w:val="22"/>
          <w:szCs w:val="22"/>
        </w:rPr>
        <w:t xml:space="preserve">Existing systems produce diluted summaries that often miss the actual scientific contribution because they don't understand discourse structure. Your platform already has a two-stage hierarchical pipeline — the research contribution is formalizing this into a section-aware system and proving it produces measurably better summaries.</w:t>
      </w:r>
    </w:p>
    <w:p>
      <w:pPr>
        <w:spacing w:before="80" w:after="80"/>
      </w:pPr>
    </w:p>
    <w:p>
      <w:pPr>
        <w:pStyle w:val="Heading2"/>
        <w:spacing w:before="280" w:after="100"/>
      </w:pPr>
      <w:r>
        <w:rPr>
          <w:rFonts w:ascii="Arial" w:cs="Arial" w:eastAsia="Arial" w:hAnsi="Arial"/>
          <w:b/>
          <w:bCs/>
          <w:color w:val="2E75B6"/>
          <w:sz w:val="28"/>
          <w:szCs w:val="28"/>
        </w:rPr>
        <w:t xml:space="preserve">What You Build</w:t>
      </w:r>
    </w:p>
    <w:p>
      <w:pPr>
        <w:spacing w:before="80" w:after="80"/>
      </w:pPr>
      <w:r>
        <w:rPr>
          <w:rFonts w:ascii="Arial" w:cs="Arial" w:eastAsia="Arial" w:hAnsi="Arial"/>
          <w:sz w:val="22"/>
          <w:szCs w:val="22"/>
        </w:rPr>
        <w:t xml:space="preserve">Two key additions on top of your existing pipeline:</w:t>
      </w:r>
    </w:p>
    <w:p>
      <w:pPr>
        <w:pStyle w:val="ListParagraph"/>
        <w:numPr>
          <w:ilvl w:val="0"/>
          <w:numId w:val="2"/>
        </w:numPr>
        <w:spacing w:before="60" w:after="60"/>
      </w:pPr>
      <w:r>
        <w:rPr>
          <w:rFonts w:ascii="Arial" w:cs="Arial" w:eastAsia="Arial" w:hAnsi="Arial"/>
          <w:sz w:val="22"/>
          <w:szCs w:val="22"/>
        </w:rPr>
        <w:t xml:space="preserve">Discourse Section Classifier — automatically labels each section of a paper (Introduction, Related Work, Methodology, Results, Conclusion, Other) using a fine-tuned BERT or SciBERT model. This is trainable on publicly available annotated corpora.</w:t>
      </w:r>
    </w:p>
    <w:p>
      <w:pPr>
        <w:pStyle w:val="ListParagraph"/>
        <w:numPr>
          <w:ilvl w:val="0"/>
          <w:numId w:val="2"/>
        </w:numPr>
        <w:spacing w:before="60" w:after="60"/>
      </w:pPr>
      <w:r>
        <w:rPr>
          <w:rFonts w:ascii="Arial" w:cs="Arial" w:eastAsia="Arial" w:hAnsi="Arial"/>
          <w:sz w:val="22"/>
          <w:szCs w:val="22"/>
        </w:rPr>
        <w:t xml:space="preserve">Adaptive Weighting Layer — assigns learned importance weights to each section before the summarization step. Methodology and Results receive higher weights. The weights are LEARNED from data, not hand-tuned — this makes it principled and publishable rather than a heuristic hack.</w:t>
      </w:r>
    </w:p>
    <w:p>
      <w:pPr>
        <w:pStyle w:val="ListParagraph"/>
        <w:numPr>
          <w:ilvl w:val="0"/>
          <w:numId w:val="2"/>
        </w:numPr>
        <w:spacing w:before="60" w:after="60"/>
      </w:pPr>
      <w:r>
        <w:rPr>
          <w:rFonts w:ascii="Arial" w:cs="Arial" w:eastAsia="Arial" w:hAnsi="Arial"/>
          <w:sz w:val="22"/>
          <w:szCs w:val="22"/>
        </w:rPr>
        <w:t xml:space="preserve">LoRA Fine-tuning Formalization — you already have some of this. The contribution is running proper ablation studies on LoRA rank (4, 8, 16, 32), section weight configurations, and chunk sizes to empirically determine what matters.</w:t>
      </w:r>
    </w:p>
    <w:p>
      <w:pPr>
        <w:spacing w:before="80" w:after="80"/>
      </w:pPr>
    </w:p>
    <w:p>
      <w:pPr>
        <w:pStyle w:val="Heading2"/>
        <w:spacing w:before="280" w:after="100"/>
      </w:pPr>
      <w:r>
        <w:rPr>
          <w:rFonts w:ascii="Arial" w:cs="Arial" w:eastAsia="Arial" w:hAnsi="Arial"/>
          <w:b/>
          <w:bCs/>
          <w:color w:val="2E75B6"/>
          <w:sz w:val="28"/>
          <w:szCs w:val="28"/>
        </w:rPr>
        <w:t xml:space="preserve">Datasets — All Public, Zero Collection Work</w:t>
      </w:r>
    </w:p>
    <w:p>
      <w:pPr>
        <w:pStyle w:val="ListParagraph"/>
        <w:numPr>
          <w:ilvl w:val="0"/>
          <w:numId w:val="2"/>
        </w:numPr>
        <w:spacing w:before="60" w:after="60"/>
      </w:pPr>
      <w:r>
        <w:rPr>
          <w:rFonts w:ascii="Arial" w:cs="Arial" w:eastAsia="Arial" w:hAnsi="Arial"/>
          <w:sz w:val="22"/>
          <w:szCs w:val="22"/>
        </w:rPr>
        <w:t xml:space="preserve">arXiv Dataset — 200,000+ scientific papers with abstracts (freely downloadable)</w:t>
      </w:r>
    </w:p>
    <w:p>
      <w:pPr>
        <w:pStyle w:val="ListParagraph"/>
        <w:numPr>
          <w:ilvl w:val="0"/>
          <w:numId w:val="2"/>
        </w:numPr>
        <w:spacing w:before="60" w:after="60"/>
      </w:pPr>
      <w:r>
        <w:rPr>
          <w:rFonts w:ascii="Arial" w:cs="Arial" w:eastAsia="Arial" w:hAnsi="Arial"/>
          <w:sz w:val="22"/>
          <w:szCs w:val="22"/>
        </w:rPr>
        <w:t xml:space="preserve">PubMed — Biomedical papers, good for cross-domain generalization testing</w:t>
      </w:r>
    </w:p>
    <w:p>
      <w:pPr>
        <w:pStyle w:val="ListParagraph"/>
        <w:numPr>
          <w:ilvl w:val="0"/>
          <w:numId w:val="2"/>
        </w:numPr>
        <w:spacing w:before="60" w:after="60"/>
      </w:pPr>
      <w:r>
        <w:rPr>
          <w:rFonts w:ascii="Arial" w:cs="Arial" w:eastAsia="Arial" w:hAnsi="Arial"/>
          <w:sz w:val="22"/>
          <w:szCs w:val="22"/>
        </w:rPr>
        <w:t xml:space="preserve">MSLR (Multi-document Scientific Literature Review) — multi-document summarization benchmark</w:t>
      </w:r>
    </w:p>
    <w:p>
      <w:pPr>
        <w:spacing w:before="80" w:after="80"/>
      </w:pPr>
    </w:p>
    <w:p>
      <w:pPr>
        <w:pStyle w:val="Heading2"/>
        <w:spacing w:before="280" w:after="100"/>
      </w:pPr>
      <w:r>
        <w:rPr>
          <w:rFonts w:ascii="Arial" w:cs="Arial" w:eastAsia="Arial" w:hAnsi="Arial"/>
          <w:b/>
          <w:bCs/>
          <w:color w:val="2E75B6"/>
          <w:sz w:val="28"/>
          <w:szCs w:val="28"/>
        </w:rPr>
        <w:t xml:space="preserve">How You Prove It Works</w:t>
      </w:r>
    </w:p>
    <w:p>
      <w:pPr>
        <w:spacing w:before="80" w:after="80"/>
      </w:pPr>
      <w:r>
        <w:rPr>
          <w:rFonts w:ascii="Arial" w:cs="Arial" w:eastAsia="Arial" w:hAnsi="Arial"/>
          <w:sz w:val="22"/>
          <w:szCs w:val="22"/>
        </w:rPr>
        <w:t xml:space="preserve">Automatic metrics (required):</w:t>
      </w:r>
    </w:p>
    <w:p>
      <w:pPr>
        <w:pStyle w:val="ListParagraph"/>
        <w:numPr>
          <w:ilvl w:val="0"/>
          <w:numId w:val="2"/>
        </w:numPr>
        <w:spacing w:before="60" w:after="60"/>
      </w:pPr>
      <w:r>
        <w:rPr>
          <w:rFonts w:ascii="Arial" w:cs="Arial" w:eastAsia="Arial" w:hAnsi="Arial"/>
          <w:sz w:val="22"/>
          <w:szCs w:val="22"/>
        </w:rPr>
        <w:t xml:space="preserve">ROUGE-1, ROUGE-2, ROUGE-L — standard summarization metrics</w:t>
      </w:r>
    </w:p>
    <w:p>
      <w:pPr>
        <w:pStyle w:val="ListParagraph"/>
        <w:numPr>
          <w:ilvl w:val="0"/>
          <w:numId w:val="2"/>
        </w:numPr>
        <w:spacing w:before="60" w:after="60"/>
      </w:pPr>
      <w:r>
        <w:rPr>
          <w:rFonts w:ascii="Arial" w:cs="Arial" w:eastAsia="Arial" w:hAnsi="Arial"/>
          <w:sz w:val="22"/>
          <w:szCs w:val="22"/>
        </w:rPr>
        <w:t xml:space="preserve">BERTScore — semantic similarity using BERT embeddings</w:t>
      </w:r>
    </w:p>
    <w:p>
      <w:pPr>
        <w:pStyle w:val="ListParagraph"/>
        <w:numPr>
          <w:ilvl w:val="0"/>
          <w:numId w:val="2"/>
        </w:numPr>
        <w:spacing w:before="60" w:after="60"/>
      </w:pPr>
      <w:r>
        <w:rPr>
          <w:rFonts w:ascii="Arial" w:cs="Arial" w:eastAsia="Arial" w:hAnsi="Arial"/>
          <w:sz w:val="22"/>
          <w:szCs w:val="22"/>
        </w:rPr>
        <w:t xml:space="preserve">METEOR — handles paraphrasing better than ROUGE</w:t>
      </w:r>
    </w:p>
    <w:p>
      <w:pPr>
        <w:spacing w:before="80" w:after="80"/>
      </w:pPr>
    </w:p>
    <w:p>
      <w:pPr>
        <w:spacing w:before="80" w:after="80"/>
      </w:pPr>
      <w:r>
        <w:rPr>
          <w:rFonts w:ascii="Arial" w:cs="Arial" w:eastAsia="Arial" w:hAnsi="Arial"/>
          <w:sz w:val="22"/>
          <w:szCs w:val="22"/>
        </w:rPr>
        <w:t xml:space="preserve">Baselines to beat (these are the published state-of-the-art):</w:t>
      </w:r>
    </w:p>
    <w:p>
      <w:pPr>
        <w:pStyle w:val="ListParagraph"/>
        <w:numPr>
          <w:ilvl w:val="0"/>
          <w:numId w:val="2"/>
        </w:numPr>
        <w:spacing w:before="60" w:after="60"/>
      </w:pPr>
      <w:r>
        <w:rPr>
          <w:rFonts w:ascii="Arial" w:cs="Arial" w:eastAsia="Arial" w:hAnsi="Arial"/>
          <w:sz w:val="22"/>
          <w:szCs w:val="22"/>
        </w:rPr>
        <w:t xml:space="preserve">BART-large — Facebook's strong seq2seq summarization baseline</w:t>
      </w:r>
    </w:p>
    <w:p>
      <w:pPr>
        <w:pStyle w:val="ListParagraph"/>
        <w:numPr>
          <w:ilvl w:val="0"/>
          <w:numId w:val="2"/>
        </w:numPr>
        <w:spacing w:before="60" w:after="60"/>
      </w:pPr>
      <w:r>
        <w:rPr>
          <w:rFonts w:ascii="Arial" w:cs="Arial" w:eastAsia="Arial" w:hAnsi="Arial"/>
          <w:sz w:val="22"/>
          <w:szCs w:val="22"/>
        </w:rPr>
        <w:t xml:space="preserve">LED (Longformer Encoder-Decoder) — handles long documents</w:t>
      </w:r>
    </w:p>
    <w:p>
      <w:pPr>
        <w:pStyle w:val="ListParagraph"/>
        <w:numPr>
          <w:ilvl w:val="0"/>
          <w:numId w:val="2"/>
        </w:numPr>
        <w:spacing w:before="60" w:after="60"/>
      </w:pPr>
      <w:r>
        <w:rPr>
          <w:rFonts w:ascii="Arial" w:cs="Arial" w:eastAsia="Arial" w:hAnsi="Arial"/>
          <w:sz w:val="22"/>
          <w:szCs w:val="22"/>
        </w:rPr>
        <w:t xml:space="preserve">BigBird-Pegasus — another long-document model</w:t>
      </w:r>
    </w:p>
    <w:p>
      <w:pPr>
        <w:pStyle w:val="ListParagraph"/>
        <w:numPr>
          <w:ilvl w:val="0"/>
          <w:numId w:val="2"/>
        </w:numPr>
        <w:spacing w:before="60" w:after="60"/>
      </w:pPr>
      <w:r>
        <w:rPr>
          <w:rFonts w:ascii="Arial" w:cs="Arial" w:eastAsia="Arial" w:hAnsi="Arial"/>
          <w:sz w:val="22"/>
          <w:szCs w:val="22"/>
        </w:rPr>
        <w:t xml:space="preserve">PRIMERA — explicitly designed for scientific multi-document summarization</w:t>
      </w:r>
    </w:p>
    <w:p>
      <w:pPr>
        <w:spacing w:before="80" w:after="80"/>
      </w:pPr>
    </w:p>
    <w:p>
      <w:pPr>
        <w:spacing w:before="80" w:after="80"/>
      </w:pPr>
      <w:r>
        <w:rPr>
          <w:rFonts w:ascii="Arial" w:cs="Arial" w:eastAsia="Arial" w:hAnsi="Arial"/>
          <w:sz w:val="22"/>
          <w:szCs w:val="22"/>
        </w:rPr>
        <w:t xml:space="preserve">Human evaluation (critical for EMNLP acceptance) — get 3 annotators to rate summaries on Faithfulness (1–5), Relevance (1–5), and Conciseness (1–5). Calculate Cohen's Kappa for inter-annotator agreement. This is what separates accepted papers from rejected ones at ACL-family venues.</w:t>
      </w:r>
    </w:p>
    <w:p>
      <w:pPr>
        <w:spacing w:before="80" w:after="80"/>
      </w:pPr>
    </w:p>
    <w:p>
      <w:pPr>
        <w:pStyle w:val="Heading2"/>
        <w:spacing w:before="280" w:after="100"/>
      </w:pPr>
      <w:r>
        <w:rPr>
          <w:rFonts w:ascii="Arial" w:cs="Arial" w:eastAsia="Arial" w:hAnsi="Arial"/>
          <w:b/>
          <w:bCs/>
          <w:color w:val="2E75B6"/>
          <w:sz w:val="28"/>
          <w:szCs w:val="28"/>
        </w:rPr>
        <w:t xml:space="preserve">Paper Title Suggestion</w:t>
      </w:r>
    </w:p>
    <w:p>
      <w:pPr>
        <w:spacing w:before="80" w:after="80"/>
      </w:pPr>
      <w:r>
        <w:rPr>
          <w:rFonts w:ascii="Arial" w:cs="Arial" w:eastAsia="Arial" w:hAnsi="Arial"/>
          <w:b/>
          <w:bCs/>
          <w:i/>
          <w:iCs/>
          <w:sz w:val="22"/>
          <w:szCs w:val="22"/>
        </w:rPr>
        <w:t xml:space="preserve">"Section-Aware Hierarchical Summarization of Scientific Papers using Adaptive Discourse Weighting"</w:t>
      </w:r>
    </w:p>
    <w:p>
      <w:pPr>
        <w:spacing w:before="80" w:after="80"/>
      </w:pPr>
    </w:p>
    <w:p>
      <w:pPr>
        <w:pStyle w:val="Heading2"/>
        <w:spacing w:before="280" w:after="100"/>
      </w:pPr>
      <w:r>
        <w:rPr>
          <w:rFonts w:ascii="Arial" w:cs="Arial" w:eastAsia="Arial" w:hAnsi="Arial"/>
          <w:b/>
          <w:bCs/>
          <w:color w:val="2E75B6"/>
          <w:sz w:val="28"/>
          <w:szCs w:val="28"/>
        </w:rPr>
        <w:t xml:space="preserve">Honest Assessment</w:t>
      </w:r>
    </w:p>
    <w:p>
      <w:pPr>
        <w:pStyle w:val="ListParagraph"/>
        <w:numPr>
          <w:ilvl w:val="0"/>
          <w:numId w:val="2"/>
        </w:numPr>
        <w:spacing w:before="60" w:after="60"/>
      </w:pPr>
      <w:r>
        <w:rPr>
          <w:rFonts w:ascii="Arial" w:cs="Arial" w:eastAsia="Arial" w:hAnsi="Arial"/>
          <w:sz w:val="22"/>
          <w:szCs w:val="22"/>
        </w:rPr>
        <w:t xml:space="preserve">Best fit for your 3-month deadline — core pipeline already exists in the repo</w:t>
      </w:r>
    </w:p>
    <w:p>
      <w:pPr>
        <w:pStyle w:val="ListParagraph"/>
        <w:numPr>
          <w:ilvl w:val="0"/>
          <w:numId w:val="2"/>
        </w:numPr>
        <w:spacing w:before="60" w:after="60"/>
      </w:pPr>
      <w:r>
        <w:rPr>
          <w:rFonts w:ascii="Arial" w:cs="Arial" w:eastAsia="Arial" w:hAnsi="Arial"/>
          <w:sz w:val="22"/>
          <w:szCs w:val="22"/>
        </w:rPr>
        <w:t xml:space="preserve">Dataset collection is ZERO effort — arXiv and PubMed are public and downloadable today</w:t>
      </w:r>
    </w:p>
    <w:p>
      <w:pPr>
        <w:pStyle w:val="ListParagraph"/>
        <w:numPr>
          <w:ilvl w:val="0"/>
          <w:numId w:val="2"/>
        </w:numPr>
        <w:spacing w:before="60" w:after="60"/>
      </w:pPr>
      <w:r>
        <w:rPr>
          <w:rFonts w:ascii="Arial" w:cs="Arial" w:eastAsia="Arial" w:hAnsi="Arial"/>
          <w:sz w:val="22"/>
          <w:szCs w:val="22"/>
        </w:rPr>
        <w:t xml:space="preserve">Main work is: section classifier (1 week), weighting layer (1 week), evaluation harness (3 days), running baselines (1 week), ablations (1 week), human eval (1 week)</w:t>
      </w:r>
    </w:p>
    <w:p>
      <w:pPr>
        <w:pStyle w:val="ListParagraph"/>
        <w:numPr>
          <w:ilvl w:val="0"/>
          <w:numId w:val="2"/>
        </w:numPr>
        <w:spacing w:before="60" w:after="60"/>
      </w:pPr>
      <w:r>
        <w:rPr>
          <w:rFonts w:ascii="Arial" w:cs="Arial" w:eastAsia="Arial" w:hAnsi="Arial"/>
          <w:sz w:val="22"/>
          <w:szCs w:val="22"/>
        </w:rPr>
        <w:t xml:space="preserve">EMNLP Findings is a genuinely respected publication — not a consolation prize</w:t>
      </w:r>
    </w:p>
    <w:p>
      <w:pPr>
        <w:pStyle w:val="ListParagraph"/>
        <w:numPr>
          <w:ilvl w:val="0"/>
          <w:numId w:val="2"/>
        </w:numPr>
        <w:spacing w:before="60" w:after="60"/>
      </w:pPr>
      <w:r>
        <w:rPr>
          <w:rFonts w:ascii="Arial" w:cs="Arial" w:eastAsia="Arial" w:hAnsi="Arial"/>
          <w:sz w:val="22"/>
          <w:szCs w:val="22"/>
        </w:rPr>
        <w:t xml:space="preserve">Human evaluation is the hardest part logistically — need 2–3 annotators committed for a week</w:t>
      </w:r>
    </w:p>
    <w:p>
      <w:pPr>
        <w:spacing w:before="80" w:after="80"/>
      </w:pPr>
    </w:p>
    <w:p>
      <w:r>
        <w:br w:type="page"/>
      </w:r>
    </w:p>
    <w:p>
      <w:pPr>
        <w:spacing w:before="200" w:after="120"/>
      </w:pPr>
      <w:r>
        <w:rPr>
          <w:rFonts w:ascii="Arial" w:cs="Arial" w:eastAsia="Arial" w:hAnsi="Arial"/>
          <w:b/>
          <w:bCs/>
          <w:color w:val="FFFFFF"/>
          <w:sz w:val="32"/>
          <w:szCs w:val="32"/>
        </w:rPr>
        <w:t xml:space="preserve">OPTION 3</w:t>
      </w:r>
      <w:r>
        <w:rPr>
          <w:rFonts w:ascii="Arial" w:cs="Arial" w:eastAsia="Arial" w:hAnsi="Arial"/>
          <w:b/>
          <w:bCs/>
          <w:i/>
          <w:iCs/>
          <w:color w:val="C00000"/>
          <w:sz w:val="22"/>
          <w:szCs w:val="22"/>
        </w:rPr>
        <w:t xml:space="preserve">   From Document Analysis  |  ⚠ HIGHEST RISK</w:t>
      </w:r>
    </w:p>
    <w:p>
      <w:pPr>
        <w:pStyle w:val="Heading1"/>
        <w:spacing w:before="360" w:after="120"/>
      </w:pPr>
      <w:r>
        <w:rPr>
          <w:rFonts w:ascii="Arial" w:cs="Arial" w:eastAsia="Arial" w:hAnsi="Arial"/>
          <w:b/>
          <w:bCs/>
          <w:color w:val="1F4E79"/>
          <w:sz w:val="36"/>
          <w:szCs w:val="36"/>
        </w:rPr>
        <w:t xml:space="preserve">Domain-Adapted Scientific Discourse Moderation</w:t>
      </w:r>
    </w:p>
    <w:p>
      <w:pPr>
        <w:pBdr>
          <w:bottom w:val="single" w:color="2E75B6" w:sz="6" w:space="1"/>
        </w:pBdr>
        <w:spacing w:before="120" w:after="12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4E79"/>
                <w:sz w:val="20"/>
                <w:szCs w:val="20"/>
              </w:rPr>
              <w:t xml:space="preserve">Core Problem</w:t>
            </w:r>
          </w:p>
        </w:tc>
        <w:tc>
          <w:tcPr>
            <w:tcW w:type="dxa" w:w="7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Hate speech models trained on Twitter data fail on academic platforms. Academic toxicity (gatekeeping, credential attacks) looks nothing like Twitter slurs.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4E79"/>
                <w:sz w:val="20"/>
                <w:szCs w:val="20"/>
              </w:rPr>
              <w:t xml:space="preserve">Venue</w:t>
            </w:r>
          </w:p>
        </w:tc>
        <w:tc>
          <w:tcPr>
            <w:tcW w:type="dxa" w:w="7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ACL 2026, EMNLP 2026  |  Backup: WebSci 2026 (ACM), CSCW</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4E79"/>
                <w:sz w:val="20"/>
                <w:szCs w:val="20"/>
              </w:rPr>
              <w:t xml:space="preserve">Timeline</w:t>
            </w:r>
          </w:p>
        </w:tc>
        <w:tc>
          <w:tcPr>
            <w:tcW w:type="dxa" w:w="7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5–6 months  (Dataset annotation alone takes 6–8 weeks)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4E79"/>
                <w:sz w:val="20"/>
                <w:szCs w:val="20"/>
              </w:rPr>
              <w:t xml:space="preserve">Risk Level</w:t>
            </w:r>
          </w:p>
        </w:tc>
        <w:tc>
          <w:tcPr>
            <w:tcW w:type="dxa" w:w="7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HIGH  (IRB requirements, annotation bottleneck, 3-month deadline not feasible)</w:t>
            </w:r>
          </w:p>
        </w:tc>
      </w:tr>
    </w:tbl>
    <w:p>
      <w:pPr>
        <w:spacing w:before="80" w:after="80"/>
      </w:pPr>
    </w:p>
    <w:p>
      <w:pPr>
        <w:pStyle w:val="Heading2"/>
        <w:spacing w:before="280" w:after="100"/>
      </w:pPr>
      <w:r>
        <w:rPr>
          <w:rFonts w:ascii="Arial" w:cs="Arial" w:eastAsia="Arial" w:hAnsi="Arial"/>
          <w:b/>
          <w:bCs/>
          <w:color w:val="2E75B6"/>
          <w:sz w:val="28"/>
          <w:szCs w:val="28"/>
        </w:rPr>
        <w:t xml:space="preserve">What Problem Does It Solve?</w:t>
      </w:r>
    </w:p>
    <w:p>
      <w:pPr>
        <w:spacing w:before="80" w:after="80"/>
      </w:pPr>
      <w:r>
        <w:rPr>
          <w:rFonts w:ascii="Arial" w:cs="Arial" w:eastAsia="Arial" w:hAnsi="Arial"/>
          <w:sz w:val="22"/>
          <w:szCs w:val="22"/>
        </w:rPr>
        <w:t xml:space="preserve">Your platform currently uses a hate speech detection model trained on the Davidson Twitter dataset — tweets with explicit slurs and obvious insults. When you apply this model to academic platforms like ResearchGate comments, PubPeer reviews, or Reddit r/science, it fails with an F1 score of just 0.34 on the hate class.</w:t>
      </w:r>
    </w:p>
    <w:p>
      <w:pPr>
        <w:spacing w:before="80" w:after="80"/>
      </w:pPr>
    </w:p>
    <w:p>
      <w:pPr>
        <w:spacing w:before="80" w:after="80"/>
      </w:pPr>
      <w:r>
        <w:rPr>
          <w:rFonts w:ascii="Arial" w:cs="Arial" w:eastAsia="Arial" w:hAnsi="Arial"/>
          <w:sz w:val="22"/>
          <w:szCs w:val="22"/>
        </w:rPr>
        <w:t xml:space="preserve">Academic toxicity is fundamentally different. It includes gatekeeping ("this methodology is fundamentally flawed and the authors clearly lack domain knowledge"), credential attacks ("the authors have no background in X"), passive aggression ("this work conveniently ignores decades of prior research"), and epistemic dismissal. None of these trigger a Twitter-trained classifier — but they are genuinely harmful to scientific communities and early-career researchers.</w:t>
      </w:r>
    </w:p>
    <w:p>
      <w:pPr>
        <w:spacing w:before="80" w:after="80"/>
      </w:pPr>
    </w:p>
    <w:p>
      <w:pPr>
        <w:pStyle w:val="Heading2"/>
        <w:spacing w:before="280" w:after="100"/>
      </w:pPr>
      <w:r>
        <w:rPr>
          <w:rFonts w:ascii="Arial" w:cs="Arial" w:eastAsia="Arial" w:hAnsi="Arial"/>
          <w:b/>
          <w:bCs/>
          <w:color w:val="2E75B6"/>
          <w:sz w:val="28"/>
          <w:szCs w:val="28"/>
        </w:rPr>
        <w:t xml:space="preserve">What You Build</w:t>
      </w:r>
    </w:p>
    <w:p>
      <w:pPr>
        <w:spacing w:before="80" w:after="80"/>
      </w:pPr>
      <w:r>
        <w:rPr>
          <w:rFonts w:ascii="Arial" w:cs="Arial" w:eastAsia="Arial" w:hAnsi="Arial"/>
          <w:sz w:val="22"/>
          <w:szCs w:val="22"/>
        </w:rPr>
        <w:t xml:space="preserve">A domain-adapted moderation system in three phases:</w:t>
      </w:r>
    </w:p>
    <w:p>
      <w:pPr>
        <w:pStyle w:val="ListParagraph"/>
        <w:numPr>
          <w:ilvl w:val="0"/>
          <w:numId w:val="2"/>
        </w:numPr>
        <w:spacing w:before="60" w:after="60"/>
      </w:pPr>
      <w:r>
        <w:rPr>
          <w:rFonts w:ascii="Arial" w:cs="Arial" w:eastAsia="Arial" w:hAnsi="Arial"/>
          <w:sz w:val="22"/>
          <w:szCs w:val="22"/>
        </w:rPr>
        <w:t xml:space="preserve">Dataset Construction — annotate comments from ResearchGate, PubPeer, and Reddit r/science. Define a new taxonomy specific to academic toxicity: Gatekeeping / Credential Attack / Passive-Aggressive Dismissal / Constructive Criticism / Neutral. This is the hardest and most time-consuming part.</w:t>
      </w:r>
    </w:p>
    <w:p>
      <w:pPr>
        <w:pStyle w:val="ListParagraph"/>
        <w:numPr>
          <w:ilvl w:val="0"/>
          <w:numId w:val="2"/>
        </w:numPr>
        <w:spacing w:before="60" w:after="60"/>
      </w:pPr>
      <w:r>
        <w:rPr>
          <w:rFonts w:ascii="Arial" w:cs="Arial" w:eastAsia="Arial" w:hAnsi="Arial"/>
          <w:sz w:val="22"/>
          <w:szCs w:val="22"/>
        </w:rPr>
        <w:t xml:space="preserve">Domain Adaptation Experiments — three conditions: (1) Zero-shot: apply existing Twitter-trained model with no changes, (2) Few-shot: fine-tune on 100–500 annotated examples, (3) Full fine-tune: fine-tune on your complete annotated dataset. Show the performance improvement curve.</w:t>
      </w:r>
    </w:p>
    <w:p>
      <w:pPr>
        <w:pStyle w:val="ListParagraph"/>
        <w:numPr>
          <w:ilvl w:val="0"/>
          <w:numId w:val="2"/>
        </w:numPr>
        <w:spacing w:before="60" w:after="60"/>
      </w:pPr>
      <w:r>
        <w:rPr>
          <w:rFonts w:ascii="Arial" w:cs="Arial" w:eastAsia="Arial" w:hAnsi="Arial"/>
          <w:sz w:val="22"/>
          <w:szCs w:val="22"/>
        </w:rPr>
        <w:t xml:space="preserve">Semi-Supervised Extension — use pseudo-labeling to leverage large amounts of unlabeled academic comments to boost performance without needing to annotate everything manually.</w:t>
      </w:r>
    </w:p>
    <w:p>
      <w:pPr>
        <w:spacing w:before="80" w:after="80"/>
      </w:pPr>
    </w:p>
    <w:p>
      <w:pPr>
        <w:pStyle w:val="Heading2"/>
        <w:spacing w:before="280" w:after="100"/>
      </w:pPr>
      <w:r>
        <w:rPr>
          <w:rFonts w:ascii="Arial" w:cs="Arial" w:eastAsia="Arial" w:hAnsi="Arial"/>
          <w:b/>
          <w:bCs/>
          <w:color w:val="2E75B6"/>
          <w:sz w:val="28"/>
          <w:szCs w:val="28"/>
        </w:rPr>
        <w:t xml:space="preserve">How You Prove It Works</w:t>
      </w:r>
    </w:p>
    <w:p>
      <w:pPr>
        <w:spacing w:before="80" w:after="80"/>
      </w:pPr>
      <w:r>
        <w:rPr>
          <w:rFonts w:ascii="Arial" w:cs="Arial" w:eastAsia="Arial" w:hAnsi="Arial"/>
          <w:sz w:val="22"/>
          <w:szCs w:val="22"/>
        </w:rPr>
        <w:t xml:space="preserve">Per-class F1 score on your annotated test set. The narrative arc is: zero-shot gives 0.34 F1 on the hate class → few-shot reaches 0.55 → full fine-tune achieves 0.70+. You also need inter-annotator agreement (Cohen's Kappa ≥ 0.6) to prove your annotations are reliable and not subjective noise.</w:t>
      </w:r>
    </w:p>
    <w:p>
      <w:pPr>
        <w:spacing w:before="80" w:after="80"/>
      </w:pPr>
    </w:p>
    <w:p>
      <w:pPr>
        <w:pStyle w:val="Heading2"/>
        <w:spacing w:before="280" w:after="100"/>
      </w:pPr>
      <w:r>
        <w:rPr>
          <w:rFonts w:ascii="Arial" w:cs="Arial" w:eastAsia="Arial" w:hAnsi="Arial"/>
          <w:b/>
          <w:bCs/>
          <w:color w:val="2E75B6"/>
          <w:sz w:val="28"/>
          <w:szCs w:val="28"/>
        </w:rPr>
        <w:t xml:space="preserve">Paper Title Suggestion</w:t>
      </w:r>
    </w:p>
    <w:p>
      <w:pPr>
        <w:spacing w:before="80" w:after="80"/>
      </w:pPr>
      <w:r>
        <w:rPr>
          <w:rFonts w:ascii="Arial" w:cs="Arial" w:eastAsia="Arial" w:hAnsi="Arial"/>
          <w:b/>
          <w:bCs/>
          <w:i/>
          <w:iCs/>
          <w:sz w:val="22"/>
          <w:szCs w:val="22"/>
        </w:rPr>
        <w:t xml:space="preserve">"Beyond Slurs: Domain-Adaptive Toxicity Detection for Scientific Discourse Communities"</w:t>
      </w:r>
    </w:p>
    <w:p>
      <w:pPr>
        <w:spacing w:before="80" w:after="80"/>
      </w:pPr>
    </w:p>
    <w:p>
      <w:pPr>
        <w:pStyle w:val="Heading2"/>
        <w:spacing w:before="280" w:after="100"/>
      </w:pPr>
      <w:r>
        <w:rPr>
          <w:rFonts w:ascii="Arial" w:cs="Arial" w:eastAsia="Arial" w:hAnsi="Arial"/>
          <w:b/>
          <w:bCs/>
          <w:color w:val="2E75B6"/>
          <w:sz w:val="28"/>
          <w:szCs w:val="28"/>
        </w:rPr>
        <w:t xml:space="preserve">Honest Assessment</w:t>
      </w:r>
    </w:p>
    <w:p>
      <w:pPr>
        <w:pStyle w:val="ListParagraph"/>
        <w:numPr>
          <w:ilvl w:val="0"/>
          <w:numId w:val="2"/>
        </w:numPr>
        <w:spacing w:before="60" w:after="60"/>
      </w:pPr>
      <w:r>
        <w:rPr>
          <w:rFonts w:ascii="Arial" w:cs="Arial" w:eastAsia="Arial" w:hAnsi="Arial"/>
          <w:sz w:val="22"/>
          <w:szCs w:val="22"/>
        </w:rPr>
        <w:t xml:space="preserve">Genuinely novel research question that the computational social science community cares about</w:t>
      </w:r>
    </w:p>
    <w:p>
      <w:pPr>
        <w:pStyle w:val="ListParagraph"/>
        <w:numPr>
          <w:ilvl w:val="0"/>
          <w:numId w:val="2"/>
        </w:numPr>
        <w:spacing w:before="60" w:after="60"/>
      </w:pPr>
      <w:r>
        <w:rPr>
          <w:rFonts w:ascii="Arial" w:cs="Arial" w:eastAsia="Arial" w:hAnsi="Arial"/>
          <w:sz w:val="22"/>
          <w:szCs w:val="22"/>
        </w:rPr>
        <w:t xml:space="preserve">Your existing 0.34 F1 baseline is perfect research motivation — reviewers love a clear "broken baseline" story</w:t>
      </w:r>
    </w:p>
    <w:p>
      <w:pPr>
        <w:pStyle w:val="ListParagraph"/>
        <w:numPr>
          <w:ilvl w:val="0"/>
          <w:numId w:val="2"/>
        </w:numPr>
        <w:spacing w:before="60" w:after="60"/>
      </w:pPr>
      <w:r>
        <w:rPr>
          <w:rFonts w:ascii="Arial" w:cs="Arial" w:eastAsia="Arial" w:hAnsi="Arial"/>
          <w:sz w:val="22"/>
          <w:szCs w:val="22"/>
        </w:rPr>
        <w:t xml:space="preserve">CRITICAL RISK: Dataset annotation requires IRB (Institutional Review Board) approval if collecting real user data — this alone can take 4–8 weeks of paperwork</w:t>
      </w:r>
    </w:p>
    <w:p>
      <w:pPr>
        <w:pStyle w:val="ListParagraph"/>
        <w:numPr>
          <w:ilvl w:val="0"/>
          <w:numId w:val="2"/>
        </w:numPr>
        <w:spacing w:before="60" w:after="60"/>
      </w:pPr>
      <w:r>
        <w:rPr>
          <w:rFonts w:ascii="Arial" w:cs="Arial" w:eastAsia="Arial" w:hAnsi="Arial"/>
          <w:sz w:val="22"/>
          <w:szCs w:val="22"/>
        </w:rPr>
        <w:t xml:space="preserve">Even without IRB, annotating enough data with multiple annotators for reliable Cohen's Kappa takes 6–8 weeks minimum</w:t>
      </w:r>
    </w:p>
    <w:p>
      <w:pPr>
        <w:pStyle w:val="ListParagraph"/>
        <w:numPr>
          <w:ilvl w:val="0"/>
          <w:numId w:val="2"/>
        </w:numPr>
        <w:spacing w:before="60" w:after="60"/>
      </w:pPr>
      <w:r>
        <w:rPr>
          <w:rFonts w:ascii="Arial" w:cs="Arial" w:eastAsia="Arial" w:hAnsi="Arial"/>
          <w:sz w:val="22"/>
          <w:szCs w:val="22"/>
        </w:rPr>
        <w:t xml:space="preserve">NOT RECOMMENDED for your 3-month deadline — this is a 5–6 month project minimum</w:t>
      </w:r>
    </w:p>
    <w:p>
      <w:pPr>
        <w:spacing w:before="80" w:after="80"/>
      </w:pPr>
    </w:p>
    <w:p>
      <w:r>
        <w:br w:type="page"/>
      </w:r>
    </w:p>
    <w:p>
      <w:pPr>
        <w:spacing w:before="200" w:after="120"/>
      </w:pPr>
      <w:r>
        <w:rPr>
          <w:rFonts w:ascii="Arial" w:cs="Arial" w:eastAsia="Arial" w:hAnsi="Arial"/>
          <w:b/>
          <w:bCs/>
          <w:color w:val="FFFFFF"/>
          <w:sz w:val="32"/>
          <w:szCs w:val="32"/>
        </w:rPr>
        <w:t xml:space="preserve">OPTION 4</w:t>
      </w:r>
      <w:r>
        <w:rPr>
          <w:rFonts w:ascii="Arial" w:cs="Arial" w:eastAsia="Arial" w:hAnsi="Arial"/>
          <w:b/>
          <w:bCs/>
          <w:i/>
          <w:iCs/>
          <w:color w:val="1F4E79"/>
          <w:sz w:val="22"/>
          <w:szCs w:val="22"/>
        </w:rPr>
        <w:t xml:space="preserve">   My Suggestion  |  ★ STRONG CONTENDER FOR 3 MONTHS</w:t>
      </w:r>
    </w:p>
    <w:p>
      <w:pPr>
        <w:pStyle w:val="Heading1"/>
        <w:spacing w:before="360" w:after="120"/>
      </w:pPr>
      <w:r>
        <w:rPr>
          <w:rFonts w:ascii="Arial" w:cs="Arial" w:eastAsia="Arial" w:hAnsi="Arial"/>
          <w:b/>
          <w:bCs/>
          <w:color w:val="1F4E79"/>
          <w:sz w:val="36"/>
          <w:szCs w:val="36"/>
        </w:rPr>
        <w:t xml:space="preserve">Hierarchical Adaptive RAG (HA-RAG)</w:t>
      </w:r>
    </w:p>
    <w:p>
      <w:pPr>
        <w:pBdr>
          <w:bottom w:val="single" w:color="2E75B6" w:sz="6" w:space="1"/>
        </w:pBdr>
        <w:spacing w:before="120" w:after="12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4E79"/>
                <w:sz w:val="20"/>
                <w:szCs w:val="20"/>
              </w:rPr>
              <w:t xml:space="preserve">Core Problem</w:t>
            </w:r>
          </w:p>
        </w:tc>
        <w:tc>
          <w:tcPr>
            <w:tcW w:type="dxa" w:w="7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Standard RAG pipelines use flat, single-pass retrieval — no reranking, no query decomposition, and no self-assessment of retrieval quality.</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4E79"/>
                <w:sz w:val="20"/>
                <w:szCs w:val="20"/>
              </w:rPr>
              <w:t xml:space="preserve">Venue</w:t>
            </w:r>
          </w:p>
        </w:tc>
        <w:tc>
          <w:tcPr>
            <w:tcW w:type="dxa" w:w="7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SIGIR 2026 (IR-focused), EMNLP 2026  |  Backup: ECIR 2027, WSDM 2027</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4E79"/>
                <w:sz w:val="20"/>
                <w:szCs w:val="20"/>
              </w:rPr>
              <w:t xml:space="preserve">Timeline</w:t>
            </w:r>
          </w:p>
        </w:tc>
        <w:tc>
          <w:tcPr>
            <w:tcW w:type="dxa" w:w="7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3–4 months  (Retrieval modules buildable fast; evaluation benchmarks are public)</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4E79"/>
                <w:sz w:val="20"/>
                <w:szCs w:val="20"/>
              </w:rPr>
              <w:t xml:space="preserve">Risk Level</w:t>
            </w:r>
          </w:p>
        </w:tc>
        <w:tc>
          <w:tcPr>
            <w:tcW w:type="dxa" w:w="7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Medium  (Well-defined problem space, strong benchmarks exist, competitive field)</w:t>
            </w:r>
          </w:p>
        </w:tc>
      </w:tr>
    </w:tbl>
    <w:p>
      <w:pPr>
        <w:spacing w:before="80" w:after="80"/>
      </w:pPr>
    </w:p>
    <w:p>
      <w:pPr>
        <w:pStyle w:val="Heading2"/>
        <w:spacing w:before="280" w:after="100"/>
      </w:pPr>
      <w:r>
        <w:rPr>
          <w:rFonts w:ascii="Arial" w:cs="Arial" w:eastAsia="Arial" w:hAnsi="Arial"/>
          <w:b/>
          <w:bCs/>
          <w:color w:val="2E75B6"/>
          <w:sz w:val="28"/>
          <w:szCs w:val="28"/>
        </w:rPr>
        <w:t xml:space="preserve">What Problem Does It Solve?</w:t>
      </w:r>
    </w:p>
    <w:p>
      <w:pPr>
        <w:spacing w:before="80" w:after="80"/>
      </w:pPr>
      <w:r>
        <w:rPr>
          <w:rFonts w:ascii="Arial" w:cs="Arial" w:eastAsia="Arial" w:hAnsi="Arial"/>
          <w:sz w:val="22"/>
          <w:szCs w:val="22"/>
        </w:rPr>
        <w:t xml:space="preserve">Standard RAG (Retrieval-Augmented Generation) systems — which your platform currently uses — work in a simple pipeline: convert query to embedding, retrieve top-K chunks by cosine similarity, feed them to an LLM. This approach has three critical weaknesses:</w:t>
      </w:r>
    </w:p>
    <w:p>
      <w:pPr>
        <w:pStyle w:val="ListParagraph"/>
        <w:numPr>
          <w:ilvl w:val="0"/>
          <w:numId w:val="2"/>
        </w:numPr>
        <w:spacing w:before="60" w:after="60"/>
      </w:pPr>
      <w:r>
        <w:rPr>
          <w:rFonts w:ascii="Arial" w:cs="Arial" w:eastAsia="Arial" w:hAnsi="Arial"/>
          <w:sz w:val="22"/>
          <w:szCs w:val="22"/>
        </w:rPr>
        <w:t xml:space="preserve">Dense-only retrieval misses exact keyword matches that sparse methods (BM25) would catch</w:t>
      </w:r>
    </w:p>
    <w:p>
      <w:pPr>
        <w:pStyle w:val="ListParagraph"/>
        <w:numPr>
          <w:ilvl w:val="0"/>
          <w:numId w:val="2"/>
        </w:numPr>
        <w:spacing w:before="60" w:after="60"/>
      </w:pPr>
      <w:r>
        <w:rPr>
          <w:rFonts w:ascii="Arial" w:cs="Arial" w:eastAsia="Arial" w:hAnsi="Arial"/>
          <w:sz w:val="22"/>
          <w:szCs w:val="22"/>
        </w:rPr>
        <w:t xml:space="preserve">No reranking step — the top-K retrieved chunks are fed directly to the LLM regardless of actual relevance, introducing noise and irrelevant context</w:t>
      </w:r>
    </w:p>
    <w:p>
      <w:pPr>
        <w:pStyle w:val="ListParagraph"/>
        <w:numPr>
          <w:ilvl w:val="0"/>
          <w:numId w:val="2"/>
        </w:numPr>
        <w:spacing w:before="60" w:after="60"/>
      </w:pPr>
      <w:r>
        <w:rPr>
          <w:rFonts w:ascii="Arial" w:cs="Arial" w:eastAsia="Arial" w:hAnsi="Arial"/>
          <w:sz w:val="22"/>
          <w:szCs w:val="22"/>
        </w:rPr>
        <w:t xml:space="preserve">No query intelligence — complex multi-part research questions are fed as-is to the retriever, which can't handle them optimally</w:t>
      </w:r>
    </w:p>
    <w:p>
      <w:pPr>
        <w:spacing w:before="80" w:after="80"/>
      </w:pPr>
    </w:p>
    <w:p>
      <w:pPr>
        <w:spacing w:before="80" w:after="80"/>
      </w:pPr>
      <w:r>
        <w:rPr>
          <w:rFonts w:ascii="Arial" w:cs="Arial" w:eastAsia="Arial" w:hAnsi="Arial"/>
          <w:sz w:val="22"/>
          <w:szCs w:val="22"/>
        </w:rPr>
        <w:t xml:space="preserve">Hierarchical Adaptive RAG addresses all three systematically by building a multi-stage pipeline where each stage adds precision.</w:t>
      </w:r>
    </w:p>
    <w:p>
      <w:pPr>
        <w:spacing w:before="80" w:after="80"/>
      </w:pPr>
    </w:p>
    <w:p>
      <w:pPr>
        <w:pStyle w:val="Heading2"/>
        <w:spacing w:before="280" w:after="100"/>
      </w:pPr>
      <w:r>
        <w:rPr>
          <w:rFonts w:ascii="Arial" w:cs="Arial" w:eastAsia="Arial" w:hAnsi="Arial"/>
          <w:b/>
          <w:bCs/>
          <w:color w:val="2E75B6"/>
          <w:sz w:val="28"/>
          <w:szCs w:val="28"/>
        </w:rPr>
        <w:t xml:space="preserve">What You Build</w:t>
      </w:r>
    </w:p>
    <w:p>
      <w:pPr>
        <w:spacing w:before="80" w:after="80"/>
      </w:pPr>
      <w:r>
        <w:rPr>
          <w:rFonts w:ascii="Arial" w:cs="Arial" w:eastAsia="Arial" w:hAnsi="Arial"/>
          <w:sz w:val="22"/>
          <w:szCs w:val="22"/>
        </w:rPr>
        <w:t xml:space="preserve">Four stacked improvements over your existing RAG pipeline:</w:t>
      </w:r>
    </w:p>
    <w:p>
      <w:pPr>
        <w:pStyle w:val="ListParagraph"/>
        <w:numPr>
          <w:ilvl w:val="0"/>
          <w:numId w:val="2"/>
        </w:numPr>
        <w:spacing w:before="60" w:after="60"/>
      </w:pPr>
      <w:r>
        <w:rPr>
          <w:rFonts w:ascii="Arial" w:cs="Arial" w:eastAsia="Arial" w:hAnsi="Arial"/>
          <w:sz w:val="22"/>
          <w:szCs w:val="22"/>
        </w:rPr>
        <w:t xml:space="preserve">Hybrid Retrieval — combine dense retrieval (FAISS / ChromaDB with sentence embeddings) with sparse retrieval (BM25). Use Reciprocal Rank Fusion (RRF) to merge the ranked lists. This alone typically improves NDCG@10 by 3–8 points over dense-only.</w:t>
      </w:r>
    </w:p>
    <w:p>
      <w:pPr>
        <w:pStyle w:val="ListParagraph"/>
        <w:numPr>
          <w:ilvl w:val="0"/>
          <w:numId w:val="2"/>
        </w:numPr>
        <w:spacing w:before="60" w:after="60"/>
      </w:pPr>
      <w:r>
        <w:rPr>
          <w:rFonts w:ascii="Arial" w:cs="Arial" w:eastAsia="Arial" w:hAnsi="Arial"/>
          <w:sz w:val="22"/>
          <w:szCs w:val="22"/>
        </w:rPr>
        <w:t xml:space="preserve">Reranking Layer — after the initial top-K=50 retrieval, apply a cross-encoder (ColBERT or Cohere Rerank API) to rerank and return the top-10. Cross-encoders are much more accurate than bi-encoders but too slow for full-corpus retrieval — using them as a reranker is the right architectural choice.</w:t>
      </w:r>
    </w:p>
    <w:p>
      <w:pPr>
        <w:pStyle w:val="ListParagraph"/>
        <w:numPr>
          <w:ilvl w:val="0"/>
          <w:numId w:val="2"/>
        </w:numPr>
        <w:spacing w:before="60" w:after="60"/>
      </w:pPr>
      <w:r>
        <w:rPr>
          <w:rFonts w:ascii="Arial" w:cs="Arial" w:eastAsia="Arial" w:hAnsi="Arial"/>
          <w:sz w:val="22"/>
          <w:szCs w:val="22"/>
        </w:rPr>
        <w:t xml:space="preserve">Query Decomposition — for complex multi-hop research questions, use an LLM to decompose the query into atomic sub-questions, retrieve for each, and merge the results. This handles questions that no single chunk can answer.</w:t>
      </w:r>
    </w:p>
    <w:p>
      <w:pPr>
        <w:pStyle w:val="ListParagraph"/>
        <w:numPr>
          <w:ilvl w:val="0"/>
          <w:numId w:val="2"/>
        </w:numPr>
        <w:spacing w:before="60" w:after="60"/>
      </w:pPr>
      <w:r>
        <w:rPr>
          <w:rFonts w:ascii="Arial" w:cs="Arial" w:eastAsia="Arial" w:hAnsi="Arial"/>
          <w:sz w:val="22"/>
          <w:szCs w:val="22"/>
        </w:rPr>
        <w:t xml:space="preserve">Adaptive Retrieval Decision — implement a lightweight classifier that decides whether retrieval is necessary at all for a given query. Simple factual questions don't need retrieval; complex synthesis questions do. This reduces latency and improves answer quality.</w:t>
      </w:r>
    </w:p>
    <w:p>
      <w:pPr>
        <w:spacing w:before="80" w:after="80"/>
      </w:pPr>
    </w:p>
    <w:p>
      <w:pPr>
        <w:pStyle w:val="Heading2"/>
        <w:spacing w:before="280" w:after="100"/>
      </w:pPr>
      <w:r>
        <w:rPr>
          <w:rFonts w:ascii="Arial" w:cs="Arial" w:eastAsia="Arial" w:hAnsi="Arial"/>
          <w:b/>
          <w:bCs/>
          <w:color w:val="2E75B6"/>
          <w:sz w:val="28"/>
          <w:szCs w:val="28"/>
        </w:rPr>
        <w:t xml:space="preserve">Datasets and Benchmarks — All Public</w:t>
      </w:r>
    </w:p>
    <w:p>
      <w:pPr>
        <w:pStyle w:val="ListParagraph"/>
        <w:numPr>
          <w:ilvl w:val="0"/>
          <w:numId w:val="2"/>
        </w:numPr>
        <w:spacing w:before="60" w:after="60"/>
      </w:pPr>
      <w:r>
        <w:rPr>
          <w:rFonts w:ascii="Arial" w:cs="Arial" w:eastAsia="Arial" w:hAnsi="Arial"/>
          <w:sz w:val="22"/>
          <w:szCs w:val="22"/>
        </w:rPr>
        <w:t xml:space="preserve">BEIR Benchmark — 18 heterogeneous retrieval datasets covering scientific papers, biomedical, financial, and web documents</w:t>
      </w:r>
    </w:p>
    <w:p>
      <w:pPr>
        <w:pStyle w:val="ListParagraph"/>
        <w:numPr>
          <w:ilvl w:val="0"/>
          <w:numId w:val="2"/>
        </w:numPr>
        <w:spacing w:before="60" w:after="60"/>
      </w:pPr>
      <w:r>
        <w:rPr>
          <w:rFonts w:ascii="Arial" w:cs="Arial" w:eastAsia="Arial" w:hAnsi="Arial"/>
          <w:sz w:val="22"/>
          <w:szCs w:val="22"/>
        </w:rPr>
        <w:t xml:space="preserve">SciFact — scientific fact verification with evidence retrieval (perfect for your research platform context)</w:t>
      </w:r>
    </w:p>
    <w:p>
      <w:pPr>
        <w:pStyle w:val="ListParagraph"/>
        <w:numPr>
          <w:ilvl w:val="0"/>
          <w:numId w:val="2"/>
        </w:numPr>
        <w:spacing w:before="60" w:after="60"/>
      </w:pPr>
      <w:r>
        <w:rPr>
          <w:rFonts w:ascii="Arial" w:cs="Arial" w:eastAsia="Arial" w:hAnsi="Arial"/>
          <w:sz w:val="22"/>
          <w:szCs w:val="22"/>
        </w:rPr>
        <w:t xml:space="preserve">MS-MARCO — large-scale passage retrieval benchmark</w:t>
      </w:r>
    </w:p>
    <w:p>
      <w:pPr>
        <w:pStyle w:val="ListParagraph"/>
        <w:numPr>
          <w:ilvl w:val="0"/>
          <w:numId w:val="2"/>
        </w:numPr>
        <w:spacing w:before="60" w:after="60"/>
      </w:pPr>
      <w:r>
        <w:rPr>
          <w:rFonts w:ascii="Arial" w:cs="Arial" w:eastAsia="Arial" w:hAnsi="Arial"/>
          <w:sz w:val="22"/>
          <w:szCs w:val="22"/>
        </w:rPr>
        <w:t xml:space="preserve">TriviaQA — open-domain question answering requiring retrieval</w:t>
      </w:r>
    </w:p>
    <w:p>
      <w:pPr>
        <w:spacing w:before="80" w:after="80"/>
      </w:pPr>
    </w:p>
    <w:p>
      <w:pPr>
        <w:pStyle w:val="Heading2"/>
        <w:spacing w:before="280" w:after="100"/>
      </w:pPr>
      <w:r>
        <w:rPr>
          <w:rFonts w:ascii="Arial" w:cs="Arial" w:eastAsia="Arial" w:hAnsi="Arial"/>
          <w:b/>
          <w:bCs/>
          <w:color w:val="2E75B6"/>
          <w:sz w:val="28"/>
          <w:szCs w:val="28"/>
        </w:rPr>
        <w:t xml:space="preserve">How You Prove It Works</w:t>
      </w:r>
    </w:p>
    <w:p>
      <w:pPr>
        <w:pStyle w:val="ListParagraph"/>
        <w:numPr>
          <w:ilvl w:val="0"/>
          <w:numId w:val="2"/>
        </w:numPr>
        <w:spacing w:before="60" w:after="60"/>
      </w:pPr>
      <w:r>
        <w:rPr>
          <w:rFonts w:ascii="Arial" w:cs="Arial" w:eastAsia="Arial" w:hAnsi="Arial"/>
          <w:sz w:val="22"/>
          <w:szCs w:val="22"/>
        </w:rPr>
        <w:t xml:space="preserve">NDCG@10, MRR, Recall@K for retrieval quality</w:t>
      </w:r>
    </w:p>
    <w:p>
      <w:pPr>
        <w:pStyle w:val="ListParagraph"/>
        <w:numPr>
          <w:ilvl w:val="0"/>
          <w:numId w:val="2"/>
        </w:numPr>
        <w:spacing w:before="60" w:after="60"/>
      </w:pPr>
      <w:r>
        <w:rPr>
          <w:rFonts w:ascii="Arial" w:cs="Arial" w:eastAsia="Arial" w:hAnsi="Arial"/>
          <w:sz w:val="22"/>
          <w:szCs w:val="22"/>
        </w:rPr>
        <w:t xml:space="preserve">ROUGE, BERTScore, Faithfulness score for generation quality</w:t>
      </w:r>
    </w:p>
    <w:p>
      <w:pPr>
        <w:pStyle w:val="ListParagraph"/>
        <w:numPr>
          <w:ilvl w:val="0"/>
          <w:numId w:val="2"/>
        </w:numPr>
        <w:spacing w:before="60" w:after="60"/>
      </w:pPr>
      <w:r>
        <w:rPr>
          <w:rFonts w:ascii="Arial" w:cs="Arial" w:eastAsia="Arial" w:hAnsi="Arial"/>
          <w:sz w:val="22"/>
          <w:szCs w:val="22"/>
        </w:rPr>
        <w:t xml:space="preserve">Ablation: dense-only → hybrid → hybrid+rerank → hybrid+rerank+decomposition → full HA-RAG</w:t>
      </w:r>
    </w:p>
    <w:p>
      <w:pPr>
        <w:pStyle w:val="ListParagraph"/>
        <w:numPr>
          <w:ilvl w:val="0"/>
          <w:numId w:val="2"/>
        </w:numPr>
        <w:spacing w:before="60" w:after="60"/>
      </w:pPr>
      <w:r>
        <w:rPr>
          <w:rFonts w:ascii="Arial" w:cs="Arial" w:eastAsia="Arial" w:hAnsi="Arial"/>
          <w:sz w:val="22"/>
          <w:szCs w:val="22"/>
        </w:rPr>
        <w:t xml:space="preserve">Latency analysis — show that the added stages are worth the computational cost</w:t>
      </w:r>
    </w:p>
    <w:p>
      <w:pPr>
        <w:spacing w:before="80" w:after="80"/>
      </w:pPr>
    </w:p>
    <w:p>
      <w:pPr>
        <w:pStyle w:val="Heading2"/>
        <w:spacing w:before="280" w:after="100"/>
      </w:pPr>
      <w:r>
        <w:rPr>
          <w:rFonts w:ascii="Arial" w:cs="Arial" w:eastAsia="Arial" w:hAnsi="Arial"/>
          <w:b/>
          <w:bCs/>
          <w:color w:val="2E75B6"/>
          <w:sz w:val="28"/>
          <w:szCs w:val="28"/>
        </w:rPr>
        <w:t xml:space="preserve">Paper Title Suggestion</w:t>
      </w:r>
    </w:p>
    <w:p>
      <w:pPr>
        <w:spacing w:before="80" w:after="80"/>
      </w:pPr>
      <w:r>
        <w:rPr>
          <w:rFonts w:ascii="Arial" w:cs="Arial" w:eastAsia="Arial" w:hAnsi="Arial"/>
          <w:b/>
          <w:bCs/>
          <w:i/>
          <w:iCs/>
          <w:sz w:val="22"/>
          <w:szCs w:val="22"/>
        </w:rPr>
        <w:t xml:space="preserve">"HA-RAG: Hierarchical Adaptive Retrieval-Augmented Generation for Scientific Research Assistants"</w:t>
      </w:r>
    </w:p>
    <w:p>
      <w:pPr>
        <w:spacing w:before="80" w:after="80"/>
      </w:pPr>
    </w:p>
    <w:p>
      <w:pPr>
        <w:pStyle w:val="Heading2"/>
        <w:spacing w:before="280" w:after="100"/>
      </w:pPr>
      <w:r>
        <w:rPr>
          <w:rFonts w:ascii="Arial" w:cs="Arial" w:eastAsia="Arial" w:hAnsi="Arial"/>
          <w:b/>
          <w:bCs/>
          <w:color w:val="2E75B6"/>
          <w:sz w:val="28"/>
          <w:szCs w:val="28"/>
        </w:rPr>
        <w:t xml:space="preserve">Honest Assessment</w:t>
      </w:r>
    </w:p>
    <w:p>
      <w:pPr>
        <w:pStyle w:val="ListParagraph"/>
        <w:numPr>
          <w:ilvl w:val="0"/>
          <w:numId w:val="2"/>
        </w:numPr>
        <w:spacing w:before="60" w:after="60"/>
      </w:pPr>
      <w:r>
        <w:rPr>
          <w:rFonts w:ascii="Arial" w:cs="Arial" w:eastAsia="Arial" w:hAnsi="Arial"/>
          <w:sz w:val="22"/>
          <w:szCs w:val="22"/>
        </w:rPr>
        <w:t xml:space="preserve">RAG is one of the hottest research areas in 2025–2026 — reviewers are very familiar with the problem space</w:t>
      </w:r>
    </w:p>
    <w:p>
      <w:pPr>
        <w:pStyle w:val="ListParagraph"/>
        <w:numPr>
          <w:ilvl w:val="0"/>
          <w:numId w:val="2"/>
        </w:numPr>
        <w:spacing w:before="60" w:after="60"/>
      </w:pPr>
      <w:r>
        <w:rPr>
          <w:rFonts w:ascii="Arial" w:cs="Arial" w:eastAsia="Arial" w:hAnsi="Arial"/>
          <w:sz w:val="22"/>
          <w:szCs w:val="22"/>
        </w:rPr>
        <w:t xml:space="preserve">Because the field is competitive, you MUST have strong baselines and rigorous ablations — a superficial paper won't get in</w:t>
      </w:r>
    </w:p>
    <w:p>
      <w:pPr>
        <w:pStyle w:val="ListParagraph"/>
        <w:numPr>
          <w:ilvl w:val="0"/>
          <w:numId w:val="2"/>
        </w:numPr>
        <w:spacing w:before="60" w:after="60"/>
      </w:pPr>
      <w:r>
        <w:rPr>
          <w:rFonts w:ascii="Arial" w:cs="Arial" w:eastAsia="Arial" w:hAnsi="Arial"/>
          <w:sz w:val="22"/>
          <w:szCs w:val="22"/>
        </w:rPr>
        <w:t xml:space="preserve">The hybrid retrieval + reranking combination is well-established; the novelty must come from the query decomposition + adaptive retrieval decision components</w:t>
      </w:r>
    </w:p>
    <w:p>
      <w:pPr>
        <w:pStyle w:val="ListParagraph"/>
        <w:numPr>
          <w:ilvl w:val="0"/>
          <w:numId w:val="2"/>
        </w:numPr>
        <w:spacing w:before="60" w:after="60"/>
      </w:pPr>
      <w:r>
        <w:rPr>
          <w:rFonts w:ascii="Arial" w:cs="Arial" w:eastAsia="Arial" w:hAnsi="Arial"/>
          <w:sz w:val="22"/>
          <w:szCs w:val="22"/>
        </w:rPr>
        <w:t xml:space="preserve">BEIR benchmarks are freely downloadable and evaluation is straightforward — no data collection needed</w:t>
      </w:r>
    </w:p>
    <w:p>
      <w:pPr>
        <w:pStyle w:val="ListParagraph"/>
        <w:numPr>
          <w:ilvl w:val="0"/>
          <w:numId w:val="2"/>
        </w:numPr>
        <w:spacing w:before="60" w:after="60"/>
      </w:pPr>
      <w:r>
        <w:rPr>
          <w:rFonts w:ascii="Arial" w:cs="Arial" w:eastAsia="Arial" w:hAnsi="Arial"/>
          <w:sz w:val="22"/>
          <w:szCs w:val="22"/>
        </w:rPr>
        <w:t xml:space="preserve">Feasible in 3 months if you focus: week 1–2 on hybrid retrieval, week 3–4 on reranker, week 5–6 on query decomposition, week 7–8 on evaluation, week 9–12 on paper writing</w:t>
      </w:r>
    </w:p>
    <w:p>
      <w:pPr>
        <w:spacing w:before="80" w:after="80"/>
      </w:pPr>
    </w:p>
    <w:p>
      <w:r>
        <w:br w:type="page"/>
      </w:r>
    </w:p>
    <w:p>
      <w:pPr>
        <w:spacing w:before="200" w:after="120"/>
      </w:pPr>
      <w:r>
        <w:rPr>
          <w:rFonts w:ascii="Arial" w:cs="Arial" w:eastAsia="Arial" w:hAnsi="Arial"/>
          <w:b/>
          <w:bCs/>
          <w:color w:val="FFFFFF"/>
          <w:sz w:val="32"/>
          <w:szCs w:val="32"/>
        </w:rPr>
        <w:t xml:space="preserve">OPTION 5</w:t>
      </w:r>
      <w:r>
        <w:rPr>
          <w:rFonts w:ascii="Arial" w:cs="Arial" w:eastAsia="Arial" w:hAnsi="Arial"/>
          <w:i/>
          <w:iCs/>
          <w:color w:val="595959"/>
          <w:sz w:val="22"/>
          <w:szCs w:val="22"/>
        </w:rPr>
        <w:t xml:space="preserve">   My Suggestion</w:t>
      </w:r>
    </w:p>
    <w:p>
      <w:pPr>
        <w:pStyle w:val="Heading1"/>
        <w:spacing w:before="360" w:after="120"/>
      </w:pPr>
      <w:r>
        <w:rPr>
          <w:rFonts w:ascii="Arial" w:cs="Arial" w:eastAsia="Arial" w:hAnsi="Arial"/>
          <w:b/>
          <w:bCs/>
          <w:color w:val="1F4E79"/>
          <w:sz w:val="36"/>
          <w:szCs w:val="36"/>
        </w:rPr>
        <w:t xml:space="preserve">Multi-Agent Research Orchestration</w:t>
      </w:r>
    </w:p>
    <w:p>
      <w:pPr>
        <w:pBdr>
          <w:bottom w:val="single" w:color="2E75B6" w:sz="6" w:space="1"/>
        </w:pBdr>
        <w:spacing w:before="120" w:after="12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4E79"/>
                <w:sz w:val="20"/>
                <w:szCs w:val="20"/>
              </w:rPr>
              <w:t xml:space="preserve">Core Problem</w:t>
            </w:r>
          </w:p>
        </w:tc>
        <w:tc>
          <w:tcPr>
            <w:tcW w:type="dxa" w:w="7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Single-agent AI systems process research tasks sequentially. Complex research requires parallel specialization — planning, retrieval, critique, and synthesis are distinct skills.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4E79"/>
                <w:sz w:val="20"/>
                <w:szCs w:val="20"/>
              </w:rPr>
              <w:t xml:space="preserve">Venue</w:t>
            </w:r>
          </w:p>
        </w:tc>
        <w:tc>
          <w:tcPr>
            <w:tcW w:type="dxa" w:w="7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AAAI 2027, WSDM 2027  |  Backup: AAMAS 2026, ACL System Demonstrations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4E79"/>
                <w:sz w:val="20"/>
                <w:szCs w:val="20"/>
              </w:rPr>
              <w:t xml:space="preserve">Timeline</w:t>
            </w:r>
          </w:p>
        </w:tc>
        <w:tc>
          <w:tcPr>
            <w:tcW w:type="dxa" w:w="7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4–5 months  (Agent orchestration is complex to build and evaluate rigorously)</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4E79"/>
                <w:sz w:val="20"/>
                <w:szCs w:val="20"/>
              </w:rPr>
              <w:t xml:space="preserve">Risk Level</w:t>
            </w:r>
          </w:p>
        </w:tc>
        <w:tc>
          <w:tcPr>
            <w:tcW w:type="dxa" w:w="7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Medium-High  (Evaluation of multi-agent systems is genuinely hard to make rigorous)</w:t>
            </w:r>
          </w:p>
        </w:tc>
      </w:tr>
    </w:tbl>
    <w:p>
      <w:pPr>
        <w:spacing w:before="80" w:after="80"/>
      </w:pPr>
    </w:p>
    <w:p>
      <w:pPr>
        <w:pStyle w:val="Heading2"/>
        <w:spacing w:before="280" w:after="100"/>
      </w:pPr>
      <w:r>
        <w:rPr>
          <w:rFonts w:ascii="Arial" w:cs="Arial" w:eastAsia="Arial" w:hAnsi="Arial"/>
          <w:b/>
          <w:bCs/>
          <w:color w:val="2E75B6"/>
          <w:sz w:val="28"/>
          <w:szCs w:val="28"/>
        </w:rPr>
        <w:t xml:space="preserve">What Problem Does It Solve?</w:t>
      </w:r>
    </w:p>
    <w:p>
      <w:pPr>
        <w:spacing w:before="80" w:after="80"/>
      </w:pPr>
      <w:r>
        <w:rPr>
          <w:rFonts w:ascii="Arial" w:cs="Arial" w:eastAsia="Arial" w:hAnsi="Arial"/>
          <w:sz w:val="22"/>
          <w:szCs w:val="22"/>
        </w:rPr>
        <w:t xml:space="preserve">Current AI research assistants (including your existing Orravyn platform) use a single-agent approach: one model processes the entire research query end-to-end. This creates bottlenecks. A research question like "What are the current gaps in transformer-based protein folding?" requires planning (what sub-questions to ask), retrieval (finding relevant papers), critique (assessing which retrieved papers are actually relevant), synthesis (combining findings into a coherent answer), and memory (maintaining context across multi-turn sessions). A single agent doing all of these simultaneously performs each worse than a specialized agent would.</w:t>
      </w:r>
    </w:p>
    <w:p>
      <w:pPr>
        <w:spacing w:before="80" w:after="80"/>
      </w:pPr>
    </w:p>
    <w:p>
      <w:pPr>
        <w:pStyle w:val="Heading2"/>
        <w:spacing w:before="280" w:after="100"/>
      </w:pPr>
      <w:r>
        <w:rPr>
          <w:rFonts w:ascii="Arial" w:cs="Arial" w:eastAsia="Arial" w:hAnsi="Arial"/>
          <w:b/>
          <w:bCs/>
          <w:color w:val="2E75B6"/>
          <w:sz w:val="28"/>
          <w:szCs w:val="28"/>
        </w:rPr>
        <w:t xml:space="preserve">What You Build</w:t>
      </w:r>
    </w:p>
    <w:p>
      <w:pPr>
        <w:spacing w:before="80" w:after="80"/>
      </w:pPr>
      <w:r>
        <w:rPr>
          <w:rFonts w:ascii="Arial" w:cs="Arial" w:eastAsia="Arial" w:hAnsi="Arial"/>
          <w:sz w:val="22"/>
          <w:szCs w:val="22"/>
        </w:rPr>
        <w:t xml:space="preserve">A five-agent pipeline orchestrated by a central coordinator:</w:t>
      </w:r>
    </w:p>
    <w:p>
      <w:pPr>
        <w:pStyle w:val="ListParagraph"/>
        <w:numPr>
          <w:ilvl w:val="0"/>
          <w:numId w:val="2"/>
        </w:numPr>
        <w:spacing w:before="60" w:after="60"/>
      </w:pPr>
      <w:r>
        <w:rPr>
          <w:rFonts w:ascii="Arial" w:cs="Arial" w:eastAsia="Arial" w:hAnsi="Arial"/>
          <w:sz w:val="22"/>
          <w:szCs w:val="22"/>
        </w:rPr>
        <w:t xml:space="preserve">PlannerAgent — receives the user's research question, decomposes it into a structured research plan with sub-questions and retrieval targets. Uses chain-of-thought prompting.</w:t>
      </w:r>
    </w:p>
    <w:p>
      <w:pPr>
        <w:pStyle w:val="ListParagraph"/>
        <w:numPr>
          <w:ilvl w:val="0"/>
          <w:numId w:val="2"/>
        </w:numPr>
        <w:spacing w:before="60" w:after="60"/>
      </w:pPr>
      <w:r>
        <w:rPr>
          <w:rFonts w:ascii="Arial" w:cs="Arial" w:eastAsia="Arial" w:hAnsi="Arial"/>
          <w:sz w:val="22"/>
          <w:szCs w:val="22"/>
        </w:rPr>
        <w:t xml:space="preserve">RetrieverAgent — executes retrieval across multiple corpora (uploaded documents, arXiv live API, web search) based on the Planner's instructions. Interfaces with your existing RAG system.</w:t>
      </w:r>
    </w:p>
    <w:p>
      <w:pPr>
        <w:pStyle w:val="ListParagraph"/>
        <w:numPr>
          <w:ilvl w:val="0"/>
          <w:numId w:val="2"/>
        </w:numPr>
        <w:spacing w:before="60" w:after="60"/>
      </w:pPr>
      <w:r>
        <w:rPr>
          <w:rFonts w:ascii="Arial" w:cs="Arial" w:eastAsia="Arial" w:hAnsi="Arial"/>
          <w:sz w:val="22"/>
          <w:szCs w:val="22"/>
        </w:rPr>
        <w:t xml:space="preserve">CriticAgent — evaluates retrieved evidence for relevance, recency, and credibility. Flags low-confidence chunks and requests additional retrieval if coverage is insufficient.</w:t>
      </w:r>
    </w:p>
    <w:p>
      <w:pPr>
        <w:pStyle w:val="ListParagraph"/>
        <w:numPr>
          <w:ilvl w:val="0"/>
          <w:numId w:val="2"/>
        </w:numPr>
        <w:spacing w:before="60" w:after="60"/>
      </w:pPr>
      <w:r>
        <w:rPr>
          <w:rFonts w:ascii="Arial" w:cs="Arial" w:eastAsia="Arial" w:hAnsi="Arial"/>
          <w:sz w:val="22"/>
          <w:szCs w:val="22"/>
        </w:rPr>
        <w:t xml:space="preserve">SynthesizerAgent — generates structured research summaries with inline citations, organized into sections (Background, Key Findings, Gaps, Future Work).</w:t>
      </w:r>
    </w:p>
    <w:p>
      <w:pPr>
        <w:pStyle w:val="ListParagraph"/>
        <w:numPr>
          <w:ilvl w:val="0"/>
          <w:numId w:val="2"/>
        </w:numPr>
        <w:spacing w:before="60" w:after="60"/>
      </w:pPr>
      <w:r>
        <w:rPr>
          <w:rFonts w:ascii="Arial" w:cs="Arial" w:eastAsia="Arial" w:hAnsi="Arial"/>
          <w:sz w:val="22"/>
          <w:szCs w:val="22"/>
        </w:rPr>
        <w:t xml:space="preserve">MemoryAgent — maintains session state across multi-turn interactions so the user can ask follow-up questions without re-explaining context.</w:t>
      </w:r>
    </w:p>
    <w:p>
      <w:pPr>
        <w:spacing w:before="80" w:after="80"/>
      </w:pPr>
    </w:p>
    <w:p>
      <w:pPr>
        <w:spacing w:before="80" w:after="80"/>
      </w:pPr>
      <w:r>
        <w:rPr>
          <w:rFonts w:ascii="Arial" w:cs="Arial" w:eastAsia="Arial" w:hAnsi="Arial"/>
          <w:sz w:val="22"/>
          <w:szCs w:val="22"/>
        </w:rPr>
        <w:t xml:space="preserve">Orchestration framework: LangGraph (preferred for stateful multi-agent workflows) or CrewAI. Both are production-grade Python libraries.</w:t>
      </w:r>
    </w:p>
    <w:p>
      <w:pPr>
        <w:spacing w:before="80" w:after="80"/>
      </w:pPr>
    </w:p>
    <w:p>
      <w:pPr>
        <w:pStyle w:val="Heading2"/>
        <w:spacing w:before="280" w:after="100"/>
      </w:pPr>
      <w:r>
        <w:rPr>
          <w:rFonts w:ascii="Arial" w:cs="Arial" w:eastAsia="Arial" w:hAnsi="Arial"/>
          <w:b/>
          <w:bCs/>
          <w:color w:val="2E75B6"/>
          <w:sz w:val="28"/>
          <w:szCs w:val="28"/>
        </w:rPr>
        <w:t xml:space="preserve">How You Prove It Works</w:t>
      </w:r>
    </w:p>
    <w:p>
      <w:pPr>
        <w:spacing w:before="80" w:after="80"/>
      </w:pPr>
      <w:r>
        <w:rPr>
          <w:rFonts w:ascii="Arial" w:cs="Arial" w:eastAsia="Arial" w:hAnsi="Arial"/>
          <w:sz w:val="22"/>
          <w:szCs w:val="22"/>
        </w:rPr>
        <w:t xml:space="preserve">This is the hardest evaluation challenge for this option:</w:t>
      </w:r>
    </w:p>
    <w:p>
      <w:pPr>
        <w:pStyle w:val="ListParagraph"/>
        <w:numPr>
          <w:ilvl w:val="0"/>
          <w:numId w:val="2"/>
        </w:numPr>
        <w:spacing w:before="60" w:after="60"/>
      </w:pPr>
      <w:r>
        <w:rPr>
          <w:rFonts w:ascii="Arial" w:cs="Arial" w:eastAsia="Arial" w:hAnsi="Arial"/>
          <w:sz w:val="22"/>
          <w:szCs w:val="22"/>
        </w:rPr>
        <w:t xml:space="preserve">Task completion rate on a benchmark of 100 research questions with human-verified answers</w:t>
      </w:r>
    </w:p>
    <w:p>
      <w:pPr>
        <w:pStyle w:val="ListParagraph"/>
        <w:numPr>
          <w:ilvl w:val="0"/>
          <w:numId w:val="2"/>
        </w:numPr>
        <w:spacing w:before="60" w:after="60"/>
      </w:pPr>
      <w:r>
        <w:rPr>
          <w:rFonts w:ascii="Arial" w:cs="Arial" w:eastAsia="Arial" w:hAnsi="Arial"/>
          <w:sz w:val="22"/>
          <w:szCs w:val="22"/>
        </w:rPr>
        <w:t xml:space="preserve">Compare against single-agent baseline (your existing platform) on the same questions</w:t>
      </w:r>
    </w:p>
    <w:p>
      <w:pPr>
        <w:pStyle w:val="ListParagraph"/>
        <w:numPr>
          <w:ilvl w:val="0"/>
          <w:numId w:val="2"/>
        </w:numPr>
        <w:spacing w:before="60" w:after="60"/>
      </w:pPr>
      <w:r>
        <w:rPr>
          <w:rFonts w:ascii="Arial" w:cs="Arial" w:eastAsia="Arial" w:hAnsi="Arial"/>
          <w:sz w:val="22"/>
          <w:szCs w:val="22"/>
        </w:rPr>
        <w:t xml:space="preserve">Human evaluation: research quality, coherence, citation accuracy</w:t>
      </w:r>
    </w:p>
    <w:p>
      <w:pPr>
        <w:pStyle w:val="ListParagraph"/>
        <w:numPr>
          <w:ilvl w:val="0"/>
          <w:numId w:val="2"/>
        </w:numPr>
        <w:spacing w:before="60" w:after="60"/>
      </w:pPr>
      <w:r>
        <w:rPr>
          <w:rFonts w:ascii="Arial" w:cs="Arial" w:eastAsia="Arial" w:hAnsi="Arial"/>
          <w:sz w:val="22"/>
          <w:szCs w:val="22"/>
        </w:rPr>
        <w:t xml:space="preserve">Efficiency metrics: number of retrieval calls, latency, and cost per query</w:t>
      </w:r>
    </w:p>
    <w:p>
      <w:pPr>
        <w:spacing w:before="80" w:after="80"/>
      </w:pPr>
    </w:p>
    <w:p>
      <w:pPr>
        <w:pStyle w:val="Heading2"/>
        <w:spacing w:before="280" w:after="100"/>
      </w:pPr>
      <w:r>
        <w:rPr>
          <w:rFonts w:ascii="Arial" w:cs="Arial" w:eastAsia="Arial" w:hAnsi="Arial"/>
          <w:b/>
          <w:bCs/>
          <w:color w:val="2E75B6"/>
          <w:sz w:val="28"/>
          <w:szCs w:val="28"/>
        </w:rPr>
        <w:t xml:space="preserve">Paper Title Suggestion</w:t>
      </w:r>
    </w:p>
    <w:p>
      <w:pPr>
        <w:spacing w:before="80" w:after="80"/>
      </w:pPr>
      <w:r>
        <w:rPr>
          <w:rFonts w:ascii="Arial" w:cs="Arial" w:eastAsia="Arial" w:hAnsi="Arial"/>
          <w:b/>
          <w:bCs/>
          <w:i/>
          <w:iCs/>
          <w:sz w:val="22"/>
          <w:szCs w:val="22"/>
        </w:rPr>
        <w:t xml:space="preserve">"OrravynMAS: A Multi-Agent Research Orchestration Framework with Adaptive Planning and Evidence Critique"</w:t>
      </w:r>
    </w:p>
    <w:p>
      <w:pPr>
        <w:spacing w:before="80" w:after="80"/>
      </w:pPr>
    </w:p>
    <w:p>
      <w:pPr>
        <w:pStyle w:val="Heading2"/>
        <w:spacing w:before="280" w:after="100"/>
      </w:pPr>
      <w:r>
        <w:rPr>
          <w:rFonts w:ascii="Arial" w:cs="Arial" w:eastAsia="Arial" w:hAnsi="Arial"/>
          <w:b/>
          <w:bCs/>
          <w:color w:val="2E75B6"/>
          <w:sz w:val="28"/>
          <w:szCs w:val="28"/>
        </w:rPr>
        <w:t xml:space="preserve">Honest Assessment</w:t>
      </w:r>
    </w:p>
    <w:p>
      <w:pPr>
        <w:pStyle w:val="ListParagraph"/>
        <w:numPr>
          <w:ilvl w:val="0"/>
          <w:numId w:val="2"/>
        </w:numPr>
        <w:spacing w:before="60" w:after="60"/>
      </w:pPr>
      <w:r>
        <w:rPr>
          <w:rFonts w:ascii="Arial" w:cs="Arial" w:eastAsia="Arial" w:hAnsi="Arial"/>
          <w:sz w:val="22"/>
          <w:szCs w:val="22"/>
        </w:rPr>
        <w:t xml:space="preserve">Multi-agent systems are a hot research area, but the evaluation problem is genuinely hard</w:t>
      </w:r>
    </w:p>
    <w:p>
      <w:pPr>
        <w:pStyle w:val="ListParagraph"/>
        <w:numPr>
          <w:ilvl w:val="0"/>
          <w:numId w:val="2"/>
        </w:numPr>
        <w:spacing w:before="60" w:after="60"/>
      </w:pPr>
      <w:r>
        <w:rPr>
          <w:rFonts w:ascii="Arial" w:cs="Arial" w:eastAsia="Arial" w:hAnsi="Arial"/>
          <w:sz w:val="22"/>
          <w:szCs w:val="22"/>
        </w:rPr>
        <w:t xml:space="preserve">Reviewers at top venues will ask: 'Is this actually better than a single strong prompted model?' — you must answer this convincingly</w:t>
      </w:r>
    </w:p>
    <w:p>
      <w:pPr>
        <w:pStyle w:val="ListParagraph"/>
        <w:numPr>
          <w:ilvl w:val="0"/>
          <w:numId w:val="2"/>
        </w:numPr>
        <w:spacing w:before="60" w:after="60"/>
      </w:pPr>
      <w:r>
        <w:rPr>
          <w:rFonts w:ascii="Arial" w:cs="Arial" w:eastAsia="Arial" w:hAnsi="Arial"/>
          <w:sz w:val="22"/>
          <w:szCs w:val="22"/>
        </w:rPr>
        <w:t xml:space="preserve">Building the evaluation benchmark (100 research questions with verified answers) is itself a 3–4 week project</w:t>
      </w:r>
    </w:p>
    <w:p>
      <w:pPr>
        <w:pStyle w:val="ListParagraph"/>
        <w:numPr>
          <w:ilvl w:val="0"/>
          <w:numId w:val="2"/>
        </w:numPr>
        <w:spacing w:before="60" w:after="60"/>
      </w:pPr>
      <w:r>
        <w:rPr>
          <w:rFonts w:ascii="Arial" w:cs="Arial" w:eastAsia="Arial" w:hAnsi="Arial"/>
          <w:sz w:val="22"/>
          <w:szCs w:val="22"/>
        </w:rPr>
        <w:t xml:space="preserve">NOT recommended for a 3-month deadline — architecture complexity + evaluation rigor makes this a 4–5 month project</w:t>
      </w:r>
    </w:p>
    <w:p>
      <w:pPr>
        <w:pStyle w:val="ListParagraph"/>
        <w:numPr>
          <w:ilvl w:val="0"/>
          <w:numId w:val="2"/>
        </w:numPr>
        <w:spacing w:before="60" w:after="60"/>
      </w:pPr>
      <w:r>
        <w:rPr>
          <w:rFonts w:ascii="Arial" w:cs="Arial" w:eastAsia="Arial" w:hAnsi="Arial"/>
          <w:sz w:val="22"/>
          <w:szCs w:val="22"/>
        </w:rPr>
        <w:t xml:space="preserve">Best path: combine with Option 4 (HA-RAG as the retrieval backbone, multi-agent as the orchestration layer) for a single unified paper</w:t>
      </w:r>
    </w:p>
    <w:p>
      <w:pPr>
        <w:spacing w:before="80" w:after="80"/>
      </w:pPr>
    </w:p>
    <w:p>
      <w:r>
        <w:br w:type="page"/>
      </w:r>
    </w:p>
    <w:p>
      <w:pPr>
        <w:spacing w:before="200" w:after="120"/>
      </w:pPr>
      <w:r>
        <w:rPr>
          <w:rFonts w:ascii="Arial" w:cs="Arial" w:eastAsia="Arial" w:hAnsi="Arial"/>
          <w:b/>
          <w:bCs/>
          <w:color w:val="FFFFFF"/>
          <w:sz w:val="32"/>
          <w:szCs w:val="32"/>
        </w:rPr>
        <w:t xml:space="preserve">OPTION 6</w:t>
      </w:r>
      <w:r>
        <w:rPr>
          <w:rFonts w:ascii="Arial" w:cs="Arial" w:eastAsia="Arial" w:hAnsi="Arial"/>
          <w:i/>
          <w:iCs/>
          <w:color w:val="595959"/>
          <w:sz w:val="22"/>
          <w:szCs w:val="22"/>
        </w:rPr>
        <w:t xml:space="preserve">   My Suggestion</w:t>
      </w:r>
    </w:p>
    <w:p>
      <w:pPr>
        <w:pStyle w:val="Heading1"/>
        <w:spacing w:before="360" w:after="120"/>
      </w:pPr>
      <w:r>
        <w:rPr>
          <w:rFonts w:ascii="Arial" w:cs="Arial" w:eastAsia="Arial" w:hAnsi="Arial"/>
          <w:b/>
          <w:bCs/>
          <w:color w:val="1F4E79"/>
          <w:sz w:val="36"/>
          <w:szCs w:val="36"/>
        </w:rPr>
        <w:t xml:space="preserve">Self-Reflective Research Generation (Self-RAG)</w:t>
      </w:r>
    </w:p>
    <w:p>
      <w:pPr>
        <w:pBdr>
          <w:bottom w:val="single" w:color="2E75B6" w:sz="6" w:space="1"/>
        </w:pBdr>
        <w:spacing w:before="120" w:after="12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4E79"/>
                <w:sz w:val="20"/>
                <w:szCs w:val="20"/>
              </w:rPr>
              <w:t xml:space="preserve">Core Problem</w:t>
            </w:r>
          </w:p>
        </w:tc>
        <w:tc>
          <w:tcPr>
            <w:tcW w:type="dxa" w:w="7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RAG systems blindly retrieve for every query and blindly trust whatever they retrieve — no judgment about when retrieval is needed or whether retrieved content is actually relevant.</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4E79"/>
                <w:sz w:val="20"/>
                <w:szCs w:val="20"/>
              </w:rPr>
              <w:t xml:space="preserve">Venue</w:t>
            </w:r>
          </w:p>
        </w:tc>
        <w:tc>
          <w:tcPr>
            <w:tcW w:type="dxa" w:w="7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ACL 2026, NAACL 2026  |  Backup: EMNLP 2026, ICLR 2027</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4E79"/>
                <w:sz w:val="20"/>
                <w:szCs w:val="20"/>
              </w:rPr>
              <w:t xml:space="preserve">Timeline</w:t>
            </w:r>
          </w:p>
        </w:tc>
        <w:tc>
          <w:tcPr>
            <w:tcW w:type="dxa" w:w="7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3–4 months  (Builds on RAG foundation, but requires careful training/prompting strategy)</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4E79"/>
                <w:sz w:val="20"/>
                <w:szCs w:val="20"/>
              </w:rPr>
              <w:t xml:space="preserve">Risk Level</w:t>
            </w:r>
          </w:p>
        </w:tc>
        <w:tc>
          <w:tcPr>
            <w:tcW w:type="dxa" w:w="7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Medium  (Self-RAG paper exists at ACL 2023 — you must differentiate clearly)</w:t>
            </w:r>
          </w:p>
        </w:tc>
      </w:tr>
    </w:tbl>
    <w:p>
      <w:pPr>
        <w:spacing w:before="80" w:after="80"/>
      </w:pPr>
    </w:p>
    <w:p>
      <w:pPr>
        <w:pStyle w:val="Heading2"/>
        <w:spacing w:before="280" w:after="100"/>
      </w:pPr>
      <w:r>
        <w:rPr>
          <w:rFonts w:ascii="Arial" w:cs="Arial" w:eastAsia="Arial" w:hAnsi="Arial"/>
          <w:b/>
          <w:bCs/>
          <w:color w:val="2E75B6"/>
          <w:sz w:val="28"/>
          <w:szCs w:val="28"/>
        </w:rPr>
        <w:t xml:space="preserve">What Problem Does It Solve?</w:t>
      </w:r>
    </w:p>
    <w:p>
      <w:pPr>
        <w:spacing w:before="80" w:after="80"/>
      </w:pPr>
      <w:r>
        <w:rPr>
          <w:rFonts w:ascii="Arial" w:cs="Arial" w:eastAsia="Arial" w:hAnsi="Arial"/>
          <w:sz w:val="22"/>
          <w:szCs w:val="22"/>
        </w:rPr>
        <w:t xml:space="preserve">Standard RAG has a fundamental flaw: it always retrieves, even when the LLM already knows the answer. This wastes compute, introduces irrelevant context, and can actually degrade generation quality for simple queries. Conversely, for questions requiring very specific or recent information, the model retrieves once and accepts whatever it gets — even if the retrieved chunks are marginally relevant or outdated.</w:t>
      </w:r>
    </w:p>
    <w:p>
      <w:pPr>
        <w:spacing w:before="80" w:after="80"/>
      </w:pPr>
    </w:p>
    <w:p>
      <w:pPr>
        <w:spacing w:before="80" w:after="80"/>
      </w:pPr>
      <w:r>
        <w:rPr>
          <w:rFonts w:ascii="Arial" w:cs="Arial" w:eastAsia="Arial" w:hAnsi="Arial"/>
          <w:sz w:val="22"/>
          <w:szCs w:val="22"/>
        </w:rPr>
        <w:t xml:space="preserve">Self-Reflective Generation adds two metacognitive layers: (1) the model decides whether retrieval is needed at all for a given query, and (2) after retrieval, the model evaluates the quality and relevance of each retrieved chunk before using it. This mirrors how an expert researcher works: they know when to look something up and they critically evaluate sources before citing them.</w:t>
      </w:r>
    </w:p>
    <w:p>
      <w:pPr>
        <w:spacing w:before="80" w:after="80"/>
      </w:pPr>
    </w:p>
    <w:p>
      <w:pPr>
        <w:pStyle w:val="Heading2"/>
        <w:spacing w:before="280" w:after="100"/>
      </w:pPr>
      <w:r>
        <w:rPr>
          <w:rFonts w:ascii="Arial" w:cs="Arial" w:eastAsia="Arial" w:hAnsi="Arial"/>
          <w:b/>
          <w:bCs/>
          <w:color w:val="2E75B6"/>
          <w:sz w:val="28"/>
          <w:szCs w:val="28"/>
        </w:rPr>
        <w:t xml:space="preserve">What You Build</w:t>
      </w:r>
    </w:p>
    <w:p>
      <w:pPr>
        <w:spacing w:before="80" w:after="80"/>
      </w:pPr>
      <w:r>
        <w:rPr>
          <w:rFonts w:ascii="Arial" w:cs="Arial" w:eastAsia="Arial" w:hAnsi="Arial"/>
          <w:sz w:val="22"/>
          <w:szCs w:val="22"/>
        </w:rPr>
        <w:t xml:space="preserve">Three self-reflection mechanisms layered onto your existing RAG pipeline:</w:t>
      </w:r>
    </w:p>
    <w:p>
      <w:pPr>
        <w:pStyle w:val="ListParagraph"/>
        <w:numPr>
          <w:ilvl w:val="0"/>
          <w:numId w:val="2"/>
        </w:numPr>
        <w:spacing w:before="60" w:after="60"/>
      </w:pPr>
      <w:r>
        <w:rPr>
          <w:rFonts w:ascii="Arial" w:cs="Arial" w:eastAsia="Arial" w:hAnsi="Arial"/>
          <w:sz w:val="22"/>
          <w:szCs w:val="22"/>
        </w:rPr>
        <w:t xml:space="preserve">Retrieval Decision Module — a lightweight binary classifier (fine-tuned on query-answer pairs) that predicts whether retrieval will improve the answer. Queries about well-known concepts skip retrieval entirely; queries about specific recent papers or data always retrieve. This reduces unnecessary retrieval by ~40%.</w:t>
      </w:r>
    </w:p>
    <w:p>
      <w:pPr>
        <w:pStyle w:val="ListParagraph"/>
        <w:numPr>
          <w:ilvl w:val="0"/>
          <w:numId w:val="2"/>
        </w:numPr>
        <w:spacing w:before="60" w:after="60"/>
      </w:pPr>
      <w:r>
        <w:rPr>
          <w:rFonts w:ascii="Arial" w:cs="Arial" w:eastAsia="Arial" w:hAnsi="Arial"/>
          <w:sz w:val="22"/>
          <w:szCs w:val="22"/>
        </w:rPr>
        <w:t xml:space="preserve">Chunk Relevance Scorer — after retrieval, score each retrieved chunk on a 3-point scale: (2) Fully Supports, (1) Partially Relevant, (0) Not Relevant. Weight chunk contributions to the final generation by these scores rather than treating all chunks equally.</w:t>
      </w:r>
    </w:p>
    <w:p>
      <w:pPr>
        <w:pStyle w:val="ListParagraph"/>
        <w:numPr>
          <w:ilvl w:val="0"/>
          <w:numId w:val="2"/>
        </w:numPr>
        <w:spacing w:before="60" w:after="60"/>
      </w:pPr>
      <w:r>
        <w:rPr>
          <w:rFonts w:ascii="Arial" w:cs="Arial" w:eastAsia="Arial" w:hAnsi="Arial"/>
          <w:sz w:val="22"/>
          <w:szCs w:val="22"/>
        </w:rPr>
        <w:t xml:space="preserve">Citation Faithfulness Verifier — after generation, verify that each inline citation in the generated text is actually supported by the cited chunk. Flag hallucinated or unsupported citations. This is critical for scientific contexts where citation accuracy is essential.</w:t>
      </w:r>
    </w:p>
    <w:p>
      <w:pPr>
        <w:spacing w:before="80" w:after="80"/>
      </w:pPr>
    </w:p>
    <w:p>
      <w:pPr>
        <w:pStyle w:val="Heading2"/>
        <w:spacing w:before="280" w:after="100"/>
      </w:pPr>
      <w:r>
        <w:rPr>
          <w:rFonts w:ascii="Arial" w:cs="Arial" w:eastAsia="Arial" w:hAnsi="Arial"/>
          <w:b/>
          <w:bCs/>
          <w:color w:val="2E75B6"/>
          <w:sz w:val="28"/>
          <w:szCs w:val="28"/>
        </w:rPr>
        <w:t xml:space="preserve">Important: Differentiation from Original Self-RAG</w:t>
      </w:r>
    </w:p>
    <w:p>
      <w:pPr>
        <w:spacing w:before="80" w:after="80"/>
      </w:pPr>
      <w:r>
        <w:rPr>
          <w:rFonts w:ascii="Arial" w:cs="Arial" w:eastAsia="Arial" w:hAnsi="Arial"/>
          <w:sz w:val="22"/>
          <w:szCs w:val="22"/>
        </w:rPr>
        <w:t xml:space="preserve">The original Self-RAG paper (Asai et al., ACL 2023) exists and is well-known. Your contribution must clearly differentiate:</w:t>
      </w:r>
    </w:p>
    <w:p>
      <w:pPr>
        <w:pStyle w:val="ListParagraph"/>
        <w:numPr>
          <w:ilvl w:val="0"/>
          <w:numId w:val="2"/>
        </w:numPr>
        <w:spacing w:before="60" w:after="60"/>
      </w:pPr>
      <w:r>
        <w:rPr>
          <w:rFonts w:ascii="Arial" w:cs="Arial" w:eastAsia="Arial" w:hAnsi="Arial"/>
          <w:sz w:val="22"/>
          <w:szCs w:val="22"/>
        </w:rPr>
        <w:t xml:space="preserve">Original Self-RAG focuses on general-domain QA — yours is specifically designed for scientific research assistants</w:t>
      </w:r>
    </w:p>
    <w:p>
      <w:pPr>
        <w:pStyle w:val="ListParagraph"/>
        <w:numPr>
          <w:ilvl w:val="0"/>
          <w:numId w:val="2"/>
        </w:numPr>
        <w:spacing w:before="60" w:after="60"/>
      </w:pPr>
      <w:r>
        <w:rPr>
          <w:rFonts w:ascii="Arial" w:cs="Arial" w:eastAsia="Arial" w:hAnsi="Arial"/>
          <w:sz w:val="22"/>
          <w:szCs w:val="22"/>
        </w:rPr>
        <w:t xml:space="preserve">You add the Citation Faithfulness Verifier — not in the original</w:t>
      </w:r>
    </w:p>
    <w:p>
      <w:pPr>
        <w:pStyle w:val="ListParagraph"/>
        <w:numPr>
          <w:ilvl w:val="0"/>
          <w:numId w:val="2"/>
        </w:numPr>
        <w:spacing w:before="60" w:after="60"/>
      </w:pPr>
      <w:r>
        <w:rPr>
          <w:rFonts w:ascii="Arial" w:cs="Arial" w:eastAsia="Arial" w:hAnsi="Arial"/>
          <w:sz w:val="22"/>
          <w:szCs w:val="22"/>
        </w:rPr>
        <w:t xml:space="preserve">You apply to a live research platform with real users — empirical deployment evaluation</w:t>
      </w:r>
    </w:p>
    <w:p>
      <w:pPr>
        <w:pStyle w:val="ListParagraph"/>
        <w:numPr>
          <w:ilvl w:val="0"/>
          <w:numId w:val="2"/>
        </w:numPr>
        <w:spacing w:before="60" w:after="60"/>
      </w:pPr>
      <w:r>
        <w:rPr>
          <w:rFonts w:ascii="Arial" w:cs="Arial" w:eastAsia="Arial" w:hAnsi="Arial"/>
          <w:sz w:val="22"/>
          <w:szCs w:val="22"/>
        </w:rPr>
        <w:t xml:space="preserve">Scientific papers have unique structure (abstracts, methods, results) that your version explicitly leverages</w:t>
      </w:r>
    </w:p>
    <w:p>
      <w:pPr>
        <w:spacing w:before="80" w:after="80"/>
      </w:pPr>
    </w:p>
    <w:p>
      <w:pPr>
        <w:pStyle w:val="Heading2"/>
        <w:spacing w:before="280" w:after="100"/>
      </w:pPr>
      <w:r>
        <w:rPr>
          <w:rFonts w:ascii="Arial" w:cs="Arial" w:eastAsia="Arial" w:hAnsi="Arial"/>
          <w:b/>
          <w:bCs/>
          <w:color w:val="2E75B6"/>
          <w:sz w:val="28"/>
          <w:szCs w:val="28"/>
        </w:rPr>
        <w:t xml:space="preserve">How You Prove It Works</w:t>
      </w:r>
    </w:p>
    <w:p>
      <w:pPr>
        <w:pStyle w:val="ListParagraph"/>
        <w:numPr>
          <w:ilvl w:val="0"/>
          <w:numId w:val="2"/>
        </w:numPr>
        <w:spacing w:before="60" w:after="60"/>
      </w:pPr>
      <w:r>
        <w:rPr>
          <w:rFonts w:ascii="Arial" w:cs="Arial" w:eastAsia="Arial" w:hAnsi="Arial"/>
          <w:sz w:val="22"/>
          <w:szCs w:val="22"/>
        </w:rPr>
        <w:t xml:space="preserve">BEIR benchmarks for retrieval quality</w:t>
      </w:r>
    </w:p>
    <w:p>
      <w:pPr>
        <w:pStyle w:val="ListParagraph"/>
        <w:numPr>
          <w:ilvl w:val="0"/>
          <w:numId w:val="2"/>
        </w:numPr>
        <w:spacing w:before="60" w:after="60"/>
      </w:pPr>
      <w:r>
        <w:rPr>
          <w:rFonts w:ascii="Arial" w:cs="Arial" w:eastAsia="Arial" w:hAnsi="Arial"/>
          <w:sz w:val="22"/>
          <w:szCs w:val="22"/>
        </w:rPr>
        <w:t xml:space="preserve">TruthfulQA and SciFact for faithfulness evaluation</w:t>
      </w:r>
    </w:p>
    <w:p>
      <w:pPr>
        <w:pStyle w:val="ListParagraph"/>
        <w:numPr>
          <w:ilvl w:val="0"/>
          <w:numId w:val="2"/>
        </w:numPr>
        <w:spacing w:before="60" w:after="60"/>
      </w:pPr>
      <w:r>
        <w:rPr>
          <w:rFonts w:ascii="Arial" w:cs="Arial" w:eastAsia="Arial" w:hAnsi="Arial"/>
          <w:sz w:val="22"/>
          <w:szCs w:val="22"/>
        </w:rPr>
        <w:t xml:space="preserve">Citation accuracy rate (human-verified on 200 generated summaries)</w:t>
      </w:r>
    </w:p>
    <w:p>
      <w:pPr>
        <w:pStyle w:val="ListParagraph"/>
        <w:numPr>
          <w:ilvl w:val="0"/>
          <w:numId w:val="2"/>
        </w:numPr>
        <w:spacing w:before="60" w:after="60"/>
      </w:pPr>
      <w:r>
        <w:rPr>
          <w:rFonts w:ascii="Arial" w:cs="Arial" w:eastAsia="Arial" w:hAnsi="Arial"/>
          <w:sz w:val="22"/>
          <w:szCs w:val="22"/>
        </w:rPr>
        <w:t xml:space="preserve">Efficiency: queries-per-second and API cost comparison vs. standard RAG</w:t>
      </w:r>
    </w:p>
    <w:p>
      <w:pPr>
        <w:spacing w:before="80" w:after="80"/>
      </w:pPr>
    </w:p>
    <w:p>
      <w:pPr>
        <w:pStyle w:val="Heading2"/>
        <w:spacing w:before="280" w:after="100"/>
      </w:pPr>
      <w:r>
        <w:rPr>
          <w:rFonts w:ascii="Arial" w:cs="Arial" w:eastAsia="Arial" w:hAnsi="Arial"/>
          <w:b/>
          <w:bCs/>
          <w:color w:val="2E75B6"/>
          <w:sz w:val="28"/>
          <w:szCs w:val="28"/>
        </w:rPr>
        <w:t xml:space="preserve">Paper Title Suggestion</w:t>
      </w:r>
    </w:p>
    <w:p>
      <w:pPr>
        <w:spacing w:before="80" w:after="80"/>
      </w:pPr>
      <w:r>
        <w:rPr>
          <w:rFonts w:ascii="Arial" w:cs="Arial" w:eastAsia="Arial" w:hAnsi="Arial"/>
          <w:b/>
          <w:bCs/>
          <w:i/>
          <w:iCs/>
          <w:sz w:val="22"/>
          <w:szCs w:val="22"/>
        </w:rPr>
        <w:t xml:space="preserve">"SciReflect-RAG: Self-Reflective Retrieval with Citation Faithfulness Verification for Scientific Research Assistants"</w:t>
      </w:r>
    </w:p>
    <w:p>
      <w:pPr>
        <w:spacing w:before="80" w:after="80"/>
      </w:pPr>
    </w:p>
    <w:p>
      <w:pPr>
        <w:pStyle w:val="Heading2"/>
        <w:spacing w:before="280" w:after="100"/>
      </w:pPr>
      <w:r>
        <w:rPr>
          <w:rFonts w:ascii="Arial" w:cs="Arial" w:eastAsia="Arial" w:hAnsi="Arial"/>
          <w:b/>
          <w:bCs/>
          <w:color w:val="2E75B6"/>
          <w:sz w:val="28"/>
          <w:szCs w:val="28"/>
        </w:rPr>
        <w:t xml:space="preserve">Honest Assessment</w:t>
      </w:r>
    </w:p>
    <w:p>
      <w:pPr>
        <w:pStyle w:val="ListParagraph"/>
        <w:numPr>
          <w:ilvl w:val="0"/>
          <w:numId w:val="2"/>
        </w:numPr>
        <w:spacing w:before="60" w:after="60"/>
      </w:pPr>
      <w:r>
        <w:rPr>
          <w:rFonts w:ascii="Arial" w:cs="Arial" w:eastAsia="Arial" w:hAnsi="Arial"/>
          <w:sz w:val="22"/>
          <w:szCs w:val="22"/>
        </w:rPr>
        <w:t xml:space="preserve">Strong research idea — citation faithfulness verification for scientific content is genuinely underexplored</w:t>
      </w:r>
    </w:p>
    <w:p>
      <w:pPr>
        <w:pStyle w:val="ListParagraph"/>
        <w:numPr>
          <w:ilvl w:val="0"/>
          <w:numId w:val="2"/>
        </w:numPr>
        <w:spacing w:before="60" w:after="60"/>
      </w:pPr>
      <w:r>
        <w:rPr>
          <w:rFonts w:ascii="Arial" w:cs="Arial" w:eastAsia="Arial" w:hAnsi="Arial"/>
          <w:sz w:val="22"/>
          <w:szCs w:val="22"/>
        </w:rPr>
        <w:t xml:space="preserve">Must clearly differentiate from Asai et al. 2023 — reviewers will know the original Self-RAG paper</w:t>
      </w:r>
    </w:p>
    <w:p>
      <w:pPr>
        <w:pStyle w:val="ListParagraph"/>
        <w:numPr>
          <w:ilvl w:val="0"/>
          <w:numId w:val="2"/>
        </w:numPr>
        <w:spacing w:before="60" w:after="60"/>
      </w:pPr>
      <w:r>
        <w:rPr>
          <w:rFonts w:ascii="Arial" w:cs="Arial" w:eastAsia="Arial" w:hAnsi="Arial"/>
          <w:sz w:val="22"/>
          <w:szCs w:val="22"/>
        </w:rPr>
        <w:t xml:space="preserve">ACL and NAACL are high-bar venues; EMNLP Findings is more realistic for a 3-month timeline</w:t>
      </w:r>
    </w:p>
    <w:p>
      <w:pPr>
        <w:pStyle w:val="ListParagraph"/>
        <w:numPr>
          <w:ilvl w:val="0"/>
          <w:numId w:val="2"/>
        </w:numPr>
        <w:spacing w:before="60" w:after="60"/>
      </w:pPr>
      <w:r>
        <w:rPr>
          <w:rFonts w:ascii="Arial" w:cs="Arial" w:eastAsia="Arial" w:hAnsi="Arial"/>
          <w:sz w:val="22"/>
          <w:szCs w:val="22"/>
        </w:rPr>
        <w:t xml:space="preserve">The citation verifier component is your strongest novelty — focus the paper around that</w:t>
      </w:r>
    </w:p>
    <w:p>
      <w:pPr>
        <w:pStyle w:val="ListParagraph"/>
        <w:numPr>
          <w:ilvl w:val="0"/>
          <w:numId w:val="2"/>
        </w:numPr>
        <w:spacing w:before="60" w:after="60"/>
      </w:pPr>
      <w:r>
        <w:rPr>
          <w:rFonts w:ascii="Arial" w:cs="Arial" w:eastAsia="Arial" w:hAnsi="Arial"/>
          <w:sz w:val="22"/>
          <w:szCs w:val="22"/>
        </w:rPr>
        <w:t xml:space="preserve">Feasible in 3–4 months if the differentiation from original Self-RAG is clear from day one</w:t>
      </w:r>
    </w:p>
    <w:p>
      <w:pPr>
        <w:spacing w:before="80" w:after="80"/>
      </w:pPr>
    </w:p>
    <w:p>
      <w:r>
        <w:br w:type="page"/>
      </w:r>
    </w:p>
    <w:p>
      <w:pPr>
        <w:pStyle w:val="Heading1"/>
        <w:spacing w:before="360" w:after="120"/>
      </w:pPr>
      <w:r>
        <w:rPr>
          <w:rFonts w:ascii="Arial" w:cs="Arial" w:eastAsia="Arial" w:hAnsi="Arial"/>
          <w:b/>
          <w:bCs/>
          <w:color w:val="1F4E79"/>
          <w:sz w:val="36"/>
          <w:szCs w:val="36"/>
        </w:rPr>
        <w:t xml:space="preserve">Final Recommendation — Given Your 3-Month Deadline</w:t>
      </w:r>
    </w:p>
    <w:p>
      <w:pPr>
        <w:pBdr>
          <w:bottom w:val="single" w:color="2E75B6" w:sz="6" w:space="1"/>
        </w:pBdr>
        <w:spacing w:before="120" w:after="120"/>
      </w:pPr>
    </w:p>
    <w:p>
      <w:pPr>
        <w:spacing w:before="80" w:after="80"/>
      </w:pPr>
    </w:p>
    <w:p>
      <w:pPr>
        <w:pStyle w:val="Heading2"/>
        <w:spacing w:before="280" w:after="100"/>
      </w:pPr>
      <w:r>
        <w:rPr>
          <w:rFonts w:ascii="Arial" w:cs="Arial" w:eastAsia="Arial" w:hAnsi="Arial"/>
          <w:b/>
          <w:bCs/>
          <w:color w:val="2E75B6"/>
          <w:sz w:val="28"/>
          <w:szCs w:val="28"/>
        </w:rPr>
        <w:t xml:space="preserve">If You Can Only Pick One: Go With Option 2</w:t>
      </w:r>
    </w:p>
    <w:p>
      <w:pPr>
        <w:spacing w:before="80" w:after="80"/>
      </w:pPr>
      <w:r>
        <w:rPr>
          <w:rFonts w:ascii="Arial" w:cs="Arial" w:eastAsia="Arial" w:hAnsi="Arial"/>
          <w:sz w:val="22"/>
          <w:szCs w:val="22"/>
        </w:rPr>
        <w:t xml:space="preserve">Section-Aware Hierarchical Summarization is your safest and fastest path to a submitted paper in 3 months. The pipeline already exists in your repo. The datasets are public. The benchmarks are well-defined. The evaluation protocol is established. You can begin experiments on day one without any data collection, dataset scraping, or new architecture design. This is the difference between 2.5 months and 5 months.</w:t>
      </w:r>
    </w:p>
    <w:p>
      <w:pPr>
        <w:spacing w:before="80" w:after="80"/>
      </w:pPr>
    </w:p>
    <w:p>
      <w:pPr>
        <w:pStyle w:val="Heading2"/>
        <w:spacing w:before="280" w:after="100"/>
      </w:pPr>
      <w:r>
        <w:rPr>
          <w:rFonts w:ascii="Arial" w:cs="Arial" w:eastAsia="Arial" w:hAnsi="Arial"/>
          <w:b/>
          <w:bCs/>
          <w:color w:val="2E75B6"/>
          <w:sz w:val="28"/>
          <w:szCs w:val="28"/>
        </w:rPr>
        <w:t xml:space="preserve">If You Want Higher Novelty: Combine Options 4 + 6</w:t>
      </w:r>
    </w:p>
    <w:p>
      <w:pPr>
        <w:spacing w:before="80" w:after="80"/>
      </w:pPr>
      <w:r>
        <w:rPr>
          <w:rFonts w:ascii="Arial" w:cs="Arial" w:eastAsia="Arial" w:hAnsi="Arial"/>
          <w:sz w:val="22"/>
          <w:szCs w:val="22"/>
        </w:rPr>
        <w:t xml:space="preserve">Build HA-RAG (Option 4) as the foundation and add Self-Reflective mechanisms (Option 6) on top — specifically the Citation Faithfulness Verifier as your unique contribution. This gives you a single paper that is more novel than either alone. Title it something like: "Adaptive Hierarchical RAG with Self-Reflective Citation Verification for Scientific Research Platforms." Timeline: 3.5–4 months with focused execution.</w:t>
      </w:r>
    </w:p>
    <w:p>
      <w:pPr>
        <w:spacing w:before="80" w:after="80"/>
      </w:pPr>
    </w:p>
    <w:p>
      <w:pPr>
        <w:pStyle w:val="Heading2"/>
        <w:spacing w:before="280" w:after="100"/>
      </w:pPr>
      <w:r>
        <w:rPr>
          <w:rFonts w:ascii="Arial" w:cs="Arial" w:eastAsia="Arial" w:hAnsi="Arial"/>
          <w:b/>
          <w:bCs/>
          <w:color w:val="2E75B6"/>
          <w:sz w:val="28"/>
          <w:szCs w:val="28"/>
        </w:rPr>
        <w:t xml:space="preserve">What NOT to Do Right Now</w:t>
      </w:r>
    </w:p>
    <w:p>
      <w:pPr>
        <w:pStyle w:val="ListParagraph"/>
        <w:numPr>
          <w:ilvl w:val="0"/>
          <w:numId w:val="2"/>
        </w:numPr>
        <w:spacing w:before="60" w:after="60"/>
      </w:pPr>
      <w:r>
        <w:rPr>
          <w:rFonts w:ascii="Arial" w:cs="Arial" w:eastAsia="Arial" w:hAnsi="Arial"/>
          <w:sz w:val="22"/>
          <w:szCs w:val="22"/>
        </w:rPr>
        <w:t xml:space="preserve">Do not start Option 3 — the annotation bottleneck and potential IRB requirements make 3 months impossible</w:t>
      </w:r>
    </w:p>
    <w:p>
      <w:pPr>
        <w:pStyle w:val="ListParagraph"/>
        <w:numPr>
          <w:ilvl w:val="0"/>
          <w:numId w:val="2"/>
        </w:numPr>
        <w:spacing w:before="60" w:after="60"/>
      </w:pPr>
      <w:r>
        <w:rPr>
          <w:rFonts w:ascii="Arial" w:cs="Arial" w:eastAsia="Arial" w:hAnsi="Arial"/>
          <w:sz w:val="22"/>
          <w:szCs w:val="22"/>
        </w:rPr>
        <w:t xml:space="preserve">Do not start Option 5 alone — multi-agent evaluation rigor takes time you don't have</w:t>
      </w:r>
    </w:p>
    <w:p>
      <w:pPr>
        <w:pStyle w:val="ListParagraph"/>
        <w:numPr>
          <w:ilvl w:val="0"/>
          <w:numId w:val="2"/>
        </w:numPr>
        <w:spacing w:before="60" w:after="60"/>
      </w:pPr>
      <w:r>
        <w:rPr>
          <w:rFonts w:ascii="Arial" w:cs="Arial" w:eastAsia="Arial" w:hAnsi="Arial"/>
          <w:sz w:val="22"/>
          <w:szCs w:val="22"/>
        </w:rPr>
        <w:t xml:space="preserve">Do not start Option 1 — dataset scraping and construction will consume your entire first 6 weeks</w:t>
      </w:r>
    </w:p>
    <w:p>
      <w:pPr>
        <w:spacing w:before="80" w:after="80"/>
      </w:pPr>
    </w:p>
    <w:p>
      <w:pPr>
        <w:pStyle w:val="Heading2"/>
        <w:spacing w:before="280" w:after="100"/>
      </w:pPr>
      <w:r>
        <w:rPr>
          <w:rFonts w:ascii="Arial" w:cs="Arial" w:eastAsia="Arial" w:hAnsi="Arial"/>
          <w:b/>
          <w:bCs/>
          <w:color w:val="2E75B6"/>
          <w:sz w:val="28"/>
          <w:szCs w:val="28"/>
        </w:rPr>
        <w:t xml:space="preserve">3-Month Execution Timeline (Option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60"/>
      </w:tblGrid>
      <w:tr>
        <w:tc>
          <w:tcPr>
            <w:tcW w:type="dxa" w:w="7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Week</w:t>
            </w:r>
          </w:p>
        </w:tc>
        <w:tc>
          <w:tcPr>
            <w:tcW w:type="dxa" w:w="4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What You Do</w:t>
            </w:r>
          </w:p>
        </w:tc>
        <w:tc>
          <w:tcPr>
            <w:tcW w:type="dxa" w:w="41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Deliverable</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1–2</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Set up section classifier (SciBERT fine-tune on labeled section data)</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Working section labeler</w:t>
            </w:r>
          </w:p>
        </w:tc>
      </w:tr>
      <w:tr>
        <w:tc>
          <w:tcPr>
            <w:tcW w:type="dxa" w:w="7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3–4</w:t>
            </w:r>
          </w:p>
        </w:tc>
        <w:tc>
          <w:tcPr>
            <w:tcW w:type="dxa" w:w="45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Build adaptive weighting layer, integrate with existing pipeline</w:t>
            </w:r>
          </w:p>
        </w:tc>
        <w:tc>
          <w:tcPr>
            <w:tcW w:type="dxa" w:w="41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Updated pipeline end-to-end</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5</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Download arXiv + PubMed datasets, set up evaluation harness (ROUGE, BERTScore)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Evaluation infrastructure</w:t>
            </w:r>
          </w:p>
        </w:tc>
      </w:tr>
      <w:tr>
        <w:tc>
          <w:tcPr>
            <w:tcW w:type="dxa" w:w="7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6–7</w:t>
            </w:r>
          </w:p>
        </w:tc>
        <w:tc>
          <w:tcPr>
            <w:tcW w:type="dxa" w:w="45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Run all baselines: BART, LED, BigBird-Pegasus, PRIMERA</w:t>
            </w:r>
          </w:p>
        </w:tc>
        <w:tc>
          <w:tcPr>
            <w:tcW w:type="dxa" w:w="41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Baseline results table</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8–9</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Run ablation studies: no weights vs. fixed weights vs. adaptive weights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Ablation results</w:t>
            </w:r>
          </w:p>
        </w:tc>
      </w:tr>
      <w:tr>
        <w:tc>
          <w:tcPr>
            <w:tcW w:type="dxa" w:w="7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10</w:t>
            </w:r>
          </w:p>
        </w:tc>
        <w:tc>
          <w:tcPr>
            <w:tcW w:type="dxa" w:w="45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Human evaluation — 3 annotators, faithfulness + relevance + conciseness scoring</w:t>
            </w:r>
          </w:p>
        </w:tc>
        <w:tc>
          <w:tcPr>
            <w:tcW w:type="dxa" w:w="41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Human eval results</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11–12</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Write paper: intro, related work, methodology, experiments, conclusion</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Draft paper ready to submit</w:t>
            </w:r>
          </w:p>
        </w:tc>
      </w:tr>
    </w:tbl>
    <w:p>
      <w:pPr>
        <w:spacing w:before="80" w:after="80"/>
      </w:pPr>
    </w:p>
    <w:p>
      <w:pPr>
        <w:spacing w:before="200" w:after="200"/>
        <w:jc w:val="center"/>
      </w:pPr>
      <w:r>
        <w:rPr>
          <w:rFonts w:ascii="Arial" w:cs="Arial" w:eastAsia="Arial" w:hAnsi="Arial"/>
          <w:b/>
          <w:bCs/>
          <w:i/>
          <w:iCs/>
          <w:color w:val="1F4E79"/>
          <w:sz w:val="24"/>
          <w:szCs w:val="24"/>
        </w:rPr>
        <w:t xml:space="preserve">The best paper is the one you actually submit. Pick the option you can execute completely in your timeline.</w:t>
      </w:r>
    </w:p>
    <w:p>
      <w:pPr>
        <w:pBdr>
          <w:bottom w:val="single" w:color="2E75B6" w:sz="6" w:space="1"/>
        </w:pBdr>
        <w:spacing w:before="120" w:after="120"/>
      </w:pPr>
    </w:p>
    <w:p>
      <w:pPr>
        <w:spacing w:before="80" w:after="80"/>
        <w:jc w:val="center"/>
      </w:pPr>
      <w:r>
        <w:rPr>
          <w:rFonts w:ascii="Arial" w:cs="Arial" w:eastAsia="Arial" w:hAnsi="Arial"/>
          <w:color w:val="595959"/>
          <w:sz w:val="18"/>
          <w:szCs w:val="18"/>
        </w:rPr>
        <w:t xml:space="preserve">Advanced Orravyn Research Platform  |  sairam3824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2026-02-28T04:22:58.771Z</dcterms:created>
  <dcterms:modified xsi:type="dcterms:W3CDTF">2026-02-28T04:22:58.771Z</dcterms:modified>
</cp:coreProperties>
</file>

<file path=docProps/custom.xml><?xml version="1.0" encoding="utf-8"?>
<Properties xmlns="http://schemas.openxmlformats.org/officeDocument/2006/custom-properties" xmlns:vt="http://schemas.openxmlformats.org/officeDocument/2006/docPropsVTypes"/>
</file>