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Hire Onboarding</w:t>
      </w:r>
    </w:p>
    <w:p>
      <w:pPr>
        <w:pStyle w:val="Heading2"/>
      </w:pPr>
      <w:r>
        <w:t>First Day Checklist</w:t>
      </w:r>
    </w:p>
    <w:p>
      <w:r>
        <w:t>New hires complete IT equipment setup, badge photo, and payroll enrollment on their first day. A laptop is shipped to arrive no later than 2 business days before the start date.</w:t>
      </w:r>
    </w:p>
    <w:p>
      <w:pPr>
        <w:pStyle w:val="Heading2"/>
      </w:pPr>
      <w:r>
        <w:t>Benefits Enrollment</w:t>
      </w:r>
    </w:p>
    <w:p>
      <w:r>
        <w:t>New employees have 30 days from their start date to enroll in health, dental, and vision insurance. Enrollment after the 30-day window requires a qualifying life event.</w:t>
      </w:r>
    </w:p>
    <w:p>
      <w:pPr>
        <w:pStyle w:val="Heading2"/>
      </w:pPr>
      <w:r>
        <w:t>IT Access</w:t>
      </w:r>
    </w:p>
    <w:p>
      <w:r>
        <w:t>Engineering new hires receive access to the internal wiki, source control, and staging environment on day one. Production access is granted after completing the security training module, typically within the first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