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a8fc5e4018f4ec2" /><Relationship Type="http://schemas.openxmlformats.org/package/2006/relationships/metadata/core-properties" Target="/docProps/core.xml" Id="R9b7a8322cb334865" /><Relationship Type="http://schemas.openxmlformats.org/officeDocument/2006/relationships/extended-properties" Target="/docProps/app.xml" Id="R16496ba982ac4db1" /><Relationship Type="http://schemas.openxmlformats.org/officeDocument/2006/relationships/custom-properties" Target="/docProps/custom.xml" Id="Rd3c566d4aa6b4f0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Ride-Hailing Growth, Customer Retention &amp; Operational Analytics</w:t>
      </w:r>
    </w:p>
    <w:p w14:paraId="00100002" w14:textId="00100003">
      <w:pPr>
        <w:pStyle w:val="Subtitle"/>
        <w:spacing w:after="160"/>
        <w:jc w:val="center"/>
      </w:pPr>
      <w:r>
        <w:rPr>
          <w:sz w:val="32"/>
        </w:rPr>
        <w:t xml:space="preserve">Uber Data India — NCR Ride Bookings 2024</w:t>
      </w:r>
    </w:p>
    <w:p w14:paraId="00100004" w14:textId="00100005">
      <w:pPr>
        <w:spacing w:after="120"/>
        <w:jc w:val="center"/>
      </w:pPr>
      <w:r>
        <w:rPr>
          <w:sz w:val="22"/>
        </w:rPr>
        <w:t xml:space="preserve">Dataset: Data/ncr_ride_bookings.csv  |  150,000 bookings  |  Jan–Dec 2024</w:t>
      </w:r>
    </w:p>
    <w:p w14:paraId="00100006" w14:textId="00100007">
      <w:pPr>
        <w:spacing w:after="480"/>
        <w:jc w:val="center"/>
      </w:pPr>
      <w:r>
        <w:rPr>
          <w:sz w:val="22"/>
        </w:rPr>
        <w:t xml:space="preserve">Analytics Tiers: Descriptive · Diagnostic · Predictive · Prescriptive</w:t>
      </w:r>
    </w:p>
    <w:p w14:paraId="00100008" w14:textId="00100009">
      <w:pPr>
        <w:pStyle w:val="Heading1"/>
        <w:spacing w:after="160"/>
      </w:pPr>
      <w:r>
        <w:rPr>
          <w:b/>
          <w:sz w:val="36"/>
        </w:rPr>
        <w:t xml:space="preserve">1. Executive Summary</w:t>
      </w:r>
    </w:p>
    <w:p w14:paraId="0010000A" w14:textId="0010000B">
      <w:pPr>
        <w:spacing w:after="120"/>
      </w:pPr>
      <w:r>
        <w:rPr>
          <w:sz w:val="22"/>
        </w:rPr>
        <w:t xml:space="preserve">This report presents a comprehensive four-tier analytics study of 150,000 NCR ride-booking transactions recorded throughout 2024. Key findings are summarised below:</w:t>
      </w:r>
    </w:p>
    <w:p w14:paraId="0010000C" w14:textId="0010000D">
      <w:pPr>
        <w:numPr>
          <w:ilvl w:val="0"/>
          <w:numId w:val="1"/>
        </w:numPr>
        <w:spacing w:after="80"/>
      </w:pPr>
      <w:r>
        <w:rPr>
          <w:sz w:val="22"/>
        </w:rPr>
        <w:t xml:space="preserve">• Completion rate: 62.0% of bookings resulted in a completed ride; 18.0% were cancelled by drivers, 7.0% by customers, and 7.0% received no driver.</w:t>
      </w:r>
    </w:p>
    <w:p w14:paraId="0010000E" w14:textId="0010000F">
      <w:pPr>
        <w:numPr>
          <w:ilvl w:val="0"/>
          <w:numId w:val="1"/>
        </w:numPr>
        <w:spacing w:after="80"/>
      </w:pPr>
      <w:r>
        <w:rPr>
          <w:sz w:val="22"/>
        </w:rPr>
        <w:t xml:space="preserve">• Auto is the highest-volume vehicle type (37,419 bookings); Uber XL has the smallest share (4,449 bookings).</w:t>
      </w:r>
    </w:p>
    <w:p w14:paraId="00100010" w14:textId="00100011">
      <w:pPr>
        <w:numPr>
          <w:ilvl w:val="0"/>
          <w:numId w:val="1"/>
        </w:numPr>
        <w:spacing w:after="80"/>
      </w:pPr>
      <w:r>
        <w:rPr>
          <w:sz w:val="22"/>
        </w:rPr>
        <w:t xml:space="preserve">• UPI is the dominant payment method (45,909 of completed rides, ~45%); cash accounts for ~25%.</w:t>
      </w:r>
    </w:p>
    <w:p w14:paraId="00100012" w14:textId="00100013">
      <w:pPr>
        <w:numPr>
          <w:ilvl w:val="0"/>
          <w:numId w:val="1"/>
        </w:numPr>
        <w:spacing w:after="80"/>
      </w:pPr>
      <w:r>
        <w:rPr>
          <w:sz w:val="22"/>
        </w:rPr>
        <w:t xml:space="preserve">• Median Avg VTAT (vehicle arrival time) is 8.3 minutes; high VTAT is positively associated with customer cancellations.</w:t>
      </w:r>
    </w:p>
    <w:p w14:paraId="00100014" w14:textId="00100015">
      <w:pPr>
        <w:numPr>
          <w:ilvl w:val="0"/>
          <w:numId w:val="1"/>
        </w:numPr>
        <w:spacing w:after="80"/>
      </w:pPr>
      <w:r>
        <w:rPr>
          <w:sz w:val="22"/>
        </w:rPr>
        <w:t xml:space="preserve">• Customer retention is very low — most customers appear only once in 2024, representing a high single-use pattern and a significant retention opportunity.</w:t>
      </w:r>
    </w:p>
    <w:p w14:paraId="00100016" w14:textId="00100017">
      <w:pPr>
        <w:numPr>
          <w:ilvl w:val="0"/>
          <w:numId w:val="1"/>
        </w:numPr>
        <w:spacing w:after="80"/>
      </w:pPr>
      <w:r>
        <w:rPr>
          <w:sz w:val="22"/>
        </w:rPr>
        <w:t xml:space="preserve">• Machine learning models (Logistic Regression and Random Forest) predict booking completion using only pre-trip features with full leakage prevention. Fare estimation achieves good accuracy for completed rides.</w:t>
      </w:r>
    </w:p>
    <w:p w14:paraId="00100018" w14:textId="00100019">
      <w:pPr>
        <w:numPr>
          <w:ilvl w:val="0"/>
          <w:numId w:val="1"/>
        </w:numPr>
        <w:spacing w:after="240"/>
      </w:pPr>
      <w:r>
        <w:rPr>
          <w:sz w:val="22"/>
        </w:rPr>
        <w:t xml:space="preserve">• Prescriptive scenarios identify supply gaps, cancellation reduction levers, and retention interventions with quantified GBV uplift estimates.</w:t>
      </w:r>
    </w:p>
    <w:p w14:paraId="0010001A" w14:textId="0010001B">
      <w:pPr>
        <w:pStyle w:val="Heading1"/>
        <w:spacing w:after="160"/>
      </w:pPr>
      <w:r>
        <w:rPr>
          <w:b/>
          <w:sz w:val="36"/>
        </w:rPr>
        <w:t xml:space="preserve">2. Dataset Overview</w:t>
      </w:r>
    </w:p>
    <w:p w14:paraId="0010001C" w14:textId="0010001D">
      <w:pPr>
        <w:pStyle w:val="Heading2"/>
        <w:spacing w:after="120"/>
      </w:pPr>
      <w:r>
        <w:rPr>
          <w:b/>
          <w:sz w:val="28"/>
        </w:rPr>
        <w:t xml:space="preserve">2.1 Source &amp; Dimensions</w:t>
      </w:r>
    </w:p>
    <w:p w14:paraId="0010001E" w14:textId="0010001F">
      <w:pPr>
        <w:spacing w:after="120"/>
      </w:pPr>
      <w:r>
        <w:rPr>
          <w:sz w:val="22"/>
        </w:rPr>
        <w:t xml:space="preserve">File: Data/ncr_ride_bookings.csv (read-only; never modified). The dataset contains 150,000 rows and 21 columns covering ride bookings across the National Capital Region (NCR) from 2024-01-01 to 2024-12-30.</w:t>
      </w:r>
    </w:p>
    <w:p w14:paraId="00100020" w14:textId="00100021">
      <w:pPr>
        <w:pStyle w:val="Heading2"/>
        <w:spacing w:after="120"/>
      </w:pPr>
      <w:r>
        <w:rPr>
          <w:b/>
          <w:sz w:val="28"/>
        </w:rPr>
        <w:t xml:space="preserve">2.2 Key Columns</w:t>
      </w:r>
    </w:p>
    <w:p w14:paraId="00100022" w14:textId="00100023">
      <w:pPr>
        <w:spacing w:after="120"/>
      </w:pPr>
      <w:r>
        <w:rPr>
          <w:sz w:val="22"/>
        </w:rPr>
        <w:t xml:space="preserve">Date &amp; Time, Booking ID, Customer ID, Booking Status (5 categories), Vehicle Type (7 types), Pickup/Drop Location (176 unique each), Avg VTAT (minutes), Avg CTAT (minutes), Cancellation fields, Booking Value (INR), Ride Distance (km), Driver &amp; Customer Ratings, Payment Method.</w:t>
      </w:r>
    </w:p>
    <w:p w14:paraId="00100024" w14:textId="00100025">
      <w:pPr>
        <w:pStyle w:val="Heading2"/>
        <w:spacing w:after="120"/>
      </w:pPr>
      <w:r>
        <w:rPr>
          <w:b/>
          <w:sz w:val="28"/>
        </w:rPr>
        <w:t xml:space="preserve">2.3 Observed Distributions</w:t>
      </w:r>
    </w:p>
    <w:p w14:paraId="00100026" w14:textId="00100027">
      <w:pPr>
        <w:spacing w:after="120"/>
      </w:pPr>
      <w:r>
        <w:rPr>
          <w:sz w:val="22"/>
        </w:rPr>
        <w:t xml:space="preserve">All numeric ranges are data-derived, not assumed. Avg VTAT: 2–20 min (median 8.3 min). Avg CTAT: 10–45 min (median 28.8 min). Booking Value: ₹50–₹4,277 (median ₹414). Ride Distance: 1–50 km (median 23.7 km). Ratings: 3.0–5.0 (driver mean 4.23, customer mean 4.40).</w:t>
      </w:r>
    </w:p>
    <w:p w14:paraId="00100028" w14:textId="00100029">
      <w:pPr>
        <w:pStyle w:val="Heading2"/>
        <w:spacing w:after="120"/>
      </w:pPr>
      <w:r>
        <w:rPr>
          <w:b/>
          <w:sz w:val="28"/>
        </w:rPr>
        <w:t xml:space="preserve">2.4 Data Quality Findings</w:t>
      </w:r>
    </w:p>
    <w:p w14:paraId="0010002A" w14:textId="0010002B">
      <w:pPr>
        <w:spacing w:after="240"/>
      </w:pPr>
      <w:r>
        <w:rPr>
          <w:sz w:val="22"/>
        </w:rPr>
        <w:t xml:space="preserve">Booking ID and Customer ID were triple-quoted (e.g., """CNR1234567""") and required stripping. String 'null' was used instead of true null values (~48,000–57,000 fields depending on column). Nulls in post-outcome fields (Booking Value, Ride Distance, Payment Method, Ratings) are structural — they are null by design for non-completed rides and were not imputed.</w:t>
      </w:r>
    </w:p>
    <w:p w14:paraId="0010002C" w14:textId="0010002D">
      <w:pPr>
        <w:pStyle w:val="Heading1"/>
        <w:spacing w:after="160"/>
      </w:pPr>
      <w:r>
        <w:rPr>
          <w:b/>
          <w:sz w:val="36"/>
        </w:rPr>
        <w:t xml:space="preserve">3. Methodology</w:t>
      </w:r>
    </w:p>
    <w:p w14:paraId="0010002E" w14:textId="0010002F">
      <w:pPr>
        <w:pStyle w:val="Heading2"/>
        <w:spacing w:after="120"/>
      </w:pPr>
      <w:r>
        <w:rPr>
          <w:b/>
          <w:sz w:val="28"/>
        </w:rPr>
        <w:t xml:space="preserve">3.1 Analytics Ladder</w:t>
      </w:r>
    </w:p>
    <w:p w14:paraId="00100030" w14:textId="00100031">
      <w:pPr>
        <w:spacing w:after="120"/>
      </w:pPr>
      <w:r>
        <w:rPr>
          <w:sz w:val="22"/>
        </w:rPr>
        <w:t xml:space="preserve">Tier 1 — Descriptive (Notebooks 03, 07–09): What happened? Volume, revenue, ratings, location, time patterns. Tier 2 — Diagnostic (Notebooks 04–06, 10): Why did it happen? Cancellation causes, VTAT drivers, rating correlations, cohort retention. Tier 3 — Predictive (Notebook 11): What will happen? Completion probability and fare estimation using ML. Tier 4 — Prescriptive (Notebook 12): What should we do? Scenario-based recommendations with estimated GBV impact.</w:t>
      </w:r>
    </w:p>
    <w:p w14:paraId="00100032" w14:textId="00100033">
      <w:pPr>
        <w:pStyle w:val="Heading2"/>
        <w:spacing w:after="120"/>
      </w:pPr>
      <w:r>
        <w:rPr>
          <w:b/>
          <w:sz w:val="28"/>
        </w:rPr>
        <w:t xml:space="preserve">3.2 Leakage Prevention</w:t>
      </w:r>
    </w:p>
    <w:p w14:paraId="00100034" w14:textId="00100035">
      <w:pPr>
        <w:spacing w:after="240"/>
      </w:pPr>
      <w:r>
        <w:rPr>
          <w:sz w:val="22"/>
        </w:rPr>
        <w:t xml:space="preserve">All post-outcome columns (Booking Value, Ride Distance, Driver/Customer Ratings, Payment Method, cancellation flags and reasons) are strictly excluded from the ML feature matrix. Customer history features use time-sorted rolling computation (only strictly prior bookings). Target encoding for location columns is fitted on the training set only. Train/test split is time-based (train ≤ Sep 2024, test ≥ Oct 2024) — no random splits.</w:t>
      </w:r>
    </w:p>
    <w:p w14:paraId="00100036" w14:textId="00100037">
      <w:pPr>
        <w:pStyle w:val="Heading1"/>
        <w:spacing w:after="160"/>
      </w:pPr>
      <w:r>
        <w:rPr>
          <w:b/>
          <w:sz w:val="36"/>
        </w:rPr>
        <w:t xml:space="preserve">4. Descriptive Analytics</w:t>
      </w:r>
    </w:p>
    <w:p w14:paraId="00100038" w14:textId="00100039">
      <w:pPr>
        <w:pStyle w:val="Heading2"/>
        <w:spacing w:after="120"/>
      </w:pPr>
      <w:r>
        <w:rPr>
          <w:b/>
          <w:sz w:val="28"/>
        </w:rPr>
        <w:t xml:space="preserve">4.1 Booking Status</w:t>
      </w:r>
    </w:p>
    <w:p w14:paraId="0010003A" w14:textId="0010003B">
      <w:pPr>
        <w:spacing w:after="120"/>
      </w:pPr>
      <w:r>
        <w:rPr>
          <w:sz w:val="22"/>
        </w:rPr>
        <w:t xml:space="preserve">Of 150,000 bookings: 93,000 Completed (62.0%), 27,000 Cancelled by Driver (18.0%), 10,500 Cancelled by Customer (7.0%), 10,500 No Driver Found (7.0%), 9,000 Incomplete (6.0%).</w:t>
      </w:r>
    </w:p>
    <w:p w14:paraId="0010003C" w14:textId="0010003D">
      <w:pPr>
        <w:pStyle w:val="Heading2"/>
        <w:spacing w:after="120"/>
      </w:pPr>
      <w:r>
        <w:rPr>
          <w:b/>
          <w:sz w:val="28"/>
        </w:rPr>
        <w:t xml:space="preserve">4.2 Gross Booking Value</w:t>
      </w:r>
    </w:p>
    <w:p w14:paraId="0010003E" w14:textId="0010003F">
      <w:pPr>
        <w:spacing w:after="120"/>
      </w:pPr>
      <w:r>
        <w:rPr>
          <w:sz w:val="22"/>
        </w:rPr>
        <w:t xml:space="preserve">All revenue figures represent Gross Booking Value (GBV) — the fare paid by the customer. Net revenue, driver payout, commission, and margin are unavailable (no cost fields in dataset). Booking Value ranges from ₹50 to ₹4,277 with a median of ₹414 and mean of ₹508 across completed rides.</w:t>
      </w:r>
    </w:p>
    <w:p w14:paraId="00100040" w14:textId="00100041">
      <w:pPr>
        <w:pStyle w:val="Heading2"/>
        <w:spacing w:after="120"/>
      </w:pPr>
      <w:r>
        <w:rPr>
          <w:b/>
          <w:sz w:val="28"/>
        </w:rPr>
        <w:t xml:space="preserve">4.3 Vehicle Type Performance</w:t>
      </w:r>
    </w:p>
    <w:p w14:paraId="00100042" w14:textId="00100043">
      <w:pPr>
        <w:spacing w:after="240"/>
      </w:pPr>
      <w:r>
        <w:rPr>
          <w:sz w:val="22"/>
        </w:rPr>
        <w:t xml:space="preserve">Auto leads in volume (37,419 bookings) followed by Go Mini (29,806) and Go Sedan (27,141). All vehicle types show completion rates in the 60–65% range. Avg VTAT varies by vehicle type, providing an indicator of supply responsiveness. Full vehicle diagnostics are in Notebook 08 and outputs/reports/vehicle_service_quality.csv.</w:t>
      </w:r>
    </w:p>
    <w:p w14:paraId="00100044" w14:textId="00100045">
      <w:pPr>
        <w:pStyle w:val="Heading1"/>
        <w:spacing w:after="160"/>
      </w:pPr>
      <w:r>
        <w:rPr>
          <w:b/>
          <w:sz w:val="36"/>
        </w:rPr>
        <w:t xml:space="preserve">5. Diagnostic Analytics</w:t>
      </w:r>
    </w:p>
    <w:p w14:paraId="00100046" w14:textId="00100047">
      <w:pPr>
        <w:pStyle w:val="Heading2"/>
        <w:spacing w:after="120"/>
      </w:pPr>
      <w:r>
        <w:rPr>
          <w:b/>
          <w:sz w:val="28"/>
        </w:rPr>
        <w:t xml:space="preserve">5.1 Cancellation Root Causes</w:t>
      </w:r>
    </w:p>
    <w:p w14:paraId="00100048" w14:textId="00100049">
      <w:pPr>
        <w:spacing w:after="120"/>
      </w:pPr>
      <w:r>
        <w:rPr>
          <w:sz w:val="22"/>
        </w:rPr>
        <w:t xml:space="preserve">Customer cancellation top reasons: Wrong Address, Change of plans, Driver not moving toward pickup, Driver asked to cancel, AC not working. Driver cancellation top reasons: Customer-related issue, Customer coughing/sick, Personal &amp; car-related issues, More than permitted passengers. High Avg VTAT is positively associated with customer cancellation — rides with VTAT in the top quartile show higher customer cancellation rates.</w:t>
      </w:r>
    </w:p>
    <w:p w14:paraId="0010004A" w14:textId="0010004B">
      <w:pPr>
        <w:pStyle w:val="Heading2"/>
        <w:spacing w:after="120"/>
      </w:pPr>
      <w:r>
        <w:rPr>
          <w:b/>
          <w:sz w:val="28"/>
        </w:rPr>
        <w:t xml:space="preserve">5.2 VTAT / CTAT Analysis</w:t>
      </w:r>
    </w:p>
    <w:p w14:paraId="0010004C" w14:textId="0010004D">
      <w:pPr>
        <w:spacing w:after="240"/>
      </w:pPr>
      <w:r>
        <w:rPr>
          <w:sz w:val="22"/>
        </w:rPr>
        <w:t xml:space="preserve">Avg VTAT (vehicle arrival time to pickup) has a median of 8.3 min and ranges 2–20 min. Avg CTAT (customer time to accept) has a median of 28.8 min and ranges 10–45 min. VTAT is null only for 'No Driver Found' bookings; CTAT is null for all non-dispatched statuses.</w:t>
      </w:r>
    </w:p>
    <w:p w14:paraId="0010004E" w14:textId="0010004F">
      <w:pPr>
        <w:pStyle w:val="Heading1"/>
        <w:spacing w:after="160"/>
      </w:pPr>
      <w:r>
        <w:rPr>
          <w:b/>
          <w:sz w:val="36"/>
        </w:rPr>
        <w:t xml:space="preserve">6. Customer Analytics</w:t>
      </w:r>
    </w:p>
    <w:p w14:paraId="00100050" w14:textId="00100051">
      <w:pPr>
        <w:pStyle w:val="Heading2"/>
        <w:spacing w:after="120"/>
      </w:pPr>
      <w:r>
        <w:rPr>
          <w:b/>
          <w:sz w:val="28"/>
        </w:rPr>
        <w:t xml:space="preserve">6.1 Repeat Usage</w:t>
      </w:r>
    </w:p>
    <w:p w14:paraId="00100052" w14:textId="00100053">
      <w:pPr>
        <w:spacing w:after="120"/>
      </w:pPr>
      <w:r>
        <w:rPr>
          <w:sz w:val="22"/>
        </w:rPr>
        <w:t xml:space="preserve">148,788 unique Customer IDs across 150,000 bookings indicates that most customers appear only once in 2024. This is treated as a real finding — high single-use / low-return behaviour — not a data deficiency.</w:t>
      </w:r>
    </w:p>
    <w:p w14:paraId="00100054" w14:textId="00100055">
      <w:pPr>
        <w:pStyle w:val="Heading2"/>
        <w:spacing w:after="120"/>
      </w:pPr>
      <w:r>
        <w:rPr>
          <w:b/>
          <w:sz w:val="28"/>
        </w:rPr>
        <w:t xml:space="preserve">6.2 RFM Segmentation</w:t>
      </w:r>
    </w:p>
    <w:p w14:paraId="00100056" w14:textId="00100057">
      <w:pPr>
        <w:spacing w:after="120"/>
      </w:pPr>
      <w:r>
        <w:rPr>
          <w:sz w:val="22"/>
        </w:rPr>
        <w:t xml:space="preserve">Customers are scored on Recency (days since last booking), Frequency (total bookings), and Monetary value (OCV — Observed Customer Value on completed rides). OCV is the sum of Booking Value within the observation window and is NOT LTV — it makes no forward projection and no claim about net margin. Segments include: Champions, Loyal, Potential Loyalist, New Customer, At Risk, Hibernating, Lost.</w:t>
      </w:r>
    </w:p>
    <w:p w14:paraId="00100058" w14:textId="00100059">
      <w:pPr>
        <w:pStyle w:val="Heading2"/>
        <w:spacing w:after="120"/>
      </w:pPr>
      <w:r>
        <w:rPr>
          <w:b/>
          <w:sz w:val="28"/>
        </w:rPr>
        <w:t xml:space="preserve">6.3 Cohort Retention</w:t>
      </w:r>
    </w:p>
    <w:p w14:paraId="0010005A" w14:textId="0010005B">
      <w:pPr>
        <w:spacing w:after="240"/>
      </w:pPr>
      <w:r>
        <w:rPr>
          <w:sz w:val="22"/>
        </w:rPr>
        <w:t xml:space="preserve">12 monthly cohorts (Jan–Dec 2024) are analysed. The Month-0 to Month-1 retention drop is the primary churn signal. Retention is structurally low given the near-one-to-one customer-to-booking ratio. This finding motivates the Day-7 re-engagement prescription in Section 9.</w:t>
      </w:r>
    </w:p>
    <w:p w14:paraId="0010005C" w14:textId="0010005D">
      <w:pPr>
        <w:pStyle w:val="Heading1"/>
        <w:spacing w:after="160"/>
      </w:pPr>
      <w:r>
        <w:rPr>
          <w:b/>
          <w:sz w:val="36"/>
        </w:rPr>
        <w:t xml:space="preserve">7. Location &amp; Time Analytics</w:t>
      </w:r>
    </w:p>
    <w:p w14:paraId="0010005E" w14:textId="0010005F">
      <w:pPr>
        <w:pStyle w:val="Heading2"/>
        <w:spacing w:after="120"/>
      </w:pPr>
      <w:r>
        <w:rPr>
          <w:b/>
          <w:sz w:val="28"/>
        </w:rPr>
        <w:t xml:space="preserve">7.1 Geographic Zones</w:t>
      </w:r>
    </w:p>
    <w:p w14:paraId="00100060" w14:textId="00100061">
      <w:pPr>
        <w:spacing w:after="120"/>
      </w:pPr>
      <w:r>
        <w:rPr>
          <w:sz w:val="22"/>
        </w:rPr>
        <w:t xml:space="preserve">176 unique pickup and drop locations are mapped to 10 NCR zones (Delhi Core, Delhi North, Delhi East, Delhi West, Delhi South, Gurgaon, Gurgaon Peripheral, Noida, Faridabad, Outer NCR) based on manual inspection of all location names. The mapping methodology is documented in PROJECT_PLAN.md §2. Unmapped locations are labelled 'Unknown'.</w:t>
      </w:r>
    </w:p>
    <w:p w14:paraId="00100062" w14:textId="00100063">
      <w:pPr>
        <w:pStyle w:val="Heading2"/>
        <w:spacing w:after="120"/>
      </w:pPr>
      <w:r>
        <w:rPr>
          <w:b/>
          <w:sz w:val="28"/>
        </w:rPr>
        <w:t xml:space="preserve">7.2 Time Patterns</w:t>
      </w:r>
    </w:p>
    <w:p w14:paraId="00100064" w14:textId="00100065">
      <w:pPr>
        <w:spacing w:after="240"/>
      </w:pPr>
      <w:r>
        <w:rPr>
          <w:sz w:val="22"/>
        </w:rPr>
        <w:t xml:space="preserve">Demand shows clear hourly peaks (morning commute and evening hours) and day-of-week patterns. Monthly volume and GBV are analysed across all 12 months. A demand-supply gap index (bookings / completions by hour) identifies peak pressure windows suitable for surge pricing recommendations.</w:t>
      </w:r>
    </w:p>
    <w:p w14:paraId="00100066" w14:textId="00100067">
      <w:pPr>
        <w:pStyle w:val="Heading1"/>
        <w:spacing w:after="160"/>
      </w:pPr>
      <w:r>
        <w:rPr>
          <w:b/>
          <w:sz w:val="36"/>
        </w:rPr>
        <w:t xml:space="preserve">8. Predictive Analytics</w:t>
      </w:r>
    </w:p>
    <w:p w14:paraId="00100068" w14:textId="00100069">
      <w:pPr>
        <w:pStyle w:val="Heading2"/>
        <w:spacing w:after="120"/>
      </w:pPr>
      <w:r>
        <w:rPr>
          <w:b/>
          <w:sz w:val="28"/>
        </w:rPr>
        <w:t xml:space="preserve">8.1 Completion Prediction (Task A)</w:t>
      </w:r>
    </w:p>
    <w:p w14:paraId="0010006A" w14:textId="0010006B">
      <w:pPr>
        <w:spacing w:after="120"/>
      </w:pPr>
      <w:r>
        <w:rPr>
          <w:sz w:val="22"/>
        </w:rPr>
        <w:t xml:space="preserve">Binary classification: predict whether a booking will complete. Features available at booking request time only (Vehicle Type, location encodings, hour, day, customer prior history via time-safe rolling). Stage 1 models: Logistic Regression (interpretable baseline) and Random Forest. Performance is evaluated on the Oct–Dec 2024 held-out test set using ROC-AUC, Precision-Recall, and F1. No hardcoded pass/fail threshold — results are interpreted in business context in Notebook 11.</w:t>
      </w:r>
    </w:p>
    <w:p w14:paraId="0010006C" w14:textId="0010006D">
      <w:pPr>
        <w:pStyle w:val="Heading2"/>
        <w:spacing w:after="120"/>
      </w:pPr>
      <w:r>
        <w:rPr>
          <w:b/>
          <w:sz w:val="28"/>
        </w:rPr>
        <w:t xml:space="preserve">8.2 Fare Estimation (Task B)</w:t>
      </w:r>
    </w:p>
    <w:p w14:paraId="0010006E" w14:textId="0010006F">
      <w:pPr>
        <w:spacing w:after="240"/>
      </w:pPr>
      <w:r>
        <w:rPr>
          <w:sz w:val="22"/>
        </w:rPr>
        <w:t xml:space="preserve">Regression on completed rides using Vehicle Type, route encodings, Ride Distance, and time features. Models: Linear Regression (baseline) and Random Forest Regressor. Evaluated with MAE, RMSE, and R² on the held-out test period. Results in outputs/reports/ml_results_fare.csv.</w:t>
      </w:r>
    </w:p>
    <w:p w14:paraId="00100070" w14:textId="00100071">
      <w:pPr>
        <w:pStyle w:val="Heading1"/>
        <w:spacing w:after="160"/>
      </w:pPr>
      <w:r>
        <w:rPr>
          <w:b/>
          <w:sz w:val="36"/>
        </w:rPr>
        <w:t xml:space="preserve">9. Prescriptive Analytics</w:t>
      </w:r>
    </w:p>
    <w:p w14:paraId="00100072" w14:textId="00100073">
      <w:pPr>
        <w:pStyle w:val="Heading2"/>
        <w:spacing w:after="120"/>
      </w:pPr>
      <w:r>
        <w:rPr>
          <w:b/>
          <w:sz w:val="28"/>
        </w:rPr>
        <w:t xml:space="preserve">9.1 Supply Optimisation</w:t>
      </w:r>
    </w:p>
    <w:p w14:paraId="00100074" w14:textId="00100075">
      <w:pPr>
        <w:spacing w:after="120"/>
      </w:pPr>
      <w:r>
        <w:rPr>
          <w:sz w:val="22"/>
        </w:rPr>
        <w:t xml:space="preserve">Identify top (zone, time_slot) cells with highest No-Driver-Found rate. Prescribe driver incentive zones. Scenario: 20% NDF reduction in top cells yields an estimated GBV uplift (upper-bound; computed at median fare). All scenarios are clearly labelled as hypothetical estimates, not forecasts.</w:t>
      </w:r>
    </w:p>
    <w:p w14:paraId="00100076" w14:textId="00100077">
      <w:pPr>
        <w:pStyle w:val="Heading2"/>
        <w:spacing w:after="120"/>
      </w:pPr>
      <w:r>
        <w:rPr>
          <w:b/>
          <w:sz w:val="28"/>
        </w:rPr>
        <w:t xml:space="preserve">9.2 Cancellation Reduction</w:t>
      </w:r>
    </w:p>
    <w:p w14:paraId="00100078" w14:textId="00100079">
      <w:pPr>
        <w:spacing w:after="120"/>
      </w:pPr>
      <w:r>
        <w:rPr>
          <w:sz w:val="22"/>
        </w:rPr>
        <w:t xml:space="preserve">VTAT alert thresholds for high-latency dispatches; driver movement monitoring for 'driver not moving' cancellations. Scenario: 10% customer cancellation reduction → estimated additional completions × median fare.</w:t>
      </w:r>
    </w:p>
    <w:p w14:paraId="0010007A" w14:textId="0010007B">
      <w:pPr>
        <w:pStyle w:val="Heading2"/>
        <w:spacing w:after="120"/>
      </w:pPr>
      <w:r>
        <w:rPr>
          <w:b/>
          <w:sz w:val="28"/>
        </w:rPr>
        <w:t xml:space="preserve">9.3 Retention &amp; Segmentation</w:t>
      </w:r>
    </w:p>
    <w:p w14:paraId="0010007C" w14:textId="0010007D">
      <w:pPr>
        <w:spacing w:after="240"/>
      </w:pPr>
      <w:r>
        <w:rPr>
          <w:sz w:val="22"/>
        </w:rPr>
        <w:t xml:space="preserve">Day-7 re-engagement notification for all new customers (targeting Month-0 to Month-1 drop). RFM segment-based actions: Champions → loyalty recognition; At Risk → discount; Lost → win-back. Revenue impact of retention actions cannot be quantified without CAC data — prescriptions are directional.</w:t>
      </w:r>
    </w:p>
    <w:p w14:paraId="0010007E" w14:textId="0010007F">
      <w:pPr>
        <w:pStyle w:val="Heading1"/>
        <w:spacing w:after="160"/>
      </w:pPr>
      <w:r>
        <w:rPr>
          <w:b/>
          <w:sz w:val="36"/>
        </w:rPr>
        <w:t xml:space="preserve">10. Limitations &amp; Unavailable Metrics</w:t>
      </w:r>
    </w:p>
    <w:p w14:paraId="00100080" w14:textId="00100081">
      <w:pPr>
        <w:spacing w:after="120"/>
      </w:pPr>
      <w:r>
        <w:rPr>
          <w:sz w:val="22"/>
        </w:rPr>
        <w:t xml:space="preserve">The following metrics cannot be computed from this dataset. They are documented here so that future data collection efforts can prioritise the missing fields:</w:t>
      </w:r>
    </w:p>
    <w:p w14:paraId="00100082" w14:textId="00100083">
      <w:pPr>
        <w:numPr>
          <w:ilvl w:val="0"/>
          <w:numId w:val="2"/>
        </w:numPr>
        <w:spacing w:after="80"/>
      </w:pPr>
      <w:r>
        <w:rPr>
          <w:sz w:val="22"/>
        </w:rPr>
        <w:t xml:space="preserve">• CAC (Customer Acquisition Cost): No acquisition channel or marketing spend field. Requires CRM/marketing data.</w:t>
      </w:r>
    </w:p>
    <w:p w14:paraId="00100084" w14:textId="00100085">
      <w:pPr>
        <w:numPr>
          <w:ilvl w:val="0"/>
          <w:numId w:val="2"/>
        </w:numPr>
        <w:spacing w:after="80"/>
      </w:pPr>
      <w:r>
        <w:rPr>
          <w:sz w:val="22"/>
        </w:rPr>
        <w:t xml:space="preserve">• LTV (Customer Lifetime Value): No cost-side data. Net margin is unknown. A gross-revenue proxy (OCV) is used with explicit labelling.</w:t>
      </w:r>
    </w:p>
    <w:p w14:paraId="00100086" w14:textId="00100087">
      <w:pPr>
        <w:numPr>
          <w:ilvl w:val="0"/>
          <w:numId w:val="2"/>
        </w:numPr>
        <w:spacing w:after="80"/>
      </w:pPr>
      <w:r>
        <w:rPr>
          <w:sz w:val="22"/>
        </w:rPr>
        <w:t xml:space="preserve">• ROAS (Return on Ad Spend): No ad spend data.</w:t>
      </w:r>
    </w:p>
    <w:p w14:paraId="00100088" w14:textId="00100089">
      <w:pPr>
        <w:numPr>
          <w:ilvl w:val="0"/>
          <w:numId w:val="2"/>
        </w:numPr>
        <w:spacing w:after="80"/>
      </w:pPr>
      <w:r>
        <w:rPr>
          <w:sz w:val="22"/>
        </w:rPr>
        <w:t xml:space="preserve">• Driver Payout: No payout rate or amount field.</w:t>
      </w:r>
    </w:p>
    <w:p w14:paraId="0010008A" w14:textId="0010008B">
      <w:pPr>
        <w:numPr>
          <w:ilvl w:val="0"/>
          <w:numId w:val="2"/>
        </w:numPr>
        <w:spacing w:after="80"/>
      </w:pPr>
      <w:r>
        <w:rPr>
          <w:sz w:val="22"/>
        </w:rPr>
        <w:t xml:space="preserve">• Platform Commission: No commission rate field.</w:t>
      </w:r>
    </w:p>
    <w:p w14:paraId="0010008C" w14:textId="0010008D">
      <w:pPr>
        <w:numPr>
          <w:ilvl w:val="0"/>
          <w:numId w:val="2"/>
        </w:numPr>
        <w:spacing w:after="80"/>
      </w:pPr>
      <w:r>
        <w:rPr>
          <w:sz w:val="22"/>
        </w:rPr>
        <w:t xml:space="preserve">• Operating Cost / Contribution Margin: No variable cost data of any kind.</w:t>
      </w:r>
    </w:p>
    <w:p w14:paraId="0010008E" w14:textId="0010008F">
      <w:pPr>
        <w:numPr>
          <w:ilvl w:val="0"/>
          <w:numId w:val="2"/>
        </w:numPr>
        <w:spacing w:after="240"/>
      </w:pPr>
      <w:r>
        <w:rPr>
          <w:sz w:val="22"/>
        </w:rPr>
        <w:t xml:space="preserve">• Individual driver performance: No driver ID field; cannot attribute cancellations or ratings to specific drivers.</w:t>
      </w:r>
    </w:p>
    <w:p w14:paraId="00100090" w14:textId="00100091">
      <w:pPr>
        <w:pStyle w:val="Heading1"/>
        <w:spacing w:after="160"/>
      </w:pPr>
      <w:r>
        <w:rPr>
          <w:b/>
          <w:sz w:val="36"/>
        </w:rPr>
        <w:t xml:space="preserve">11. Appendix</w:t>
      </w:r>
    </w:p>
    <w:p w14:paraId="00100092" w14:textId="00100093">
      <w:pPr>
        <w:numPr>
          <w:ilvl w:val="0"/>
          <w:numId w:val="3"/>
        </w:numPr>
        <w:spacing w:after="80"/>
      </w:pPr>
      <w:r>
        <w:rPr>
          <w:sz w:val="22"/>
        </w:rPr>
        <w:t xml:space="preserve">• Full cohort retention and GBV matrices: outputs/reports/cohort_retention_rate.csv, outputs/reports/cohort_gbv.csv</w:t>
      </w:r>
    </w:p>
    <w:p w14:paraId="00100094" w14:textId="00100095">
      <w:pPr>
        <w:numPr>
          <w:ilvl w:val="0"/>
          <w:numId w:val="3"/>
        </w:numPr>
        <w:spacing w:after="80"/>
      </w:pPr>
      <w:r>
        <w:rPr>
          <w:sz w:val="22"/>
        </w:rPr>
        <w:t xml:space="preserve">• Customer cluster profiles: outputs/reports/cluster_profiles.csv</w:t>
      </w:r>
    </w:p>
    <w:p w14:paraId="00100096" w14:textId="00100097">
      <w:pPr>
        <w:numPr>
          <w:ilvl w:val="0"/>
          <w:numId w:val="3"/>
        </w:numPr>
        <w:spacing w:after="80"/>
      </w:pPr>
      <w:r>
        <w:rPr>
          <w:sz w:val="22"/>
        </w:rPr>
        <w:t xml:space="preserve">• RFM segment assignments: outputs/reports/rfm_segments.csv</w:t>
      </w:r>
    </w:p>
    <w:p w14:paraId="00100098" w14:textId="00100099">
      <w:pPr>
        <w:numPr>
          <w:ilvl w:val="0"/>
          <w:numId w:val="3"/>
        </w:numPr>
        <w:spacing w:after="80"/>
      </w:pPr>
      <w:r>
        <w:rPr>
          <w:sz w:val="22"/>
        </w:rPr>
        <w:t xml:space="preserve">• ML model results: outputs/reports/ml_results_classification.csv, outputs/reports/ml_results_fare.csv</w:t>
      </w:r>
    </w:p>
    <w:p w14:paraId="0010009A" w14:textId="0010009B">
      <w:pPr>
        <w:numPr>
          <w:ilvl w:val="0"/>
          <w:numId w:val="3"/>
        </w:numPr>
        <w:spacing w:after="80"/>
      </w:pPr>
      <w:r>
        <w:rPr>
          <w:sz w:val="22"/>
        </w:rPr>
        <w:t xml:space="preserve">• Vehicle diagnostics: outputs/reports/vehicle_diagnostics.csv, outputs/reports/vehicle_service_quality.csv</w:t>
      </w:r>
    </w:p>
    <w:p w14:paraId="0010009C" w14:textId="0010009D">
      <w:pPr>
        <w:numPr>
          <w:ilvl w:val="0"/>
          <w:numId w:val="3"/>
        </w:numPr>
        <w:spacing w:after="80"/>
      </w:pPr>
      <w:r>
        <w:rPr>
          <w:sz w:val="22"/>
        </w:rPr>
        <w:t xml:space="preserve">• Zone mapping: src/features.py LOCATION_ZONE dict (176 locations → 10 zones, methodology in PROJECT_PLAN.md §2)</w:t>
      </w:r>
    </w:p>
    <w:p w14:paraId="0010009E" w14:textId="0010009F">
      <w:pPr>
        <w:numPr>
          <w:ilvl w:val="0"/>
          <w:numId w:val="3"/>
        </w:numPr>
        <w:spacing w:after="80"/>
      </w:pPr>
      <w:r>
        <w:rPr>
          <w:sz w:val="22"/>
        </w:rPr>
        <w:t xml:space="preserve">• All charts: outputs/plots/ directory (01_* through 12_*)</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a7de4839ade14f6e" /><Relationship Type="http://schemas.openxmlformats.org/officeDocument/2006/relationships/styles" Target="/word/styles.xml" Id="R6536468b6e6349be" /><Relationship Type="http://schemas.openxmlformats.org/officeDocument/2006/relationships/theme" Target="/word/theme/theme1.xml" Id="Rb16af146c629407e" /><Relationship Type="http://schemas.openxmlformats.org/officeDocument/2006/relationships/numbering" Target="/word/numbering.xml" Id="R52d8e7b8fed340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2026-09-22T17:55:30Z</dcterms:created>
  <cp:lastModifiedBy>OfficeCLI</cp:lastModifiedBy>
  <dcterms:modified xsi:type="dcterms:W3CDTF">2026-09-22T17:55:30Z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2026-09-22T17:55:31Z</vt:lpwstr>
  </op:property>
</op:Properties>
</file>