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F4E79"/>
          <w:sz w:val="36"/>
          <w:szCs w:val="36"/>
        </w:rPr>
        <w:t xml:space="preserve">E-Commerce Sales Performance Analysis</w:t>
      </w:r>
    </w:p>
    <w:p>
      <w:pPr>
        <w:spacing w:after="160"/>
        <w:jc w:val="center"/>
      </w:pPr>
      <w:r>
        <w:rPr>
          <w:i/>
          <w:iCs/>
          <w:sz w:val="22"/>
          <w:szCs w:val="22"/>
        </w:rPr>
        <w:t xml:space="preserve">Final Business Report</w:t>
      </w:r>
    </w:p>
    <w:p>
      <w:pPr>
        <w:spacing w:after="40"/>
      </w:pPr>
      <w:r>
        <w:rPr>
          <w:b/>
          <w:bCs/>
          <w:sz w:val="20"/>
          <w:szCs w:val="20"/>
        </w:rPr>
        <w:t xml:space="preserve">Project: </w:t>
      </w:r>
      <w:r>
        <w:rPr>
          <w:sz w:val="20"/>
          <w:szCs w:val="20"/>
        </w:rPr>
        <w:t xml:space="preserve">Olist E-Commerce Sales Performance Analysis</w:t>
      </w:r>
    </w:p>
    <w:p>
      <w:pPr>
        <w:spacing w:after="160"/>
      </w:pPr>
      <w:r>
        <w:rPr>
          <w:b/>
          <w:bCs/>
          <w:sz w:val="20"/>
          <w:szCs w:val="20"/>
        </w:rPr>
        <w:t xml:space="preserve">Tools Used: </w:t>
      </w:r>
      <w:r>
        <w:rPr>
          <w:sz w:val="20"/>
          <w:szCs w:val="20"/>
        </w:rPr>
        <w:t xml:space="preserve">Python, MySQL, Excel, Power BI</w:t>
      </w:r>
    </w:p>
    <w:p>
      <w:pPr>
        <w:pStyle w:val="Heading2"/>
        <w:spacing w:after="80" w:before="200"/>
      </w:pPr>
      <w:r>
        <w:rPr>
          <w:b/>
          <w:bCs/>
          <w:color w:val="1F4E79"/>
          <w:sz w:val="24"/>
          <w:szCs w:val="24"/>
        </w:rPr>
        <w:t xml:space="preserve">1. Executive Summary</w:t>
      </w:r>
    </w:p>
    <w:p>
      <w:pPr>
        <w:spacing w:after="100"/>
      </w:pPr>
      <w:r>
        <w:rPr>
          <w:sz w:val="20"/>
          <w:szCs w:val="20"/>
        </w:rPr>
        <w:t xml:space="preserve">The analysis of the Olist e-commerce dataset provides insights into revenue, orders, product categories, customer locations, and delivery performance. The business generated approximately 15.74M in total revenue from 98.8K orders, with an Average Order Value of 159.26. The overall late delivery rate was 7.92%, with an average delivery time of approximately 12 days.</w:t>
      </w:r>
    </w:p>
    <w:p>
      <w:pPr>
        <w:pStyle w:val="Heading2"/>
        <w:spacing w:after="80" w:before="200"/>
      </w:pPr>
      <w:r>
        <w:rPr>
          <w:b/>
          <w:bCs/>
          <w:color w:val="1F4E79"/>
          <w:sz w:val="24"/>
          <w:szCs w:val="24"/>
        </w:rPr>
        <w:t xml:space="preserve">2. Key Business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4E79" w:val="clear"/>
            <w:tcMar>
              <w:top w:type="dxa" w:w="60"/>
              <w:left w:type="dxa" w:w="100"/>
              <w:bottom w:type="dxa" w:w="60"/>
              <w:right w:type="dxa" w:w="100"/>
            </w:tcMar>
          </w:tcPr>
          <w:p>
            <w:r>
              <w:rPr>
                <w:b/>
                <w:bCs/>
                <w:color w:val="FFFFFF"/>
                <w:sz w:val="20"/>
                <w:szCs w:val="20"/>
              </w:rPr>
              <w:t xml:space="preserve">KPI</w:t>
            </w:r>
          </w:p>
        </w:tc>
        <w:tc>
          <w:tcPr>
            <w:tcW w:type="dxa" w:w="5560"/>
            <w:shd w:fill="1F4E79" w:val="clear"/>
            <w:tcMar>
              <w:top w:type="dxa" w:w="60"/>
              <w:left w:type="dxa" w:w="100"/>
              <w:bottom w:type="dxa" w:w="60"/>
              <w:right w:type="dxa" w:w="100"/>
            </w:tcMar>
          </w:tcPr>
          <w:p>
            <w:r>
              <w:rPr>
                <w:b/>
                <w:bCs/>
                <w:color w:val="FFFFFF"/>
                <w:sz w:val="20"/>
                <w:szCs w:val="20"/>
              </w:rPr>
              <w:t xml:space="preserve">Result</w:t>
            </w:r>
          </w:p>
        </w:tc>
      </w:tr>
      <w:tr>
        <w:tc>
          <w:tcPr>
            <w:tcW w:type="dxa" w:w="3800"/>
            <w:tcMar>
              <w:top w:type="dxa" w:w="60"/>
              <w:left w:type="dxa" w:w="100"/>
              <w:bottom w:type="dxa" w:w="60"/>
              <w:right w:type="dxa" w:w="100"/>
            </w:tcMar>
            <w:vAlign w:val="center"/>
          </w:tcPr>
          <w:p>
            <w:r>
              <w:rPr>
                <w:b/>
                <w:bCs/>
                <w:sz w:val="20"/>
                <w:szCs w:val="20"/>
              </w:rPr>
              <w:t xml:space="preserve">Total Revenue</w:t>
            </w:r>
          </w:p>
        </w:tc>
        <w:tc>
          <w:tcPr>
            <w:tcW w:type="dxa" w:w="5560"/>
            <w:tcMar>
              <w:top w:type="dxa" w:w="60"/>
              <w:left w:type="dxa" w:w="100"/>
              <w:bottom w:type="dxa" w:w="60"/>
              <w:right w:type="dxa" w:w="100"/>
            </w:tcMar>
            <w:vAlign w:val="center"/>
          </w:tcPr>
          <w:p>
            <w:r>
              <w:rPr>
                <w:sz w:val="20"/>
                <w:szCs w:val="20"/>
              </w:rPr>
              <w:t xml:space="preserve">15.74M</w:t>
            </w:r>
          </w:p>
        </w:tc>
      </w:tr>
      <w:tr>
        <w:tc>
          <w:tcPr>
            <w:tcW w:type="dxa" w:w="3800"/>
            <w:shd w:fill="EDEDED" w:val="clear"/>
            <w:tcMar>
              <w:top w:type="dxa" w:w="60"/>
              <w:left w:type="dxa" w:w="100"/>
              <w:bottom w:type="dxa" w:w="60"/>
              <w:right w:type="dxa" w:w="100"/>
            </w:tcMar>
            <w:vAlign w:val="center"/>
          </w:tcPr>
          <w:p>
            <w:r>
              <w:rPr>
                <w:b/>
                <w:bCs/>
                <w:sz w:val="20"/>
                <w:szCs w:val="20"/>
              </w:rPr>
              <w:t xml:space="preserve">Total Orders</w:t>
            </w:r>
          </w:p>
        </w:tc>
        <w:tc>
          <w:tcPr>
            <w:tcW w:type="dxa" w:w="5560"/>
            <w:shd w:fill="EDEDED" w:val="clear"/>
            <w:tcMar>
              <w:top w:type="dxa" w:w="60"/>
              <w:left w:type="dxa" w:w="100"/>
              <w:bottom w:type="dxa" w:w="60"/>
              <w:right w:type="dxa" w:w="100"/>
            </w:tcMar>
            <w:vAlign w:val="center"/>
          </w:tcPr>
          <w:p>
            <w:r>
              <w:rPr>
                <w:sz w:val="20"/>
                <w:szCs w:val="20"/>
              </w:rPr>
              <w:t xml:space="preserve">98.8K</w:t>
            </w:r>
          </w:p>
        </w:tc>
      </w:tr>
      <w:tr>
        <w:tc>
          <w:tcPr>
            <w:tcW w:type="dxa" w:w="3800"/>
            <w:tcMar>
              <w:top w:type="dxa" w:w="60"/>
              <w:left w:type="dxa" w:w="100"/>
              <w:bottom w:type="dxa" w:w="60"/>
              <w:right w:type="dxa" w:w="100"/>
            </w:tcMar>
            <w:vAlign w:val="center"/>
          </w:tcPr>
          <w:p>
            <w:r>
              <w:rPr>
                <w:b/>
                <w:bCs/>
                <w:sz w:val="20"/>
                <w:szCs w:val="20"/>
              </w:rPr>
              <w:t xml:space="preserve">Average Order Value</w:t>
            </w:r>
          </w:p>
        </w:tc>
        <w:tc>
          <w:tcPr>
            <w:tcW w:type="dxa" w:w="5560"/>
            <w:tcMar>
              <w:top w:type="dxa" w:w="60"/>
              <w:left w:type="dxa" w:w="100"/>
              <w:bottom w:type="dxa" w:w="60"/>
              <w:right w:type="dxa" w:w="100"/>
            </w:tcMar>
            <w:vAlign w:val="center"/>
          </w:tcPr>
          <w:p>
            <w:r>
              <w:rPr>
                <w:sz w:val="20"/>
                <w:szCs w:val="20"/>
              </w:rPr>
              <w:t xml:space="preserve">159.26</w:t>
            </w:r>
          </w:p>
        </w:tc>
      </w:tr>
      <w:tr>
        <w:tc>
          <w:tcPr>
            <w:tcW w:type="dxa" w:w="3800"/>
            <w:shd w:fill="EDEDED" w:val="clear"/>
            <w:tcMar>
              <w:top w:type="dxa" w:w="60"/>
              <w:left w:type="dxa" w:w="100"/>
              <w:bottom w:type="dxa" w:w="60"/>
              <w:right w:type="dxa" w:w="100"/>
            </w:tcMar>
            <w:vAlign w:val="center"/>
          </w:tcPr>
          <w:p>
            <w:r>
              <w:rPr>
                <w:b/>
                <w:bCs/>
                <w:sz w:val="20"/>
                <w:szCs w:val="20"/>
              </w:rPr>
              <w:t xml:space="preserve">Late Delivery Rate</w:t>
            </w:r>
          </w:p>
        </w:tc>
        <w:tc>
          <w:tcPr>
            <w:tcW w:type="dxa" w:w="5560"/>
            <w:shd w:fill="EDEDED" w:val="clear"/>
            <w:tcMar>
              <w:top w:type="dxa" w:w="60"/>
              <w:left w:type="dxa" w:w="100"/>
              <w:bottom w:type="dxa" w:w="60"/>
              <w:right w:type="dxa" w:w="100"/>
            </w:tcMar>
            <w:vAlign w:val="center"/>
          </w:tcPr>
          <w:p>
            <w:r>
              <w:rPr>
                <w:sz w:val="20"/>
                <w:szCs w:val="20"/>
              </w:rPr>
              <w:t xml:space="preserve">7.92%</w:t>
            </w:r>
          </w:p>
        </w:tc>
      </w:tr>
      <w:tr>
        <w:tc>
          <w:tcPr>
            <w:tcW w:type="dxa" w:w="3800"/>
            <w:tcMar>
              <w:top w:type="dxa" w:w="60"/>
              <w:left w:type="dxa" w:w="100"/>
              <w:bottom w:type="dxa" w:w="60"/>
              <w:right w:type="dxa" w:w="100"/>
            </w:tcMar>
            <w:vAlign w:val="center"/>
          </w:tcPr>
          <w:p>
            <w:r>
              <w:rPr>
                <w:b/>
                <w:bCs/>
                <w:sz w:val="20"/>
                <w:szCs w:val="20"/>
              </w:rPr>
              <w:t xml:space="preserve">Average Delivery Time</w:t>
            </w:r>
          </w:p>
        </w:tc>
        <w:tc>
          <w:tcPr>
            <w:tcW w:type="dxa" w:w="5560"/>
            <w:tcMar>
              <w:top w:type="dxa" w:w="60"/>
              <w:left w:type="dxa" w:w="100"/>
              <w:bottom w:type="dxa" w:w="60"/>
              <w:right w:type="dxa" w:w="100"/>
            </w:tcMar>
            <w:vAlign w:val="center"/>
          </w:tcPr>
          <w:p>
            <w:r>
              <w:rPr>
                <w:sz w:val="20"/>
                <w:szCs w:val="20"/>
              </w:rPr>
              <w:t xml:space="preserve">12 Days</w:t>
            </w:r>
          </w:p>
        </w:tc>
      </w:tr>
      <w:tr>
        <w:tc>
          <w:tcPr>
            <w:tcW w:type="dxa" w:w="3800"/>
            <w:shd w:fill="EDEDED" w:val="clear"/>
            <w:tcMar>
              <w:top w:type="dxa" w:w="60"/>
              <w:left w:type="dxa" w:w="100"/>
              <w:bottom w:type="dxa" w:w="60"/>
              <w:right w:type="dxa" w:w="100"/>
            </w:tcMar>
            <w:vAlign w:val="center"/>
          </w:tcPr>
          <w:p>
            <w:r>
              <w:rPr>
                <w:b/>
                <w:bCs/>
                <w:sz w:val="20"/>
                <w:szCs w:val="20"/>
              </w:rPr>
              <w:t xml:space="preserve">Top Product Category</w:t>
            </w:r>
          </w:p>
        </w:tc>
        <w:tc>
          <w:tcPr>
            <w:tcW w:type="dxa" w:w="5560"/>
            <w:shd w:fill="EDEDED" w:val="clear"/>
            <w:tcMar>
              <w:top w:type="dxa" w:w="60"/>
              <w:left w:type="dxa" w:w="100"/>
              <w:bottom w:type="dxa" w:w="60"/>
              <w:right w:type="dxa" w:w="100"/>
            </w:tcMar>
            <w:vAlign w:val="center"/>
          </w:tcPr>
          <w:p>
            <w:r>
              <w:rPr>
                <w:sz w:val="20"/>
                <w:szCs w:val="20"/>
              </w:rPr>
              <w:t xml:space="preserve">beleza_saude</w:t>
            </w:r>
          </w:p>
        </w:tc>
      </w:tr>
      <w:tr>
        <w:tc>
          <w:tcPr>
            <w:tcW w:type="dxa" w:w="3800"/>
            <w:tcMar>
              <w:top w:type="dxa" w:w="60"/>
              <w:left w:type="dxa" w:w="100"/>
              <w:bottom w:type="dxa" w:w="60"/>
              <w:right w:type="dxa" w:w="100"/>
            </w:tcMar>
            <w:vAlign w:val="center"/>
          </w:tcPr>
          <w:p>
            <w:r>
              <w:rPr>
                <w:b/>
                <w:bCs/>
                <w:sz w:val="20"/>
                <w:szCs w:val="20"/>
              </w:rPr>
              <w:t xml:space="preserve">Best-Performing State</w:t>
            </w:r>
          </w:p>
        </w:tc>
        <w:tc>
          <w:tcPr>
            <w:tcW w:type="dxa" w:w="5560"/>
            <w:tcMar>
              <w:top w:type="dxa" w:w="60"/>
              <w:left w:type="dxa" w:w="100"/>
              <w:bottom w:type="dxa" w:w="60"/>
              <w:right w:type="dxa" w:w="100"/>
            </w:tcMar>
            <w:vAlign w:val="center"/>
          </w:tcPr>
          <w:p>
            <w:r>
              <w:rPr>
                <w:sz w:val="20"/>
                <w:szCs w:val="20"/>
              </w:rPr>
              <w:t xml:space="preserve">SP</w:t>
            </w:r>
          </w:p>
        </w:tc>
      </w:tr>
    </w:tbl>
    <w:p>
      <w:pPr>
        <w:spacing w:after="120"/>
      </w:pPr>
    </w:p>
    <w:p>
      <w:pPr>
        <w:pStyle w:val="Heading2"/>
        <w:spacing w:after="80" w:before="200"/>
      </w:pPr>
      <w:r>
        <w:rPr>
          <w:b/>
          <w:bCs/>
          <w:color w:val="1F4E79"/>
          <w:sz w:val="24"/>
          <w:szCs w:val="24"/>
        </w:rPr>
        <w:t xml:space="preserve">3. Sales Insights</w:t>
      </w:r>
    </w:p>
    <w:p>
      <w:pPr>
        <w:spacing w:after="100"/>
      </w:pPr>
      <w:r>
        <w:rPr>
          <w:sz w:val="20"/>
          <w:szCs w:val="20"/>
        </w:rPr>
        <w:t xml:space="preserve">Top Product Category: The beleza_saude category generated approximately 1.44M in revenue, making it the highest-revenue product category in the analysis.</w:t>
      </w:r>
    </w:p>
    <w:p>
      <w:pPr>
        <w:spacing w:after="100"/>
      </w:pPr>
      <w:r>
        <w:rPr>
          <w:sz w:val="20"/>
          <w:szCs w:val="20"/>
        </w:rPr>
        <w:t xml:space="preserve">Best-Performing State: SP (São Paulo) was the strongest-performing customer state, generating approximately 5.9M in revenue.</w:t>
      </w:r>
    </w:p>
    <w:p>
      <w:pPr>
        <w:spacing w:after="100"/>
      </w:pPr>
      <w:r>
        <w:rPr>
          <w:sz w:val="20"/>
          <w:szCs w:val="20"/>
        </w:rPr>
        <w:t xml:space="preserve">Monthly Revenue: Revenue showed strong growth during 2017 and reached high levels around late 2017 and early 2018. Revenue declined toward the end of the available data period.</w:t>
      </w:r>
    </w:p>
    <w:p>
      <w:pPr>
        <w:pStyle w:val="Heading2"/>
        <w:spacing w:after="80" w:before="200"/>
      </w:pPr>
      <w:r>
        <w:rPr>
          <w:b/>
          <w:bCs/>
          <w:color w:val="1F4E79"/>
          <w:sz w:val="24"/>
          <w:szCs w:val="24"/>
        </w:rPr>
        <w:t xml:space="preserve">4. Delivery Performance</w:t>
      </w:r>
    </w:p>
    <w:p>
      <w:pPr>
        <w:spacing w:after="100"/>
      </w:pPr>
      <w:r>
        <w:rPr>
          <w:sz w:val="20"/>
          <w:szCs w:val="20"/>
        </w:rPr>
        <w:t xml:space="preserve">The overall late delivery rate is 7.92%, while the average delivery time is approximately 12 days. The state-level analysis shows that delivery performance varies across different regions, with some states experiencing considerably longer average delivery times.</w:t>
      </w:r>
    </w:p>
    <w:p>
      <w:pPr>
        <w:pStyle w:val="Heading2"/>
        <w:spacing w:after="80" w:before="200"/>
      </w:pPr>
      <w:r>
        <w:rPr>
          <w:b/>
          <w:bCs/>
          <w:color w:val="1F4E79"/>
          <w:sz w:val="24"/>
          <w:szCs w:val="24"/>
        </w:rPr>
        <w:t xml:space="preserve">5. Strategic Recommendations</w:t>
      </w:r>
    </w:p>
    <w:p>
      <w:pPr>
        <w:spacing w:after="100"/>
      </w:pPr>
      <w:r>
        <w:rPr>
          <w:sz w:val="20"/>
          <w:szCs w:val="20"/>
        </w:rPr>
        <w:t xml:space="preserve">1. Focus on high-performing markets and categories — Increase inventory availability, targeted promotions, and marketing efforts for high-performing categories such as beleza_saude and strong markets such as SP.</w:t>
      </w:r>
    </w:p>
    <w:p>
      <w:pPr>
        <w:spacing w:after="100"/>
      </w:pPr>
      <w:r>
        <w:rPr>
          <w:sz w:val="20"/>
          <w:szCs w:val="20"/>
        </w:rPr>
        <w:t xml:space="preserve">2. Improve regional logistics performance — Investigate states with higher delivery times and improve carrier monitoring, logistics planning, and regional fulfillment strategies to reduce delays and improve customer satisfaction.</w:t>
      </w:r>
    </w:p>
    <w:p>
      <w:pPr>
        <w:pStyle w:val="Heading2"/>
        <w:spacing w:after="80" w:before="200"/>
      </w:pPr>
      <w:r>
        <w:rPr>
          <w:b/>
          <w:bCs/>
          <w:color w:val="1F4E79"/>
          <w:sz w:val="24"/>
          <w:szCs w:val="24"/>
        </w:rPr>
        <w:t xml:space="preserve">6. Conclusion</w:t>
      </w:r>
    </w:p>
    <w:p>
      <w:pPr>
        <w:spacing w:after="100"/>
      </w:pPr>
      <w:r>
        <w:rPr>
          <w:sz w:val="20"/>
          <w:szCs w:val="20"/>
        </w:rPr>
        <w:t xml:space="preserve">The analysis provides a clear view of the company's sales performance, product demand, geographic revenue distribution, and delivery efficiency. These insights can support better marketing, inventory, and logistics decisions while helping the business improve customer satisfaction.</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2026-09-13T04:05:46.029Z</dcterms:created>
  <dcterms:modified xsi:type="dcterms:W3CDTF">2026-09-13T04:05:46.040Z</dcterms:modified>
</cp:coreProperties>
</file>

<file path=docProps/custom.xml><?xml version="1.0" encoding="utf-8"?>
<Properties xmlns="http://schemas.openxmlformats.org/officeDocument/2006/custom-properties" xmlns:vt="http://schemas.openxmlformats.org/officeDocument/2006/docPropsVTypes"/>
</file>